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70501E" w14:textId="6A051018" w:rsidR="00196267" w:rsidRDefault="00196267" w:rsidP="00906722">
      <w:pPr>
        <w:rPr>
          <w:rFonts w:ascii="Arial" w:hAnsi="Arial" w:cs="Arial"/>
          <w:sz w:val="28"/>
          <w:szCs w:val="28"/>
          <w:lang w:val="en-US"/>
        </w:rPr>
      </w:pPr>
      <w:r>
        <w:rPr>
          <w:rFonts w:ascii="Arial" w:hAnsi="Arial" w:cs="Arial"/>
          <w:sz w:val="28"/>
          <w:szCs w:val="28"/>
          <w:lang w:val="en-US"/>
        </w:rPr>
        <w:t xml:space="preserve">                                    </w:t>
      </w:r>
      <w:r w:rsidR="00D47965">
        <w:rPr>
          <w:rFonts w:ascii="Arial" w:hAnsi="Arial" w:cs="Arial"/>
          <w:sz w:val="28"/>
          <w:szCs w:val="28"/>
          <w:lang w:val="en-US"/>
        </w:rPr>
        <w:t xml:space="preserve">    </w:t>
      </w:r>
      <w:r>
        <w:rPr>
          <w:rFonts w:ascii="Arial" w:hAnsi="Arial" w:cs="Arial"/>
          <w:sz w:val="28"/>
          <w:szCs w:val="28"/>
          <w:lang w:val="en-US"/>
        </w:rPr>
        <w:t xml:space="preserve">  </w:t>
      </w:r>
      <w:r w:rsidR="00D47965">
        <w:rPr>
          <w:rFonts w:ascii="Arial" w:hAnsi="Arial" w:cs="Arial"/>
          <w:sz w:val="28"/>
          <w:szCs w:val="28"/>
          <w:u w:val="single"/>
          <w:lang w:val="en-US"/>
        </w:rPr>
        <w:t>Easements</w:t>
      </w:r>
      <w:r w:rsidRPr="00196267">
        <w:rPr>
          <w:rFonts w:ascii="Arial" w:hAnsi="Arial" w:cs="Arial"/>
          <w:sz w:val="28"/>
          <w:szCs w:val="28"/>
          <w:lang w:val="en-US"/>
        </w:rPr>
        <w:t xml:space="preserve">                     </w:t>
      </w:r>
      <w:r w:rsidR="00D47965">
        <w:rPr>
          <w:rFonts w:ascii="Arial" w:hAnsi="Arial" w:cs="Arial"/>
          <w:sz w:val="28"/>
          <w:szCs w:val="28"/>
          <w:lang w:val="en-US"/>
        </w:rPr>
        <w:t xml:space="preserve">          </w:t>
      </w:r>
      <w:r w:rsidRPr="00196267">
        <w:rPr>
          <w:rFonts w:ascii="Arial" w:hAnsi="Arial" w:cs="Arial"/>
          <w:sz w:val="28"/>
          <w:szCs w:val="28"/>
          <w:lang w:val="en-US"/>
        </w:rPr>
        <w:t xml:space="preserve">   </w:t>
      </w:r>
      <w:r w:rsidRPr="00196267">
        <w:rPr>
          <w:rFonts w:ascii="Arial" w:hAnsi="Arial" w:cs="Arial"/>
          <w:sz w:val="28"/>
          <w:szCs w:val="28"/>
          <w:u w:val="single"/>
          <w:lang w:val="en-US"/>
        </w:rPr>
        <w:t>Assignment 1</w:t>
      </w:r>
      <w:r>
        <w:rPr>
          <w:rFonts w:ascii="Arial" w:hAnsi="Arial" w:cs="Arial"/>
          <w:sz w:val="28"/>
          <w:szCs w:val="28"/>
          <w:u w:val="single"/>
          <w:lang w:val="en-US"/>
        </w:rPr>
        <w:t xml:space="preserve"> </w:t>
      </w:r>
    </w:p>
    <w:p w14:paraId="24EC70F5" w14:textId="41FAC331" w:rsidR="00906722" w:rsidRDefault="00906722" w:rsidP="00906722">
      <w:pPr>
        <w:rPr>
          <w:rFonts w:ascii="Arial" w:hAnsi="Arial" w:cs="Arial"/>
          <w:sz w:val="28"/>
          <w:szCs w:val="28"/>
          <w:lang w:val="en-US"/>
        </w:rPr>
      </w:pPr>
    </w:p>
    <w:p w14:paraId="4C1F0D23" w14:textId="77777777" w:rsidR="00D47965" w:rsidRDefault="00D47965" w:rsidP="00906722">
      <w:pPr>
        <w:rPr>
          <w:rFonts w:ascii="Arial" w:hAnsi="Arial" w:cs="Arial"/>
          <w:sz w:val="28"/>
          <w:szCs w:val="28"/>
          <w:lang w:val="en-US"/>
        </w:rPr>
      </w:pPr>
    </w:p>
    <w:p w14:paraId="53B1478B" w14:textId="678FDC4D" w:rsidR="00D47965" w:rsidRDefault="00D47965" w:rsidP="00D47965">
      <w:pPr>
        <w:spacing w:line="480" w:lineRule="auto"/>
        <w:rPr>
          <w:rFonts w:ascii="Arial" w:hAnsi="Arial" w:cs="Arial"/>
          <w:lang w:val="en-US"/>
        </w:rPr>
      </w:pPr>
      <w:r>
        <w:rPr>
          <w:rFonts w:ascii="Arial" w:hAnsi="Arial" w:cs="Arial"/>
          <w:lang w:val="en-US"/>
        </w:rPr>
        <w:tab/>
        <w:t xml:space="preserve">Easements can be classified as proprietary rights that exist for a specified estate or a private right which gives a property right over another person’s land </w:t>
      </w:r>
      <w:r>
        <w:rPr>
          <w:rFonts w:ascii="Arial" w:hAnsi="Arial" w:cs="Arial"/>
          <w:lang w:val="en-US"/>
        </w:rPr>
        <w:t>(McFarlane and Hopkins, 2020, p. 318)</w:t>
      </w:r>
      <w:r>
        <w:rPr>
          <w:rFonts w:ascii="Arial" w:hAnsi="Arial" w:cs="Arial"/>
          <w:lang w:val="en-US"/>
        </w:rPr>
        <w:t>. The most essential characteristic of an easement is the need for two separate pieces of land: the dominant land (the land benefitting from the easement) and the servient land (the burdened land) as expressed by Bogusz and Sexton (2019). Moreover, a dominant landowner will benefit from the easements granted by the servient landowner’s land as this owner is obligated to submit to an easement being exercised on their land; Hence, easements are likely to be accrued for the interest of purchasers of the dominant land and are capable of binding buyer</w:t>
      </w:r>
      <w:r w:rsidR="004365DA">
        <w:rPr>
          <w:rFonts w:ascii="Arial" w:hAnsi="Arial" w:cs="Arial"/>
          <w:lang w:val="en-US"/>
        </w:rPr>
        <w:t>s</w:t>
      </w:r>
      <w:r>
        <w:rPr>
          <w:rFonts w:ascii="Arial" w:hAnsi="Arial" w:cs="Arial"/>
          <w:lang w:val="en-US"/>
        </w:rPr>
        <w:t xml:space="preserve"> of the servient land (Waite, 1985, p.459). Furthermore, an ordinary example of an easement is one that permits the owner of the dominant land to undertake something on the servient land, which typically involves a right of access like a right to private road on a neighbor’s land or a right to use a footpath according to Robinson (2013). It should be noted, that easements differ from a mere license which gives permission to do a particular act on the property or land of another normally on a non-exclusive basis, whereas an easement satisfies the needs of a particular property (dominant land) at the cost of another property (servient land) as stated by Realtown (2018). As a result, the courts have strictly regulated the dividing line between personal rights and proprietary rights (limited) as an effort to deter land ownership from becoming excessively burdened together with aiding the marketability of land (Hernandez, 2005, p. 98). However, before a right can be considered as an easement, it must display certain characteristics that </w:t>
      </w:r>
      <w:r>
        <w:rPr>
          <w:rFonts w:ascii="Arial" w:hAnsi="Arial" w:cs="Arial"/>
          <w:lang w:val="en-US"/>
        </w:rPr>
        <w:lastRenderedPageBreak/>
        <w:t xml:space="preserve">shows signs of an easement (McFarlane and Hopkins, 2020, p.318) and these factors affects the rights landowners may grant or reserve. </w:t>
      </w:r>
    </w:p>
    <w:p w14:paraId="43CD3729" w14:textId="77777777" w:rsidR="00D47965" w:rsidRDefault="00D47965" w:rsidP="00D47965">
      <w:pPr>
        <w:spacing w:line="480" w:lineRule="auto"/>
        <w:rPr>
          <w:rFonts w:ascii="Arial" w:hAnsi="Arial" w:cs="Arial"/>
          <w:lang w:val="en-US"/>
        </w:rPr>
      </w:pPr>
    </w:p>
    <w:p w14:paraId="0A392F82" w14:textId="30FDAED0" w:rsidR="00D47965" w:rsidRDefault="00D47965" w:rsidP="00D47965">
      <w:pPr>
        <w:spacing w:line="480" w:lineRule="auto"/>
        <w:ind w:firstLine="720"/>
        <w:rPr>
          <w:rFonts w:ascii="Arial" w:hAnsi="Arial" w:cs="Arial"/>
          <w:lang w:val="en-US"/>
        </w:rPr>
      </w:pPr>
      <w:r>
        <w:rPr>
          <w:rFonts w:ascii="Arial" w:hAnsi="Arial" w:cs="Arial"/>
          <w:lang w:val="en-US"/>
        </w:rPr>
        <w:t xml:space="preserve">An easement may appear in many ways; However, the most frequently reviewed easements are: a right of light; a right of way; and a right of support (Tanfield, 2016). </w:t>
      </w:r>
      <w:r>
        <w:rPr>
          <w:rFonts w:ascii="Arial" w:hAnsi="Arial" w:cs="Arial"/>
          <w:lang w:val="en-US"/>
        </w:rPr>
        <w:t>Case laws ha</w:t>
      </w:r>
      <w:r>
        <w:rPr>
          <w:rFonts w:ascii="Arial" w:hAnsi="Arial" w:cs="Arial"/>
          <w:lang w:val="en-US"/>
        </w:rPr>
        <w:t>s</w:t>
      </w:r>
      <w:r>
        <w:rPr>
          <w:rFonts w:ascii="Arial" w:hAnsi="Arial" w:cs="Arial"/>
          <w:lang w:val="en-US"/>
        </w:rPr>
        <w:t xml:space="preserve"> decided what rights are capable of being easements</w:t>
      </w:r>
      <w:r>
        <w:rPr>
          <w:rFonts w:ascii="Arial" w:hAnsi="Arial" w:cs="Arial"/>
          <w:lang w:val="en-US"/>
        </w:rPr>
        <w:t xml:space="preserve"> in view of the fact that those rights are proprietary rights that have the ability to affect subsequent buyers of the dominant land and the purchaser of the servient land (Tanfield, 2016). Moreover, the following c</w:t>
      </w:r>
      <w:r>
        <w:rPr>
          <w:rFonts w:ascii="Arial" w:hAnsi="Arial" w:cs="Arial"/>
          <w:lang w:val="en-US"/>
        </w:rPr>
        <w:t xml:space="preserve">haracteristics of an easement were established in the case of </w:t>
      </w:r>
      <w:proofErr w:type="spellStart"/>
      <w:r>
        <w:rPr>
          <w:rFonts w:ascii="Arial" w:hAnsi="Arial" w:cs="Arial"/>
          <w:i/>
          <w:iCs/>
          <w:lang w:val="en-US"/>
        </w:rPr>
        <w:t>‘Re</w:t>
      </w:r>
      <w:proofErr w:type="spellEnd"/>
      <w:r>
        <w:rPr>
          <w:rFonts w:ascii="Arial" w:hAnsi="Arial" w:cs="Arial"/>
          <w:i/>
          <w:iCs/>
          <w:lang w:val="en-US"/>
        </w:rPr>
        <w:t xml:space="preserve"> Ellenborough Park’</w:t>
      </w:r>
      <w:r>
        <w:rPr>
          <w:rFonts w:ascii="Arial" w:hAnsi="Arial" w:cs="Arial"/>
          <w:i/>
          <w:iCs/>
          <w:lang w:val="en-US"/>
        </w:rPr>
        <w:t xml:space="preserve"> </w:t>
      </w:r>
      <w:r>
        <w:rPr>
          <w:rFonts w:ascii="Arial" w:hAnsi="Arial" w:cs="Arial"/>
          <w:lang w:val="en-US"/>
        </w:rPr>
        <w:t>(1956)</w:t>
      </w:r>
      <w:r>
        <w:rPr>
          <w:rFonts w:ascii="Arial" w:hAnsi="Arial" w:cs="Arial"/>
          <w:lang w:val="en-US"/>
        </w:rPr>
        <w:t>:</w:t>
      </w:r>
      <w:r>
        <w:rPr>
          <w:rFonts w:ascii="Arial" w:hAnsi="Arial" w:cs="Arial"/>
          <w:lang w:val="en-US"/>
        </w:rPr>
        <w:t xml:space="preserve"> </w:t>
      </w:r>
      <w:r>
        <w:rPr>
          <w:rFonts w:ascii="Arial" w:hAnsi="Arial" w:cs="Arial"/>
          <w:lang w:val="en-US"/>
        </w:rPr>
        <w:t>1) There must be a dominant land and a servient Land; 2) Tenements must be owned and/or occupied by different persons (must be diversity of ownership</w:t>
      </w:r>
      <w:r w:rsidR="004365DA">
        <w:rPr>
          <w:rFonts w:ascii="Arial" w:hAnsi="Arial" w:cs="Arial"/>
          <w:lang w:val="en-US"/>
        </w:rPr>
        <w:t>)</w:t>
      </w:r>
      <w:r>
        <w:rPr>
          <w:rFonts w:ascii="Arial" w:hAnsi="Arial" w:cs="Arial"/>
          <w:lang w:val="en-US"/>
        </w:rPr>
        <w:t xml:space="preserve">; </w:t>
      </w:r>
      <w:r>
        <w:rPr>
          <w:rFonts w:ascii="Arial" w:hAnsi="Arial" w:cs="Arial"/>
          <w:lang w:val="en-US"/>
        </w:rPr>
        <w:t>3)</w:t>
      </w:r>
      <w:r w:rsidRPr="00D47965">
        <w:rPr>
          <w:rFonts w:ascii="Arial" w:hAnsi="Arial" w:cs="Arial"/>
          <w:lang w:val="en-US"/>
        </w:rPr>
        <w:t xml:space="preserve"> </w:t>
      </w:r>
      <w:r>
        <w:rPr>
          <w:rFonts w:ascii="Arial" w:hAnsi="Arial" w:cs="Arial"/>
          <w:lang w:val="en-US"/>
        </w:rPr>
        <w:t>Easement</w:t>
      </w:r>
      <w:r w:rsidR="004365DA">
        <w:rPr>
          <w:rFonts w:ascii="Arial" w:hAnsi="Arial" w:cs="Arial"/>
          <w:lang w:val="en-US"/>
        </w:rPr>
        <w:t>s</w:t>
      </w:r>
      <w:r>
        <w:rPr>
          <w:rFonts w:ascii="Arial" w:hAnsi="Arial" w:cs="Arial"/>
          <w:lang w:val="en-US"/>
        </w:rPr>
        <w:t xml:space="preserve"> must accommodate the dominant land; 4) </w:t>
      </w:r>
      <w:r w:rsidR="004365DA">
        <w:rPr>
          <w:rFonts w:ascii="Arial" w:hAnsi="Arial" w:cs="Arial"/>
          <w:lang w:val="en-US"/>
        </w:rPr>
        <w:t>E</w:t>
      </w:r>
      <w:r>
        <w:rPr>
          <w:rFonts w:ascii="Arial" w:hAnsi="Arial" w:cs="Arial"/>
          <w:lang w:val="en-US"/>
        </w:rPr>
        <w:t xml:space="preserve">asements must be capable of forming </w:t>
      </w:r>
      <w:r w:rsidR="004365DA">
        <w:rPr>
          <w:rFonts w:ascii="Arial" w:hAnsi="Arial" w:cs="Arial"/>
          <w:lang w:val="en-US"/>
        </w:rPr>
        <w:t xml:space="preserve">the </w:t>
      </w:r>
      <w:r>
        <w:rPr>
          <w:rFonts w:ascii="Arial" w:hAnsi="Arial" w:cs="Arial"/>
          <w:lang w:val="en-US"/>
        </w:rPr>
        <w:t>subject matter of a grant.</w:t>
      </w:r>
      <w:r>
        <w:rPr>
          <w:rFonts w:ascii="Arial" w:hAnsi="Arial" w:cs="Arial"/>
          <w:lang w:val="en-US"/>
        </w:rPr>
        <w:t xml:space="preserve"> In the case of </w:t>
      </w:r>
      <w:r>
        <w:rPr>
          <w:rFonts w:ascii="Arial" w:hAnsi="Arial" w:cs="Arial"/>
          <w:i/>
          <w:iCs/>
          <w:lang w:val="en-US"/>
        </w:rPr>
        <w:t xml:space="preserve">‘Regency Villas Title Ltd v Diamond Resorts (Europe) Ltd’ </w:t>
      </w:r>
      <w:r>
        <w:rPr>
          <w:rFonts w:ascii="Arial" w:hAnsi="Arial" w:cs="Arial"/>
          <w:lang w:val="en-US"/>
        </w:rPr>
        <w:t xml:space="preserve">(2018), the court demonstrated that </w:t>
      </w:r>
      <w:r>
        <w:rPr>
          <w:rFonts w:ascii="Arial" w:hAnsi="Arial" w:cs="Arial"/>
          <w:lang w:val="en-US"/>
        </w:rPr>
        <w:t>if one or more of these prerequisites are not satisfied</w:t>
      </w:r>
      <w:r>
        <w:rPr>
          <w:rFonts w:ascii="Arial" w:hAnsi="Arial" w:cs="Arial"/>
          <w:lang w:val="en-US"/>
        </w:rPr>
        <w:t xml:space="preserve">, then a landowner will not be able to grant or restrict any easements, even though the right in question will be considered as a proprietary right afterwards. The first characteristics is deemed crucial because an easement benefits a piece of land and not a landowner directly; As a result, to limit the extent of the dominant land entitlement to exercise a right and to help enable landowners to physically recognize parts of the servient that is subject to a right, the need for both identifying dominant and servient land is viewed as mandatory and should remain (Law Commission, 2011, para.2.24) as observed by Tughans (2018). Equally, before an easement is created, it is essential to identify the dominant land for the </w:t>
      </w:r>
      <w:r>
        <w:rPr>
          <w:rFonts w:ascii="Arial" w:hAnsi="Arial" w:cs="Arial"/>
          <w:lang w:val="en-US"/>
        </w:rPr>
        <w:lastRenderedPageBreak/>
        <w:t xml:space="preserve">reason that the law will not allow dominant landowners to acquire a grant of an easement to the advantage of a subsequent land that they may obtain in the future as seen in the case of </w:t>
      </w:r>
      <w:r>
        <w:rPr>
          <w:rFonts w:ascii="Arial" w:hAnsi="Arial" w:cs="Arial"/>
          <w:i/>
          <w:iCs/>
          <w:lang w:val="en-US"/>
        </w:rPr>
        <w:t xml:space="preserve">‘London &amp; Blenheim Estates Ltd v Ladbrooke Retail Parks Ltd’ </w:t>
      </w:r>
      <w:r>
        <w:rPr>
          <w:rFonts w:ascii="Arial" w:hAnsi="Arial" w:cs="Arial"/>
          <w:lang w:val="en-US"/>
        </w:rPr>
        <w:t xml:space="preserve">(1994). Additionally, not only will the law reject an easement for the benefit of future land purchased by the dominant land owner, but also a dominant owner will be exempt from claiming the benefit of a right for any additional property or land already owned and adjacent to the dominant land according to the case of </w:t>
      </w:r>
      <w:r>
        <w:rPr>
          <w:rFonts w:ascii="Arial" w:hAnsi="Arial" w:cs="Arial"/>
          <w:i/>
          <w:iCs/>
          <w:lang w:val="en-US"/>
        </w:rPr>
        <w:t xml:space="preserve">‘Harris v Flower’ </w:t>
      </w:r>
      <w:r>
        <w:rPr>
          <w:rFonts w:ascii="Arial" w:hAnsi="Arial" w:cs="Arial"/>
          <w:lang w:val="en-US"/>
        </w:rPr>
        <w:t xml:space="preserve">(1904). It should be noted, that the decision in </w:t>
      </w:r>
      <w:r>
        <w:rPr>
          <w:rFonts w:ascii="Arial" w:hAnsi="Arial" w:cs="Arial"/>
          <w:i/>
          <w:iCs/>
          <w:lang w:val="en-US"/>
        </w:rPr>
        <w:t xml:space="preserve">‘Harris v Flower’ </w:t>
      </w:r>
      <w:r>
        <w:rPr>
          <w:rFonts w:ascii="Arial" w:hAnsi="Arial" w:cs="Arial"/>
          <w:lang w:val="en-US"/>
        </w:rPr>
        <w:t xml:space="preserve">(1904) became known as the ‘rule in </w:t>
      </w:r>
      <w:r>
        <w:rPr>
          <w:rFonts w:ascii="Arial" w:hAnsi="Arial" w:cs="Arial"/>
          <w:i/>
          <w:iCs/>
          <w:lang w:val="en-US"/>
        </w:rPr>
        <w:t>Harris v Flower’,</w:t>
      </w:r>
      <w:r>
        <w:rPr>
          <w:rFonts w:ascii="Arial" w:hAnsi="Arial" w:cs="Arial"/>
          <w:lang w:val="en-US"/>
        </w:rPr>
        <w:t xml:space="preserve"> which restricts the scope of the right enjoyed by the dominant land; Romer LJ clarifies this characteristic by expressing that where a right of way has been granted for enjoyment of Land A, and the landowner owns or buys Land B, then they cannot utilize that right of way for passage over Land A to Land B. Certainly, the explanation behind why Mr. Peacock in </w:t>
      </w:r>
      <w:r>
        <w:rPr>
          <w:rFonts w:ascii="Arial" w:hAnsi="Arial" w:cs="Arial"/>
          <w:i/>
          <w:iCs/>
          <w:lang w:val="en-US"/>
        </w:rPr>
        <w:t xml:space="preserve">‘Peacock v </w:t>
      </w:r>
      <w:proofErr w:type="spellStart"/>
      <w:r>
        <w:rPr>
          <w:rFonts w:ascii="Arial" w:hAnsi="Arial" w:cs="Arial"/>
          <w:i/>
          <w:iCs/>
          <w:lang w:val="en-US"/>
        </w:rPr>
        <w:t>Custins</w:t>
      </w:r>
      <w:proofErr w:type="spellEnd"/>
      <w:r>
        <w:rPr>
          <w:rFonts w:ascii="Arial" w:hAnsi="Arial" w:cs="Arial"/>
          <w:i/>
          <w:iCs/>
          <w:lang w:val="en-US"/>
        </w:rPr>
        <w:t xml:space="preserve">’ </w:t>
      </w:r>
      <w:r>
        <w:rPr>
          <w:rFonts w:ascii="Arial" w:hAnsi="Arial" w:cs="Arial"/>
          <w:lang w:val="en-US"/>
        </w:rPr>
        <w:t xml:space="preserve">(2002) was forbidden to use a right of way that he appreciated for the benefit of a particular field in order to get over an adjacent land that was owned by himself, can be traced back to the ‘rule in </w:t>
      </w:r>
      <w:r>
        <w:rPr>
          <w:rFonts w:ascii="Arial" w:hAnsi="Arial" w:cs="Arial"/>
          <w:i/>
          <w:iCs/>
          <w:lang w:val="en-US"/>
        </w:rPr>
        <w:t xml:space="preserve">Harris v Flower’. </w:t>
      </w:r>
      <w:r>
        <w:rPr>
          <w:rFonts w:ascii="Arial" w:hAnsi="Arial" w:cs="Arial"/>
          <w:lang w:val="en-US"/>
        </w:rPr>
        <w:t xml:space="preserve">Importantly, easements can be exercised with different intentions during its execution, which is the issue behind governing whether a servient landowner should be permitted to bring legal action against a dominant landowner who has used a typical right they enjoyed (I.e., Right of way) for another purpose not related to the initial or to confer that right to an unrelated land (adjacent land) (Bailey, 1966, p. 171). To add onto this, if a right of way is granted onto a dominant land to access a servient land, the dominant owner’s intention to use this right for the purpose of passage over an adjacent land then becomes difficult to assess as the period when the intention to access the </w:t>
      </w:r>
      <w:r>
        <w:rPr>
          <w:rFonts w:ascii="Arial" w:hAnsi="Arial" w:cs="Arial"/>
          <w:lang w:val="en-US"/>
        </w:rPr>
        <w:lastRenderedPageBreak/>
        <w:t xml:space="preserve">adjacent land transpired is subjective (McFarlane and Hopkins, 2020, p.320). Nevertheless, the need for both a dominant land and a servient land to identify an easement is subject to some exceptions as the law has admitted that when using the rule in </w:t>
      </w:r>
      <w:r>
        <w:rPr>
          <w:rFonts w:ascii="Arial" w:hAnsi="Arial" w:cs="Arial"/>
          <w:i/>
          <w:iCs/>
          <w:lang w:val="en-US"/>
        </w:rPr>
        <w:t xml:space="preserve">‘Harris v Flower’ </w:t>
      </w:r>
      <w:r>
        <w:rPr>
          <w:rFonts w:ascii="Arial" w:hAnsi="Arial" w:cs="Arial"/>
          <w:lang w:val="en-US"/>
        </w:rPr>
        <w:t xml:space="preserve">(1904), a level of liberty should be required when the use of the adjacent land is simply an accessory to the enjoyment of the dominant land. Hence, a right of way to enter a house that has been extended on a small area of an adjacent land to the dominant land, will be a legitimate right granted by a servient land to a dominant land as highlighted in the case of </w:t>
      </w:r>
      <w:r>
        <w:rPr>
          <w:rFonts w:ascii="Arial" w:hAnsi="Arial" w:cs="Arial"/>
          <w:i/>
          <w:iCs/>
          <w:lang w:val="en-US"/>
        </w:rPr>
        <w:t xml:space="preserve">‘Massey v Boulden’ </w:t>
      </w:r>
      <w:r>
        <w:rPr>
          <w:rFonts w:ascii="Arial" w:hAnsi="Arial" w:cs="Arial"/>
          <w:lang w:val="en-US"/>
        </w:rPr>
        <w:t xml:space="preserve">(2003). Likewise, a servient landowner may grant a right to park in a garage adjacent to the dominate land as seen in </w:t>
      </w:r>
      <w:r>
        <w:rPr>
          <w:rFonts w:ascii="Arial" w:hAnsi="Arial" w:cs="Arial"/>
          <w:i/>
          <w:iCs/>
          <w:lang w:val="en-US"/>
        </w:rPr>
        <w:t xml:space="preserve">‘Gore v </w:t>
      </w:r>
      <w:proofErr w:type="spellStart"/>
      <w:r>
        <w:rPr>
          <w:rFonts w:ascii="Arial" w:hAnsi="Arial" w:cs="Arial"/>
          <w:i/>
          <w:iCs/>
          <w:lang w:val="en-US"/>
        </w:rPr>
        <w:t>Naheed</w:t>
      </w:r>
      <w:proofErr w:type="spellEnd"/>
      <w:r>
        <w:rPr>
          <w:rFonts w:ascii="Arial" w:hAnsi="Arial" w:cs="Arial"/>
          <w:i/>
          <w:iCs/>
          <w:lang w:val="en-US"/>
        </w:rPr>
        <w:t xml:space="preserve">’ </w:t>
      </w:r>
      <w:r>
        <w:rPr>
          <w:rFonts w:ascii="Arial" w:hAnsi="Arial" w:cs="Arial"/>
          <w:lang w:val="en-US"/>
        </w:rPr>
        <w:t xml:space="preserve">(2017). Overall, the logic for the creation of the rule in </w:t>
      </w:r>
      <w:r>
        <w:rPr>
          <w:rFonts w:ascii="Arial" w:hAnsi="Arial" w:cs="Arial"/>
          <w:i/>
          <w:iCs/>
          <w:lang w:val="en-US"/>
        </w:rPr>
        <w:t xml:space="preserve">‘Harris v Flower’ </w:t>
      </w:r>
      <w:r>
        <w:rPr>
          <w:rFonts w:ascii="Arial" w:hAnsi="Arial" w:cs="Arial"/>
          <w:lang w:val="en-US"/>
        </w:rPr>
        <w:t xml:space="preserve">(1904) stresses the simple fact that the initial terms of the grant given by a servient land are exclusively for a dominant land. As a result, this initial characteristic may perhaps be a more compelling reason in decreasing the burden of excessive use of a servient land (restricting rights) (Seipp, 1994, p. 31). </w:t>
      </w:r>
    </w:p>
    <w:p w14:paraId="4E8F6FAB" w14:textId="574A22FC" w:rsidR="00D47965" w:rsidRDefault="00D47965" w:rsidP="00D47965">
      <w:pPr>
        <w:spacing w:line="480" w:lineRule="auto"/>
        <w:rPr>
          <w:rFonts w:ascii="Arial" w:hAnsi="Arial" w:cs="Arial"/>
          <w:color w:val="000000" w:themeColor="text1"/>
          <w:lang w:val="en-US"/>
        </w:rPr>
      </w:pPr>
      <w:r>
        <w:rPr>
          <w:rFonts w:ascii="Arial" w:hAnsi="Arial" w:cs="Arial"/>
          <w:lang w:val="en-US"/>
        </w:rPr>
        <w:tab/>
        <w:t xml:space="preserve">Next, an easement will most likely not be necessary or granted to a landowner who owns both the dominant and servient land for the reason that their ownership gives them the right to use the servient land (Tanfield, 2016). Since property is transferred from one owner to another in daily activities, </w:t>
      </w:r>
      <w:r w:rsidRPr="00D47965">
        <w:rPr>
          <w:rFonts w:ascii="Arial" w:hAnsi="Arial" w:cs="Arial"/>
          <w:color w:val="000000" w:themeColor="text1"/>
          <w:lang w:val="en-US"/>
        </w:rPr>
        <w:t xml:space="preserve">it seems logical that this characteristic of having diversity in land ownership has been the subject of minor reform; The Law Commission (2011) once suggested that a small moderation should be considered where the dominant and servient land are registered under distinct titles but in the name of the same registered owner as observed by Davies and Taggart (2021). </w:t>
      </w:r>
      <w:r>
        <w:rPr>
          <w:rFonts w:ascii="Arial" w:hAnsi="Arial" w:cs="Arial"/>
          <w:color w:val="000000" w:themeColor="text1"/>
          <w:lang w:val="en-US"/>
        </w:rPr>
        <w:t xml:space="preserve">Additionally, the moderation would then enable the sale of houses where a party (landowners) has </w:t>
      </w:r>
      <w:r>
        <w:rPr>
          <w:rFonts w:ascii="Arial" w:hAnsi="Arial" w:cs="Arial"/>
          <w:color w:val="000000" w:themeColor="text1"/>
          <w:lang w:val="en-US"/>
        </w:rPr>
        <w:lastRenderedPageBreak/>
        <w:t xml:space="preserve">split their ownership of the property into separate plots under separate registered titles amongst which easements are necessary or beneficial (MacFarlane and Hopkins, 2020, p. 321). Moreover, easements are capable of being attached to an estate in the land, therefore, this characteristic allows a landowner to enjoy freely an easement over their landlord’s servient land, as the easement goes along with their leasehold estate as illustrated in the case of </w:t>
      </w:r>
      <w:r>
        <w:rPr>
          <w:rFonts w:ascii="Arial" w:hAnsi="Arial" w:cs="Arial"/>
          <w:i/>
          <w:iCs/>
          <w:color w:val="000000" w:themeColor="text1"/>
          <w:lang w:val="en-US"/>
        </w:rPr>
        <w:t xml:space="preserve">‘Wright v Macadam’ </w:t>
      </w:r>
      <w:r>
        <w:rPr>
          <w:rFonts w:ascii="Arial" w:hAnsi="Arial" w:cs="Arial"/>
          <w:color w:val="000000" w:themeColor="text1"/>
          <w:lang w:val="en-US"/>
        </w:rPr>
        <w:t xml:space="preserve">(1949). However, it has been fairly recognized that a servient landowner may cancel an easement in situations where a right brought forward by a leasehold estate comes to an early end by lose or forfeiture as expressed by the court in </w:t>
      </w:r>
      <w:r>
        <w:rPr>
          <w:rFonts w:ascii="Arial" w:hAnsi="Arial" w:cs="Arial"/>
          <w:i/>
          <w:iCs/>
          <w:color w:val="000000" w:themeColor="text1"/>
          <w:lang w:val="en-US"/>
        </w:rPr>
        <w:t xml:space="preserve">‘Wall v Collins’ </w:t>
      </w:r>
      <w:r>
        <w:rPr>
          <w:rFonts w:ascii="Arial" w:hAnsi="Arial" w:cs="Arial"/>
          <w:color w:val="000000" w:themeColor="text1"/>
          <w:lang w:val="en-US"/>
        </w:rPr>
        <w:t xml:space="preserve">(2007). It should be noted, that this characteristic was only a comment towards the topic in court, the court decision in </w:t>
      </w:r>
      <w:r>
        <w:rPr>
          <w:rFonts w:ascii="Arial" w:hAnsi="Arial" w:cs="Arial"/>
          <w:i/>
          <w:iCs/>
          <w:color w:val="000000" w:themeColor="text1"/>
          <w:lang w:val="en-US"/>
        </w:rPr>
        <w:t xml:space="preserve">‘Wall v Collins’ </w:t>
      </w:r>
      <w:r>
        <w:rPr>
          <w:rFonts w:ascii="Arial" w:hAnsi="Arial" w:cs="Arial"/>
          <w:color w:val="000000" w:themeColor="text1"/>
          <w:lang w:val="en-US"/>
        </w:rPr>
        <w:t xml:space="preserve">(2007) shows that the law actually can object to this feature where a lease was joined with the freehold reversion of the dominant land right after the tenant bought the estate. It was made clear in </w:t>
      </w:r>
      <w:r>
        <w:rPr>
          <w:rFonts w:ascii="Arial" w:hAnsi="Arial" w:cs="Arial"/>
          <w:i/>
          <w:iCs/>
          <w:color w:val="000000" w:themeColor="text1"/>
          <w:lang w:val="en-US"/>
        </w:rPr>
        <w:t xml:space="preserve">‘Wall v Collins’ </w:t>
      </w:r>
      <w:r>
        <w:rPr>
          <w:rFonts w:ascii="Arial" w:hAnsi="Arial" w:cs="Arial"/>
          <w:color w:val="000000" w:themeColor="text1"/>
          <w:lang w:val="en-US"/>
        </w:rPr>
        <w:t xml:space="preserve">(2007), that if a leasehold right of way is enjoyed by a tenant over a neighboring servient land, then that right will not be integrated with a freehold reversion; Rather, it would stay attached to the dominant land for any period which it was granted for. In particular, since leasehold easements may come to an end by lose or forfeiture, easements can allow landowners to imply the existence of a right during a conveyance of land without the need to expressly refer to them as a result of the enactment of Section 62 of the Law of Property Act 1925 (MacFarlane and Hopkins, 2020, p.332). It could be inferred that the effect of Section 62 LPA 1925 can be seen in cases like </w:t>
      </w:r>
      <w:r>
        <w:rPr>
          <w:rFonts w:ascii="Arial" w:hAnsi="Arial" w:cs="Arial"/>
          <w:i/>
          <w:iCs/>
          <w:color w:val="000000" w:themeColor="text1"/>
          <w:lang w:val="en-US"/>
        </w:rPr>
        <w:t xml:space="preserve">‘Wright v Macadam’ </w:t>
      </w:r>
      <w:r>
        <w:rPr>
          <w:rFonts w:ascii="Arial" w:hAnsi="Arial" w:cs="Arial"/>
          <w:color w:val="000000" w:themeColor="text1"/>
          <w:lang w:val="en-US"/>
        </w:rPr>
        <w:t xml:space="preserve">(1949), where a servient landowner may be vulnerable and obligated to grant certain rights which were not recognized as an easement before the land was conveyed for the reason that the law </w:t>
      </w:r>
      <w:r>
        <w:rPr>
          <w:rFonts w:ascii="Arial" w:hAnsi="Arial" w:cs="Arial"/>
          <w:color w:val="000000" w:themeColor="text1"/>
          <w:lang w:val="en-US"/>
        </w:rPr>
        <w:lastRenderedPageBreak/>
        <w:t xml:space="preserve">has a tendency to give practically a simple personal license to a proprietary interest, the title of an easement. The court upheld Ms. Wright’s claim under section 62 and gave Ms. Wright an easement for the right to use a coal shed (personal permission given prior) after joining her new tenancy agreement with Mr. Macadam, when he claimed that she should pay for her privilege under the new tenancy agreement in </w:t>
      </w:r>
      <w:r>
        <w:rPr>
          <w:rFonts w:ascii="Arial" w:hAnsi="Arial" w:cs="Arial"/>
          <w:i/>
          <w:iCs/>
          <w:color w:val="000000" w:themeColor="text1"/>
          <w:lang w:val="en-US"/>
        </w:rPr>
        <w:t xml:space="preserve">‘Wright v Macadam’ </w:t>
      </w:r>
      <w:r>
        <w:rPr>
          <w:rFonts w:ascii="Arial" w:hAnsi="Arial" w:cs="Arial"/>
          <w:color w:val="000000" w:themeColor="text1"/>
          <w:lang w:val="en-US"/>
        </w:rPr>
        <w:t xml:space="preserve">(1949). Finally, because diversity in landowner between the dominant and servient land is required, a servient landowner may accordingly be excluded from involvement in any expenditure except under two circumstances: 1) Where it involves the maintenance of a fence and 2) Where there’s an obligation to keep main parts clear and well maintained as set out in </w:t>
      </w:r>
      <w:r>
        <w:rPr>
          <w:rFonts w:ascii="Arial" w:hAnsi="Arial" w:cs="Arial"/>
          <w:i/>
          <w:iCs/>
          <w:color w:val="000000" w:themeColor="text1"/>
          <w:lang w:val="en-US"/>
        </w:rPr>
        <w:t xml:space="preserve">‘Crow v Wood’ </w:t>
      </w:r>
      <w:r>
        <w:rPr>
          <w:rFonts w:ascii="Arial" w:hAnsi="Arial" w:cs="Arial"/>
          <w:color w:val="000000" w:themeColor="text1"/>
          <w:lang w:val="en-US"/>
        </w:rPr>
        <w:t xml:space="preserve">(1970). </w:t>
      </w:r>
    </w:p>
    <w:p w14:paraId="180B14BD" w14:textId="010AF8B0" w:rsidR="00D47965" w:rsidRDefault="00D47965" w:rsidP="00D47965">
      <w:pPr>
        <w:spacing w:line="480" w:lineRule="auto"/>
        <w:rPr>
          <w:rFonts w:ascii="Arial" w:hAnsi="Arial" w:cs="Arial"/>
          <w:color w:val="000000" w:themeColor="text1"/>
          <w:lang w:val="en-US"/>
        </w:rPr>
      </w:pPr>
      <w:r>
        <w:rPr>
          <w:rFonts w:ascii="Arial" w:hAnsi="Arial" w:cs="Arial"/>
          <w:color w:val="000000" w:themeColor="text1"/>
          <w:lang w:val="en-US"/>
        </w:rPr>
        <w:tab/>
        <w:t>Furthermore, a servient landowner may trace an exclusion from getting involved with any expenditure on land as a result of the third characteristic of an easement, which states that an easement must accommodate the dominant land (Whyte, 1968, p. 87). Consequently, the servient landowner may grant an easement that benefits the dominate land (right of way)</w:t>
      </w:r>
      <w:r w:rsidR="004365DA">
        <w:rPr>
          <w:rFonts w:ascii="Arial" w:hAnsi="Arial" w:cs="Arial"/>
          <w:color w:val="000000" w:themeColor="text1"/>
          <w:lang w:val="en-US"/>
        </w:rPr>
        <w:t>,</w:t>
      </w:r>
      <w:r>
        <w:rPr>
          <w:rFonts w:ascii="Arial" w:hAnsi="Arial" w:cs="Arial"/>
          <w:color w:val="000000" w:themeColor="text1"/>
          <w:lang w:val="en-US"/>
        </w:rPr>
        <w:t xml:space="preserve"> but on the other hand,</w:t>
      </w:r>
      <w:r w:rsidR="004365DA">
        <w:rPr>
          <w:rFonts w:ascii="Arial" w:hAnsi="Arial" w:cs="Arial"/>
          <w:color w:val="000000" w:themeColor="text1"/>
          <w:lang w:val="en-US"/>
        </w:rPr>
        <w:t xml:space="preserve"> an easement</w:t>
      </w:r>
      <w:r>
        <w:rPr>
          <w:rFonts w:ascii="Arial" w:hAnsi="Arial" w:cs="Arial"/>
          <w:color w:val="000000" w:themeColor="text1"/>
          <w:lang w:val="en-US"/>
        </w:rPr>
        <w:t xml:space="preserve"> allows the servient landowner to reserve rights that benefits only an individual owner (i.e., financial gains) (Harvard Law Review, 1906, p.136). Thus, in the case of </w:t>
      </w:r>
      <w:r>
        <w:rPr>
          <w:rFonts w:ascii="Arial" w:hAnsi="Arial" w:cs="Arial"/>
          <w:i/>
          <w:iCs/>
          <w:color w:val="000000" w:themeColor="text1"/>
          <w:lang w:val="en-US"/>
        </w:rPr>
        <w:t xml:space="preserve">‘Hill v Tupper’ </w:t>
      </w:r>
      <w:r>
        <w:rPr>
          <w:rFonts w:ascii="Arial" w:hAnsi="Arial" w:cs="Arial"/>
          <w:color w:val="000000" w:themeColor="text1"/>
          <w:lang w:val="en-US"/>
        </w:rPr>
        <w:t xml:space="preserve">(1863), Mr. Tupper violated a right to use and park boats on a canal, since he had started to use this right as a way to rent boats to his customers for use on the canal, for the reason that the right had now been subject to a ‘monopolistic commercial advantage’, benefitting the business owner rather than the land itself. Nevertheless, accommodating the dominant land with an easement lies within the issue of whether the normal enjoyment of the land would be enhanced, which is a fact to be resolved by taking into </w:t>
      </w:r>
      <w:r>
        <w:rPr>
          <w:rFonts w:ascii="Arial" w:hAnsi="Arial" w:cs="Arial"/>
          <w:color w:val="000000" w:themeColor="text1"/>
          <w:lang w:val="en-US"/>
        </w:rPr>
        <w:lastRenderedPageBreak/>
        <w:t xml:space="preserve">account the nature of the </w:t>
      </w:r>
      <w:r w:rsidRPr="00D47965">
        <w:rPr>
          <w:rFonts w:ascii="Arial" w:hAnsi="Arial" w:cs="Arial"/>
          <w:color w:val="000000" w:themeColor="text1"/>
          <w:lang w:val="en-US"/>
        </w:rPr>
        <w:t xml:space="preserve">right itself </w:t>
      </w:r>
      <w:r>
        <w:rPr>
          <w:rFonts w:ascii="Arial" w:hAnsi="Arial" w:cs="Arial"/>
          <w:color w:val="000000" w:themeColor="text1"/>
          <w:lang w:val="en-US"/>
        </w:rPr>
        <w:t xml:space="preserve">and the </w:t>
      </w:r>
      <w:r w:rsidRPr="00D47965">
        <w:rPr>
          <w:rFonts w:ascii="Arial" w:hAnsi="Arial" w:cs="Arial"/>
          <w:color w:val="000000" w:themeColor="text1"/>
          <w:lang w:val="en-US"/>
        </w:rPr>
        <w:t xml:space="preserve">dominant land </w:t>
      </w:r>
      <w:r>
        <w:rPr>
          <w:rFonts w:ascii="Arial" w:hAnsi="Arial" w:cs="Arial"/>
          <w:color w:val="000000" w:themeColor="text1"/>
          <w:lang w:val="en-US"/>
        </w:rPr>
        <w:t xml:space="preserve">(Tanfield, 2016). In </w:t>
      </w:r>
      <w:proofErr w:type="spellStart"/>
      <w:r>
        <w:rPr>
          <w:rFonts w:ascii="Arial" w:hAnsi="Arial" w:cs="Arial"/>
          <w:i/>
          <w:iCs/>
          <w:color w:val="000000" w:themeColor="text1"/>
          <w:lang w:val="en-US"/>
        </w:rPr>
        <w:t>‘Re</w:t>
      </w:r>
      <w:proofErr w:type="spellEnd"/>
      <w:r>
        <w:rPr>
          <w:rFonts w:ascii="Arial" w:hAnsi="Arial" w:cs="Arial"/>
          <w:i/>
          <w:iCs/>
          <w:color w:val="000000" w:themeColor="text1"/>
          <w:lang w:val="en-US"/>
        </w:rPr>
        <w:t xml:space="preserve"> Ellenborough Park’ </w:t>
      </w:r>
      <w:r>
        <w:rPr>
          <w:rFonts w:ascii="Arial" w:hAnsi="Arial" w:cs="Arial"/>
          <w:color w:val="000000" w:themeColor="text1"/>
          <w:lang w:val="en-US"/>
        </w:rPr>
        <w:t xml:space="preserve">(1956), the court acknowledged that a communal garden at a park could grant the houses (dominant land) surrounding the garden a right to use that garden for the reason that this place would enhance or accommodate the use of the land as a domestic accommodation by giving beautiful outside area for which to relax and admire the comfort the land provided. Certainly, this characteristic could provide limitations towards the rights a servient land may reserve as its features allows an easement to be granted whenever the dominant land is deemed to be in close proximity with a servient land, so as to link the benefit of the right to the dominant land (MacFarlane and Hopkins, 2020, p.323). For instance, the holiday resort in </w:t>
      </w:r>
      <w:r>
        <w:rPr>
          <w:rFonts w:ascii="Arial" w:hAnsi="Arial" w:cs="Arial"/>
          <w:i/>
          <w:iCs/>
          <w:color w:val="000000" w:themeColor="text1"/>
          <w:lang w:val="en-US"/>
        </w:rPr>
        <w:t xml:space="preserve">‘Regency Villas Titles Ltd v Diamond Resorts (Europe) Ltd’ </w:t>
      </w:r>
      <w:r>
        <w:rPr>
          <w:rFonts w:ascii="Arial" w:hAnsi="Arial" w:cs="Arial"/>
          <w:color w:val="000000" w:themeColor="text1"/>
          <w:lang w:val="en-US"/>
        </w:rPr>
        <w:t xml:space="preserve">(2018) could not restrict the apartments that joined part of their resort the right to use the leisure it provided, such as swimming pools and golf courses because they were there to make the apartments more attractive for short holidays and breaks according to the court. Moreover, in circumstances where a dominant land is used for business purposes it becomes tough to differentiate between the positive enhancement of the dominant landowner’s particular business or the commercial use of the land in general, which consequently leaves servient landowners in obscurity like in the case of </w:t>
      </w:r>
      <w:r>
        <w:rPr>
          <w:rFonts w:ascii="Arial" w:hAnsi="Arial" w:cs="Arial"/>
          <w:i/>
          <w:iCs/>
          <w:color w:val="000000" w:themeColor="text1"/>
          <w:lang w:val="en-US"/>
        </w:rPr>
        <w:t xml:space="preserve">‘Moody v </w:t>
      </w:r>
      <w:proofErr w:type="spellStart"/>
      <w:r>
        <w:rPr>
          <w:rFonts w:ascii="Arial" w:hAnsi="Arial" w:cs="Arial"/>
          <w:i/>
          <w:iCs/>
          <w:color w:val="000000" w:themeColor="text1"/>
          <w:lang w:val="en-US"/>
        </w:rPr>
        <w:t>Steggles</w:t>
      </w:r>
      <w:proofErr w:type="spellEnd"/>
      <w:r>
        <w:rPr>
          <w:rFonts w:ascii="Arial" w:hAnsi="Arial" w:cs="Arial"/>
          <w:i/>
          <w:iCs/>
          <w:color w:val="000000" w:themeColor="text1"/>
          <w:lang w:val="en-US"/>
        </w:rPr>
        <w:t xml:space="preserve">’ </w:t>
      </w:r>
      <w:r>
        <w:rPr>
          <w:rFonts w:ascii="Arial" w:hAnsi="Arial" w:cs="Arial"/>
          <w:color w:val="000000" w:themeColor="text1"/>
          <w:lang w:val="en-US"/>
        </w:rPr>
        <w:t>(1879). The case of ‘</w:t>
      </w:r>
      <w:r>
        <w:rPr>
          <w:rFonts w:ascii="Arial" w:hAnsi="Arial" w:cs="Arial"/>
          <w:i/>
          <w:iCs/>
          <w:color w:val="000000" w:themeColor="text1"/>
          <w:lang w:val="en-US"/>
        </w:rPr>
        <w:t xml:space="preserve">Moody v </w:t>
      </w:r>
      <w:proofErr w:type="spellStart"/>
      <w:r>
        <w:rPr>
          <w:rFonts w:ascii="Arial" w:hAnsi="Arial" w:cs="Arial"/>
          <w:i/>
          <w:iCs/>
          <w:color w:val="000000" w:themeColor="text1"/>
          <w:lang w:val="en-US"/>
        </w:rPr>
        <w:t>Steggles</w:t>
      </w:r>
      <w:proofErr w:type="spellEnd"/>
      <w:r>
        <w:rPr>
          <w:rFonts w:ascii="Arial" w:hAnsi="Arial" w:cs="Arial"/>
          <w:i/>
          <w:iCs/>
          <w:color w:val="000000" w:themeColor="text1"/>
          <w:lang w:val="en-US"/>
        </w:rPr>
        <w:t xml:space="preserve">’ </w:t>
      </w:r>
      <w:r>
        <w:rPr>
          <w:rFonts w:ascii="Arial" w:hAnsi="Arial" w:cs="Arial"/>
          <w:color w:val="000000" w:themeColor="text1"/>
          <w:lang w:val="en-US"/>
        </w:rPr>
        <w:t>(1879) displays the court refusal to differentiate between the business conducted on the land and the use of the land</w:t>
      </w:r>
      <w:r w:rsidR="004365DA">
        <w:rPr>
          <w:rFonts w:ascii="Arial" w:hAnsi="Arial" w:cs="Arial"/>
          <w:color w:val="000000" w:themeColor="text1"/>
          <w:lang w:val="en-US"/>
        </w:rPr>
        <w:t xml:space="preserve">, </w:t>
      </w:r>
      <w:r>
        <w:rPr>
          <w:rFonts w:ascii="Arial" w:hAnsi="Arial" w:cs="Arial"/>
          <w:color w:val="000000" w:themeColor="text1"/>
          <w:lang w:val="en-US"/>
        </w:rPr>
        <w:t xml:space="preserve">after a servient landowner was denied the reservation of a right to allow a dominant landowner to erect a sign on the servient land to show and advertise their business; What this accomplishes is to create more ambiguity because it was argued that the sign could </w:t>
      </w:r>
      <w:r>
        <w:rPr>
          <w:rFonts w:ascii="Arial" w:hAnsi="Arial" w:cs="Arial"/>
          <w:color w:val="000000" w:themeColor="text1"/>
          <w:lang w:val="en-US"/>
        </w:rPr>
        <w:lastRenderedPageBreak/>
        <w:t xml:space="preserve">have indicated and benefited any business conducted on the dominant land, so therefore, the sign was simply a fulfillment of a right enjoyed by the dominant land as it enhanced its value. Nonetheless, the burden for an easement such as a right to use something particular on the servient land is diminished by the effect of emphasizing the requirement that an easement must accommodate the dominant land, because it decreases the number of superficial rights from being claimed as expressed by Morrisons (2019). It should be noted that a right to gain free entry to a zoo or a cricket ground for example, would be considered to be independent of the use of the dominant land as a home, which consequently means that the easement does not enhance its residential use adequately as noted by the court of appeal in </w:t>
      </w:r>
      <w:proofErr w:type="spellStart"/>
      <w:r>
        <w:rPr>
          <w:rFonts w:ascii="Arial" w:hAnsi="Arial" w:cs="Arial"/>
          <w:i/>
          <w:iCs/>
          <w:color w:val="000000" w:themeColor="text1"/>
          <w:lang w:val="en-US"/>
        </w:rPr>
        <w:t>‘Re</w:t>
      </w:r>
      <w:proofErr w:type="spellEnd"/>
      <w:r>
        <w:rPr>
          <w:rFonts w:ascii="Arial" w:hAnsi="Arial" w:cs="Arial"/>
          <w:i/>
          <w:iCs/>
          <w:color w:val="000000" w:themeColor="text1"/>
          <w:lang w:val="en-US"/>
        </w:rPr>
        <w:t xml:space="preserve"> Ellenborough Park’ </w:t>
      </w:r>
      <w:r>
        <w:rPr>
          <w:rFonts w:ascii="Arial" w:hAnsi="Arial" w:cs="Arial"/>
          <w:color w:val="000000" w:themeColor="text1"/>
          <w:lang w:val="en-US"/>
        </w:rPr>
        <w:t xml:space="preserve">(1956). </w:t>
      </w:r>
    </w:p>
    <w:p w14:paraId="2F73D09B" w14:textId="51A1193C" w:rsidR="00D47965" w:rsidRDefault="00D47965" w:rsidP="00D47965">
      <w:pPr>
        <w:spacing w:line="480" w:lineRule="auto"/>
        <w:rPr>
          <w:rFonts w:ascii="Arial" w:hAnsi="Arial" w:cs="Arial"/>
          <w:color w:val="000000" w:themeColor="text1"/>
          <w:lang w:val="en-US"/>
        </w:rPr>
      </w:pPr>
      <w:r>
        <w:rPr>
          <w:rFonts w:ascii="Arial" w:hAnsi="Arial" w:cs="Arial"/>
          <w:color w:val="000000" w:themeColor="text1"/>
          <w:lang w:val="en-US"/>
        </w:rPr>
        <w:tab/>
        <w:t>Furthermore, before an easement can be granted or reserved, it must be established that the right is capable of forming the subject matter of a grant (ex, right of way or rights to run services) as illustrated by McKinney (2020). In an attempt to prevent heavy burdens being placed upon the servient land, the last characteristics of identifying an easement is provided for the reason that it could reflect the plain requirement that as an easement is a legal interest in land, it should be granted to the grantee (dominant land) by the grantor (Servient land) by deed in order to make the capacity of enjoyment apparent (</w:t>
      </w:r>
      <w:proofErr w:type="spellStart"/>
      <w:r>
        <w:rPr>
          <w:rFonts w:ascii="Arial" w:hAnsi="Arial" w:cs="Arial"/>
          <w:color w:val="000000" w:themeColor="text1"/>
          <w:lang w:val="en-US"/>
        </w:rPr>
        <w:t>Gooderson</w:t>
      </w:r>
      <w:proofErr w:type="spellEnd"/>
      <w:r>
        <w:rPr>
          <w:rFonts w:ascii="Arial" w:hAnsi="Arial" w:cs="Arial"/>
          <w:color w:val="000000" w:themeColor="text1"/>
          <w:lang w:val="en-US"/>
        </w:rPr>
        <w:t xml:space="preserve">, 1956, p.25). The following four interconnected elements are essential to understanding this last requirement: 1) The requirement of certainty in the scope of the grant; 2) There should be no positive burden on the servient landowner; 3) The requirement for limitation on recognizing new easements; and 4) the ‘ouster’ principle, which denies rights which excludes the servient owner or results to a claim to </w:t>
      </w:r>
      <w:r>
        <w:rPr>
          <w:rFonts w:ascii="Arial" w:hAnsi="Arial" w:cs="Arial"/>
          <w:color w:val="000000" w:themeColor="text1"/>
          <w:lang w:val="en-US"/>
        </w:rPr>
        <w:lastRenderedPageBreak/>
        <w:t xml:space="preserve">joint ownership according to McKinney (2020). </w:t>
      </w:r>
      <w:r w:rsidRPr="00D47965">
        <w:rPr>
          <w:rFonts w:ascii="Arial" w:hAnsi="Arial" w:cs="Arial"/>
          <w:color w:val="000000" w:themeColor="text1"/>
          <w:lang w:val="en-US"/>
        </w:rPr>
        <w:t xml:space="preserve">Easements such as the right to use the structural defined communal garden was viewed as sufficiently certain in the case of </w:t>
      </w:r>
      <w:proofErr w:type="spellStart"/>
      <w:r w:rsidRPr="00D47965">
        <w:rPr>
          <w:rFonts w:ascii="Arial" w:hAnsi="Arial" w:cs="Arial"/>
          <w:i/>
          <w:iCs/>
          <w:color w:val="000000" w:themeColor="text1"/>
          <w:lang w:val="en-US"/>
        </w:rPr>
        <w:t>‘Re</w:t>
      </w:r>
      <w:proofErr w:type="spellEnd"/>
      <w:r w:rsidRPr="00D47965">
        <w:rPr>
          <w:rFonts w:ascii="Arial" w:hAnsi="Arial" w:cs="Arial"/>
          <w:i/>
          <w:iCs/>
          <w:color w:val="000000" w:themeColor="text1"/>
          <w:lang w:val="en-US"/>
        </w:rPr>
        <w:t xml:space="preserve"> Ellenborough Park’ </w:t>
      </w:r>
      <w:r w:rsidRPr="00D47965">
        <w:rPr>
          <w:rFonts w:ascii="Arial" w:hAnsi="Arial" w:cs="Arial"/>
          <w:color w:val="000000" w:themeColor="text1"/>
          <w:lang w:val="en-US"/>
        </w:rPr>
        <w:t xml:space="preserve">(1956), compared to a general freedom to walk over a wide </w:t>
      </w:r>
      <w:r w:rsidR="004365DA">
        <w:rPr>
          <w:rFonts w:ascii="Arial" w:hAnsi="Arial" w:cs="Arial"/>
          <w:color w:val="000000" w:themeColor="text1"/>
          <w:lang w:val="en-US"/>
        </w:rPr>
        <w:t>or</w:t>
      </w:r>
      <w:r w:rsidRPr="00D47965">
        <w:rPr>
          <w:rFonts w:ascii="Arial" w:hAnsi="Arial" w:cs="Arial"/>
          <w:color w:val="000000" w:themeColor="text1"/>
          <w:lang w:val="en-US"/>
        </w:rPr>
        <w:t xml:space="preserve"> an imprecise area, for the reason that one makes clear what rights the servient owner may submit to and to what burden the servient land is subject to, while the other is ambiguous. </w:t>
      </w:r>
      <w:r>
        <w:rPr>
          <w:rFonts w:ascii="Arial" w:hAnsi="Arial" w:cs="Arial"/>
          <w:color w:val="000000" w:themeColor="text1"/>
          <w:lang w:val="en-US"/>
        </w:rPr>
        <w:t>Therefore, a right that is undefined or vague, like a right to a view in ‘</w:t>
      </w:r>
      <w:r>
        <w:rPr>
          <w:rFonts w:ascii="Arial" w:hAnsi="Arial" w:cs="Arial"/>
          <w:i/>
          <w:iCs/>
          <w:color w:val="000000" w:themeColor="text1"/>
          <w:lang w:val="en-US"/>
        </w:rPr>
        <w:t xml:space="preserve">Harris v De Pinna’ </w:t>
      </w:r>
      <w:r>
        <w:rPr>
          <w:rFonts w:ascii="Arial" w:hAnsi="Arial" w:cs="Arial"/>
          <w:color w:val="000000" w:themeColor="text1"/>
          <w:lang w:val="en-US"/>
        </w:rPr>
        <w:t xml:space="preserve">(1886) or a right to uninterrupted television reception as seen in </w:t>
      </w:r>
      <w:r>
        <w:rPr>
          <w:rFonts w:ascii="Arial" w:hAnsi="Arial" w:cs="Arial"/>
          <w:i/>
          <w:iCs/>
          <w:color w:val="000000" w:themeColor="text1"/>
          <w:lang w:val="en-US"/>
        </w:rPr>
        <w:t xml:space="preserve">‘Hunter v Canary Wharf Ltd’ </w:t>
      </w:r>
      <w:r>
        <w:rPr>
          <w:rFonts w:ascii="Arial" w:hAnsi="Arial" w:cs="Arial"/>
          <w:color w:val="000000" w:themeColor="text1"/>
          <w:lang w:val="en-US"/>
        </w:rPr>
        <w:t xml:space="preserve">(1997), would not be an easement because their features are ill-defined. However, the court in the case of </w:t>
      </w:r>
      <w:r>
        <w:rPr>
          <w:rFonts w:ascii="Arial" w:hAnsi="Arial" w:cs="Arial"/>
          <w:i/>
          <w:iCs/>
          <w:color w:val="000000" w:themeColor="text1"/>
          <w:lang w:val="en-US"/>
        </w:rPr>
        <w:t xml:space="preserve">‘Harris v De Pinna’ </w:t>
      </w:r>
      <w:r>
        <w:rPr>
          <w:rFonts w:ascii="Arial" w:hAnsi="Arial" w:cs="Arial"/>
          <w:color w:val="000000" w:themeColor="text1"/>
          <w:lang w:val="en-US"/>
        </w:rPr>
        <w:t>(1886) highlighted those rights which are considered vague, like a right to light or a right to air, could be given certainty to an extent if these rights are defined through a channel (i.e., street lights). Moreover, since an easement does not demand a servient landowner to do anything but to allow the dominant owner to exercise their right</w:t>
      </w:r>
      <w:r w:rsidR="004365DA">
        <w:rPr>
          <w:rFonts w:ascii="Arial" w:hAnsi="Arial" w:cs="Arial"/>
          <w:color w:val="000000" w:themeColor="text1"/>
          <w:lang w:val="en-US"/>
        </w:rPr>
        <w:t>s</w:t>
      </w:r>
      <w:r>
        <w:rPr>
          <w:rFonts w:ascii="Arial" w:hAnsi="Arial" w:cs="Arial"/>
          <w:color w:val="000000" w:themeColor="text1"/>
          <w:lang w:val="en-US"/>
        </w:rPr>
        <w:t xml:space="preserve"> or avoid interreference, it seems logical that no positive burden should be placed on the servient owner (Macfarlane and Hopkins, 2020, p. 324). In the case of </w:t>
      </w:r>
      <w:r>
        <w:rPr>
          <w:rFonts w:ascii="Arial" w:hAnsi="Arial" w:cs="Arial"/>
          <w:i/>
          <w:iCs/>
          <w:color w:val="000000" w:themeColor="text1"/>
          <w:lang w:val="en-US"/>
        </w:rPr>
        <w:t xml:space="preserve">‘Duke of Westminster v Guild’ </w:t>
      </w:r>
      <w:r>
        <w:rPr>
          <w:rFonts w:ascii="Arial" w:hAnsi="Arial" w:cs="Arial"/>
          <w:color w:val="000000" w:themeColor="text1"/>
          <w:lang w:val="en-US"/>
        </w:rPr>
        <w:t xml:space="preserve">(1985), the court stated that a right of drainage or a right of way granted to a dominant land does not mean that a servient owner will be responsible for maintaining the road or repairing the drains; Likewise, it was expressed that a right to the supply of electricity or water will not require the servient landowner to keep up a continuous supply of that utility. Importantly, it should be noted that the servient landowner’s only obligation in easements such as a right to water or a right to electricity is to avoid interrupting the supply according to the court in the case of </w:t>
      </w:r>
      <w:r>
        <w:rPr>
          <w:rFonts w:ascii="Arial" w:hAnsi="Arial" w:cs="Arial"/>
          <w:i/>
          <w:iCs/>
          <w:color w:val="000000" w:themeColor="text1"/>
          <w:lang w:val="en-US"/>
        </w:rPr>
        <w:t xml:space="preserve">‘Schwann v Cotton’ </w:t>
      </w:r>
      <w:r>
        <w:rPr>
          <w:rFonts w:ascii="Arial" w:hAnsi="Arial" w:cs="Arial"/>
          <w:color w:val="000000" w:themeColor="text1"/>
          <w:lang w:val="en-US"/>
        </w:rPr>
        <w:t xml:space="preserve">(1916). Nevertheless, there is a slight reluctance by the court to recognize new easements that are significantly different from </w:t>
      </w:r>
      <w:r>
        <w:rPr>
          <w:rFonts w:ascii="Arial" w:hAnsi="Arial" w:cs="Arial"/>
          <w:color w:val="000000" w:themeColor="text1"/>
          <w:lang w:val="en-US"/>
        </w:rPr>
        <w:lastRenderedPageBreak/>
        <w:t xml:space="preserve">the type of rights that have been accepted previously as seen in </w:t>
      </w:r>
      <w:r>
        <w:rPr>
          <w:rFonts w:ascii="Arial" w:hAnsi="Arial" w:cs="Arial"/>
          <w:i/>
          <w:iCs/>
          <w:color w:val="000000" w:themeColor="text1"/>
          <w:lang w:val="en-US"/>
        </w:rPr>
        <w:t xml:space="preserve">‘Phipps v Pears’ </w:t>
      </w:r>
      <w:r>
        <w:rPr>
          <w:rFonts w:ascii="Arial" w:hAnsi="Arial" w:cs="Arial"/>
          <w:color w:val="000000" w:themeColor="text1"/>
          <w:lang w:val="en-US"/>
        </w:rPr>
        <w:t xml:space="preserve">(1964). Moreover, in the case of </w:t>
      </w:r>
      <w:r>
        <w:rPr>
          <w:rFonts w:ascii="Arial" w:hAnsi="Arial" w:cs="Arial"/>
          <w:i/>
          <w:iCs/>
          <w:color w:val="000000" w:themeColor="text1"/>
          <w:lang w:val="en-US"/>
        </w:rPr>
        <w:t xml:space="preserve">‘Phipps v Pears’ </w:t>
      </w:r>
      <w:r>
        <w:rPr>
          <w:rFonts w:ascii="Arial" w:hAnsi="Arial" w:cs="Arial"/>
          <w:color w:val="000000" w:themeColor="text1"/>
          <w:lang w:val="en-US"/>
        </w:rPr>
        <w:t xml:space="preserve">(1964), a dominant owner claimed a right of protection from the weather and the court stated that this could not be possible because not only was the right negative, but also the dominant owner was not seeking any right to exercise on the servient land. Furthermore, those rights which forces a servient owner into a joint possession of the land or excludes the servient owner form the land, cannot be granted as an easement as mentioned in the case of </w:t>
      </w:r>
      <w:proofErr w:type="spellStart"/>
      <w:r>
        <w:rPr>
          <w:rFonts w:ascii="Arial" w:hAnsi="Arial" w:cs="Arial"/>
          <w:i/>
          <w:iCs/>
          <w:color w:val="000000" w:themeColor="text1"/>
          <w:lang w:val="en-US"/>
        </w:rPr>
        <w:t>‘Re</w:t>
      </w:r>
      <w:proofErr w:type="spellEnd"/>
      <w:r>
        <w:rPr>
          <w:rFonts w:ascii="Arial" w:hAnsi="Arial" w:cs="Arial"/>
          <w:i/>
          <w:iCs/>
          <w:color w:val="000000" w:themeColor="text1"/>
          <w:lang w:val="en-US"/>
        </w:rPr>
        <w:t xml:space="preserve"> Ellenborough Park’ </w:t>
      </w:r>
      <w:r>
        <w:rPr>
          <w:rFonts w:ascii="Arial" w:hAnsi="Arial" w:cs="Arial"/>
          <w:color w:val="000000" w:themeColor="text1"/>
          <w:lang w:val="en-US"/>
        </w:rPr>
        <w:t xml:space="preserve">(1956). Hence, a right to park and store cars on a servient land cannot be granted to a dominant land because it would be viewed as a joint ownership or a claim to exclude the servient owner as was the case in </w:t>
      </w:r>
      <w:r>
        <w:rPr>
          <w:rFonts w:ascii="Arial" w:hAnsi="Arial" w:cs="Arial"/>
          <w:i/>
          <w:iCs/>
          <w:color w:val="000000" w:themeColor="text1"/>
          <w:lang w:val="en-US"/>
        </w:rPr>
        <w:t xml:space="preserve">‘Copeland v </w:t>
      </w:r>
      <w:proofErr w:type="spellStart"/>
      <w:r>
        <w:rPr>
          <w:rFonts w:ascii="Arial" w:hAnsi="Arial" w:cs="Arial"/>
          <w:i/>
          <w:iCs/>
          <w:color w:val="000000" w:themeColor="text1"/>
          <w:lang w:val="en-US"/>
        </w:rPr>
        <w:t>Greenhalf</w:t>
      </w:r>
      <w:proofErr w:type="spellEnd"/>
      <w:r>
        <w:rPr>
          <w:rFonts w:ascii="Arial" w:hAnsi="Arial" w:cs="Arial"/>
          <w:i/>
          <w:iCs/>
          <w:color w:val="000000" w:themeColor="text1"/>
          <w:lang w:val="en-US"/>
        </w:rPr>
        <w:t xml:space="preserve">’ </w:t>
      </w:r>
      <w:r>
        <w:rPr>
          <w:rFonts w:ascii="Arial" w:hAnsi="Arial" w:cs="Arial"/>
          <w:color w:val="000000" w:themeColor="text1"/>
          <w:lang w:val="en-US"/>
        </w:rPr>
        <w:t>(1952). However, where a right merely affects the way in which the servient landowner use</w:t>
      </w:r>
      <w:r w:rsidR="004365DA">
        <w:rPr>
          <w:rFonts w:ascii="Arial" w:hAnsi="Arial" w:cs="Arial"/>
          <w:color w:val="000000" w:themeColor="text1"/>
          <w:lang w:val="en-US"/>
        </w:rPr>
        <w:t>s</w:t>
      </w:r>
      <w:r>
        <w:rPr>
          <w:rFonts w:ascii="Arial" w:hAnsi="Arial" w:cs="Arial"/>
          <w:color w:val="000000" w:themeColor="text1"/>
          <w:lang w:val="en-US"/>
        </w:rPr>
        <w:t xml:space="preserve"> their land, such as a right of way, an easement can be granted on the servient land as long as there are no interferences with the right by the servient owner (MacFarlane and Hopkins, 2020, p. 325). </w:t>
      </w:r>
    </w:p>
    <w:p w14:paraId="54FD5F2F" w14:textId="2202841B" w:rsidR="00D47965" w:rsidRPr="00D47965" w:rsidRDefault="00D47965" w:rsidP="00D47965">
      <w:pPr>
        <w:spacing w:line="480" w:lineRule="auto"/>
        <w:rPr>
          <w:rFonts w:ascii="Arial" w:hAnsi="Arial" w:cs="Arial"/>
          <w:color w:val="000000" w:themeColor="text1"/>
          <w:lang w:val="en-US"/>
        </w:rPr>
      </w:pPr>
      <w:r>
        <w:rPr>
          <w:rFonts w:ascii="Arial" w:hAnsi="Arial" w:cs="Arial"/>
          <w:color w:val="000000" w:themeColor="text1"/>
          <w:lang w:val="en-US"/>
        </w:rPr>
        <w:tab/>
        <w:t xml:space="preserve">In short, easements are not easy to acquire because there is a need to be prudent when granting these rights as they can place unwanted burdens on land purchasers (Tanfield, 2016). Characteristics of an easement are seen in various cases and with the development of technology and new ways of living, the doctrine of easements looks as if it will continue to expand as stated in the case of </w:t>
      </w:r>
      <w:proofErr w:type="spellStart"/>
      <w:r>
        <w:rPr>
          <w:rFonts w:ascii="Arial" w:hAnsi="Arial" w:cs="Arial"/>
          <w:i/>
          <w:iCs/>
          <w:color w:val="000000" w:themeColor="text1"/>
          <w:lang w:val="en-US"/>
        </w:rPr>
        <w:t>‘Re</w:t>
      </w:r>
      <w:proofErr w:type="spellEnd"/>
      <w:r>
        <w:rPr>
          <w:rFonts w:ascii="Arial" w:hAnsi="Arial" w:cs="Arial"/>
          <w:i/>
          <w:iCs/>
          <w:color w:val="000000" w:themeColor="text1"/>
          <w:lang w:val="en-US"/>
        </w:rPr>
        <w:t xml:space="preserve"> Ellenborough Park’ </w:t>
      </w:r>
      <w:r>
        <w:rPr>
          <w:rFonts w:ascii="Arial" w:hAnsi="Arial" w:cs="Arial"/>
          <w:color w:val="000000" w:themeColor="text1"/>
          <w:lang w:val="en-US"/>
        </w:rPr>
        <w:t xml:space="preserve">(1956). Servient owners are for the most part on the opposite side of this beneficial doctrine; Dominant owner however, may enjoy freely any rights provided by them, but they are also regulated to avoid excessive claims for insignificant rights. </w:t>
      </w:r>
    </w:p>
    <w:p w14:paraId="44FC4FA5" w14:textId="53FAB945" w:rsidR="00D47965" w:rsidRDefault="00D47965" w:rsidP="00D47965">
      <w:pPr>
        <w:spacing w:line="480" w:lineRule="auto"/>
        <w:rPr>
          <w:rFonts w:ascii="Arial" w:hAnsi="Arial" w:cs="Arial"/>
          <w:color w:val="000000" w:themeColor="text1"/>
          <w:lang w:val="en-US"/>
        </w:rPr>
      </w:pPr>
      <w:r>
        <w:rPr>
          <w:rFonts w:ascii="Arial" w:hAnsi="Arial" w:cs="Arial"/>
          <w:color w:val="000000" w:themeColor="text1"/>
          <w:lang w:val="en-US"/>
        </w:rPr>
        <w:tab/>
      </w:r>
    </w:p>
    <w:p w14:paraId="54A2696D" w14:textId="77777777" w:rsidR="00D47965" w:rsidRPr="00D47965" w:rsidRDefault="00D47965" w:rsidP="00D47965">
      <w:pPr>
        <w:spacing w:line="480" w:lineRule="auto"/>
        <w:rPr>
          <w:rFonts w:ascii="Arial" w:hAnsi="Arial" w:cs="Arial"/>
          <w:color w:val="000000" w:themeColor="text1"/>
          <w:lang w:val="en-US"/>
        </w:rPr>
      </w:pPr>
    </w:p>
    <w:p w14:paraId="6DD3AF88" w14:textId="563132A9" w:rsidR="00D47965" w:rsidRPr="00D47965" w:rsidRDefault="00D47965" w:rsidP="00D47965">
      <w:pPr>
        <w:spacing w:line="480" w:lineRule="auto"/>
        <w:rPr>
          <w:rFonts w:ascii="Arial" w:hAnsi="Arial" w:cs="Arial"/>
          <w:sz w:val="28"/>
          <w:szCs w:val="28"/>
          <w:lang w:val="en-US"/>
        </w:rPr>
      </w:pPr>
      <w:r w:rsidRPr="00D47965">
        <w:rPr>
          <w:rFonts w:ascii="Arial" w:hAnsi="Arial" w:cs="Arial"/>
          <w:sz w:val="28"/>
          <w:szCs w:val="28"/>
          <w:lang w:val="en-US"/>
        </w:rPr>
        <w:t xml:space="preserve">                                                 </w:t>
      </w:r>
      <w:r w:rsidRPr="00D47965">
        <w:rPr>
          <w:rFonts w:ascii="Arial" w:hAnsi="Arial" w:cs="Arial"/>
          <w:sz w:val="28"/>
          <w:szCs w:val="28"/>
          <w:u w:val="single"/>
          <w:lang w:val="en-US"/>
        </w:rPr>
        <w:t xml:space="preserve">Bibliography </w:t>
      </w:r>
    </w:p>
    <w:p w14:paraId="490C36DC" w14:textId="26AA88FC" w:rsidR="00D47965" w:rsidRDefault="00D47965" w:rsidP="00D47965">
      <w:pPr>
        <w:spacing w:line="480" w:lineRule="auto"/>
        <w:rPr>
          <w:rFonts w:ascii="Arial" w:hAnsi="Arial" w:cs="Arial"/>
          <w:lang w:val="en-US"/>
        </w:rPr>
      </w:pPr>
      <w:r>
        <w:rPr>
          <w:rFonts w:ascii="Arial" w:hAnsi="Arial" w:cs="Arial"/>
          <w:lang w:val="en-US"/>
        </w:rPr>
        <w:t xml:space="preserve">Bailey. S.J. (1966) ‘Easements and Equities’, </w:t>
      </w:r>
      <w:r>
        <w:rPr>
          <w:rFonts w:ascii="Arial" w:hAnsi="Arial" w:cs="Arial"/>
          <w:i/>
          <w:iCs/>
          <w:lang w:val="en-US"/>
        </w:rPr>
        <w:t xml:space="preserve">The Cambridge Law Journal, </w:t>
      </w:r>
      <w:r>
        <w:rPr>
          <w:rFonts w:ascii="Arial" w:hAnsi="Arial" w:cs="Arial"/>
          <w:lang w:val="en-US"/>
        </w:rPr>
        <w:t xml:space="preserve">24(2), pp. 170-174. Available at: </w:t>
      </w:r>
      <w:hyperlink r:id="rId6" w:history="1">
        <w:r w:rsidRPr="00266813">
          <w:rPr>
            <w:rStyle w:val="Hyperlink"/>
            <w:rFonts w:ascii="Arial" w:hAnsi="Arial" w:cs="Arial"/>
            <w:lang w:val="en-US"/>
          </w:rPr>
          <w:t>https://www-cambridge-org.ezproxy.uwtsd.ac.uk/core/services/aop-cambridge-core/content/view/3975B84D54E96B1390ABD1BC61BEBCD6/S0008197300010801a.pdf/easements-and-equities.pdf</w:t>
        </w:r>
      </w:hyperlink>
      <w:r>
        <w:rPr>
          <w:rFonts w:ascii="Arial" w:hAnsi="Arial" w:cs="Arial"/>
          <w:lang w:val="en-US"/>
        </w:rPr>
        <w:t xml:space="preserve"> (Accessed: 31 October 2021).</w:t>
      </w:r>
    </w:p>
    <w:p w14:paraId="7755E5EA" w14:textId="77777777" w:rsidR="00D47965" w:rsidRDefault="00D47965" w:rsidP="00D47965">
      <w:pPr>
        <w:spacing w:line="480" w:lineRule="auto"/>
        <w:rPr>
          <w:rFonts w:ascii="Arial" w:hAnsi="Arial" w:cs="Arial"/>
          <w:lang w:val="en-US"/>
        </w:rPr>
      </w:pPr>
    </w:p>
    <w:p w14:paraId="5AD55DAC" w14:textId="2D3E45E5" w:rsidR="00D47965" w:rsidRDefault="00D47965" w:rsidP="00D47965">
      <w:pPr>
        <w:spacing w:line="480" w:lineRule="auto"/>
        <w:rPr>
          <w:rFonts w:ascii="Arial" w:hAnsi="Arial" w:cs="Arial"/>
          <w:lang w:val="en-US"/>
        </w:rPr>
      </w:pPr>
      <w:r>
        <w:rPr>
          <w:rFonts w:ascii="Arial" w:hAnsi="Arial" w:cs="Arial"/>
          <w:lang w:val="en-US"/>
        </w:rPr>
        <w:t xml:space="preserve">Bogusz, B. and Sexton, R. (2015) </w:t>
      </w:r>
      <w:r>
        <w:rPr>
          <w:rFonts w:ascii="Arial" w:hAnsi="Arial" w:cs="Arial"/>
          <w:i/>
          <w:iCs/>
          <w:lang w:val="en-US"/>
        </w:rPr>
        <w:t>ResearchGate.</w:t>
      </w:r>
      <w:r>
        <w:rPr>
          <w:rFonts w:ascii="Arial" w:hAnsi="Arial" w:cs="Arial"/>
          <w:lang w:val="en-US"/>
        </w:rPr>
        <w:t xml:space="preserve"> Available at: </w:t>
      </w:r>
      <w:r>
        <w:rPr>
          <w:rFonts w:ascii="Arial" w:hAnsi="Arial" w:cs="Arial"/>
          <w:i/>
          <w:iCs/>
          <w:lang w:val="en-US"/>
        </w:rPr>
        <w:t xml:space="preserve"> </w:t>
      </w:r>
      <w:hyperlink r:id="rId7" w:history="1">
        <w:r w:rsidRPr="00D47965">
          <w:rPr>
            <w:rStyle w:val="Hyperlink"/>
            <w:rFonts w:ascii="Arial" w:hAnsi="Arial" w:cs="Arial"/>
            <w:lang w:val="en-US"/>
          </w:rPr>
          <w:t>https://www.researchgate.net/publication/307804993_17_The_Essential_Characteristics_of_Easements_Text_Cases_and_Materials</w:t>
        </w:r>
      </w:hyperlink>
      <w:r w:rsidRPr="00D47965">
        <w:rPr>
          <w:rFonts w:ascii="Arial" w:hAnsi="Arial" w:cs="Arial"/>
          <w:lang w:val="en-US"/>
        </w:rPr>
        <w:t xml:space="preserve"> </w:t>
      </w:r>
      <w:r>
        <w:rPr>
          <w:rFonts w:ascii="Arial" w:hAnsi="Arial" w:cs="Arial"/>
          <w:lang w:val="en-US"/>
        </w:rPr>
        <w:t xml:space="preserve">(Accessed: 29 October 2021). </w:t>
      </w:r>
    </w:p>
    <w:p w14:paraId="52BE7290" w14:textId="055202D8" w:rsidR="00D47965" w:rsidRDefault="00D47965" w:rsidP="00D47965">
      <w:pPr>
        <w:rPr>
          <w:rFonts w:ascii="Arial" w:hAnsi="Arial" w:cs="Arial"/>
          <w:lang w:val="en-US"/>
        </w:rPr>
      </w:pPr>
    </w:p>
    <w:p w14:paraId="3643DA8E" w14:textId="5C3DF8D0" w:rsidR="00D47965" w:rsidRDefault="00D47965" w:rsidP="00D47965">
      <w:pPr>
        <w:rPr>
          <w:rFonts w:ascii="Arial" w:hAnsi="Arial" w:cs="Arial"/>
          <w:lang w:val="en-US"/>
        </w:rPr>
      </w:pPr>
      <w:r>
        <w:rPr>
          <w:rFonts w:ascii="Arial" w:hAnsi="Arial" w:cs="Arial"/>
          <w:lang w:val="en-US"/>
        </w:rPr>
        <w:t xml:space="preserve">Davies, N. and Taggart, L. (2021) </w:t>
      </w:r>
      <w:r>
        <w:rPr>
          <w:rFonts w:ascii="Arial" w:hAnsi="Arial" w:cs="Arial"/>
          <w:i/>
          <w:iCs/>
          <w:lang w:val="en-US"/>
        </w:rPr>
        <w:t xml:space="preserve">Easement: The Basics explained. </w:t>
      </w:r>
      <w:r>
        <w:rPr>
          <w:rFonts w:ascii="Arial" w:hAnsi="Arial" w:cs="Arial"/>
          <w:lang w:val="en-US"/>
        </w:rPr>
        <w:t xml:space="preserve">Available at: </w:t>
      </w:r>
      <w:hyperlink r:id="rId8" w:history="1">
        <w:r w:rsidRPr="00266813">
          <w:rPr>
            <w:rStyle w:val="Hyperlink"/>
            <w:rFonts w:ascii="Arial" w:hAnsi="Arial" w:cs="Arial"/>
            <w:lang w:val="en-US"/>
          </w:rPr>
          <w:t>https://parissmith.co.uk/blog/easement-the-basics-explained/</w:t>
        </w:r>
      </w:hyperlink>
      <w:r>
        <w:rPr>
          <w:rFonts w:ascii="Arial" w:hAnsi="Arial" w:cs="Arial"/>
          <w:lang w:val="en-US"/>
        </w:rPr>
        <w:t xml:space="preserve"> (Accessed: 31 October 2021). </w:t>
      </w:r>
    </w:p>
    <w:p w14:paraId="507F37C7" w14:textId="77777777" w:rsidR="00D47965" w:rsidRPr="00D47965" w:rsidRDefault="00D47965" w:rsidP="00D47965">
      <w:pPr>
        <w:rPr>
          <w:rFonts w:ascii="Arial" w:hAnsi="Arial" w:cs="Arial"/>
          <w:lang w:val="en-US"/>
        </w:rPr>
      </w:pPr>
    </w:p>
    <w:p w14:paraId="774BB3AF" w14:textId="197B4122" w:rsidR="00D47965" w:rsidRDefault="00D47965" w:rsidP="00D47965">
      <w:pPr>
        <w:rPr>
          <w:rFonts w:ascii="Arial" w:hAnsi="Arial" w:cs="Arial"/>
          <w:lang w:val="en-US"/>
        </w:rPr>
      </w:pPr>
    </w:p>
    <w:p w14:paraId="287E636F" w14:textId="0021327D" w:rsidR="00D47965" w:rsidRDefault="00D47965" w:rsidP="00D47965">
      <w:pPr>
        <w:rPr>
          <w:rFonts w:ascii="Arial" w:hAnsi="Arial" w:cs="Arial"/>
          <w:lang w:val="en-US"/>
        </w:rPr>
      </w:pPr>
      <w:proofErr w:type="spellStart"/>
      <w:r>
        <w:rPr>
          <w:rFonts w:ascii="Arial" w:hAnsi="Arial" w:cs="Arial"/>
          <w:lang w:val="en-US"/>
        </w:rPr>
        <w:t>Gooderson</w:t>
      </w:r>
      <w:proofErr w:type="spellEnd"/>
      <w:r>
        <w:rPr>
          <w:rFonts w:ascii="Arial" w:hAnsi="Arial" w:cs="Arial"/>
          <w:lang w:val="en-US"/>
        </w:rPr>
        <w:t xml:space="preserve">, R.N. (1956) ‘Easements. Jus </w:t>
      </w:r>
      <w:proofErr w:type="spellStart"/>
      <w:r>
        <w:rPr>
          <w:rFonts w:ascii="Arial" w:hAnsi="Arial" w:cs="Arial"/>
          <w:lang w:val="en-US"/>
        </w:rPr>
        <w:t>Spatiandi</w:t>
      </w:r>
      <w:proofErr w:type="spellEnd"/>
      <w:r>
        <w:rPr>
          <w:rFonts w:ascii="Arial" w:hAnsi="Arial" w:cs="Arial"/>
          <w:lang w:val="en-US"/>
        </w:rPr>
        <w:t xml:space="preserve">’, </w:t>
      </w:r>
      <w:r>
        <w:rPr>
          <w:rFonts w:ascii="Arial" w:hAnsi="Arial" w:cs="Arial"/>
          <w:i/>
          <w:iCs/>
          <w:lang w:val="en-US"/>
        </w:rPr>
        <w:t xml:space="preserve">The Cambridge Law Journal, </w:t>
      </w:r>
      <w:r>
        <w:rPr>
          <w:rFonts w:ascii="Arial" w:hAnsi="Arial" w:cs="Arial"/>
          <w:lang w:val="en-US"/>
        </w:rPr>
        <w:t xml:space="preserve">14(1), pp. 24-25. Available at: </w:t>
      </w:r>
      <w:hyperlink r:id="rId9" w:history="1">
        <w:r w:rsidRPr="00266813">
          <w:rPr>
            <w:rStyle w:val="Hyperlink"/>
            <w:rFonts w:ascii="Arial" w:hAnsi="Arial" w:cs="Arial"/>
            <w:lang w:val="en-US"/>
          </w:rPr>
          <w:t>https://www-jstor-org.ezproxy.uwtsd.ac.uk/stable/4504360</w:t>
        </w:r>
      </w:hyperlink>
      <w:r w:rsidRPr="00D47965">
        <w:rPr>
          <w:rFonts w:ascii="Arial" w:hAnsi="Arial" w:cs="Arial"/>
          <w:lang w:val="en-US"/>
        </w:rPr>
        <w:t>?</w:t>
      </w:r>
      <w:r>
        <w:rPr>
          <w:rFonts w:ascii="Arial" w:hAnsi="Arial" w:cs="Arial"/>
          <w:lang w:val="en-US"/>
        </w:rPr>
        <w:t xml:space="preserve"> (Accessed: 3 November 2021). </w:t>
      </w:r>
    </w:p>
    <w:p w14:paraId="631DBDCB" w14:textId="77777777" w:rsidR="00D47965" w:rsidRDefault="00D47965" w:rsidP="00D47965">
      <w:pPr>
        <w:rPr>
          <w:rFonts w:ascii="Arial" w:hAnsi="Arial" w:cs="Arial"/>
          <w:lang w:val="en-US"/>
        </w:rPr>
      </w:pPr>
    </w:p>
    <w:p w14:paraId="64ECEA3F" w14:textId="77777777" w:rsidR="00D47965" w:rsidRDefault="00D47965" w:rsidP="00D47965">
      <w:pPr>
        <w:rPr>
          <w:rFonts w:ascii="Arial" w:hAnsi="Arial" w:cs="Arial"/>
          <w:lang w:val="en-US"/>
        </w:rPr>
      </w:pPr>
    </w:p>
    <w:p w14:paraId="61D2008F" w14:textId="41F9BCA8" w:rsidR="00D47965" w:rsidRDefault="00D47965" w:rsidP="00D47965">
      <w:pPr>
        <w:rPr>
          <w:rFonts w:ascii="Arial" w:hAnsi="Arial" w:cs="Arial"/>
          <w:lang w:val="en-US"/>
        </w:rPr>
      </w:pPr>
      <w:r>
        <w:rPr>
          <w:rFonts w:ascii="Arial" w:hAnsi="Arial" w:cs="Arial"/>
          <w:lang w:val="en-US"/>
        </w:rPr>
        <w:t xml:space="preserve">Harvard Law Review (1906) ‘Legal effects of attempts to sever easements from the Dominant Tenements’, </w:t>
      </w:r>
      <w:r>
        <w:rPr>
          <w:rFonts w:ascii="Arial" w:hAnsi="Arial" w:cs="Arial"/>
          <w:i/>
          <w:iCs/>
          <w:lang w:val="en-US"/>
        </w:rPr>
        <w:t xml:space="preserve">Harvard Law Review, </w:t>
      </w:r>
      <w:r>
        <w:rPr>
          <w:rFonts w:ascii="Arial" w:hAnsi="Arial" w:cs="Arial"/>
          <w:lang w:val="en-US"/>
        </w:rPr>
        <w:t xml:space="preserve">20(2), pp. 136-137. Available at: </w:t>
      </w:r>
      <w:hyperlink r:id="rId10" w:history="1">
        <w:r w:rsidRPr="00266813">
          <w:rPr>
            <w:rStyle w:val="Hyperlink"/>
            <w:rFonts w:ascii="Arial" w:hAnsi="Arial" w:cs="Arial"/>
            <w:lang w:val="en-US"/>
          </w:rPr>
          <w:t>https://www-jstor-org.ezproxy.uwtsd.ac.uk/stable/1323921?seq=1#metadata_info_tab_contents</w:t>
        </w:r>
      </w:hyperlink>
      <w:r>
        <w:rPr>
          <w:rFonts w:ascii="Arial" w:hAnsi="Arial" w:cs="Arial"/>
          <w:lang w:val="en-US"/>
        </w:rPr>
        <w:t xml:space="preserve"> (2 November 2021). </w:t>
      </w:r>
    </w:p>
    <w:p w14:paraId="24C74F80" w14:textId="77777777" w:rsidR="00D47965" w:rsidRPr="00D47965" w:rsidRDefault="00D47965" w:rsidP="00D47965">
      <w:pPr>
        <w:rPr>
          <w:rFonts w:ascii="Arial" w:hAnsi="Arial" w:cs="Arial"/>
          <w:lang w:val="en-US"/>
        </w:rPr>
      </w:pPr>
    </w:p>
    <w:p w14:paraId="336358CA" w14:textId="77777777" w:rsidR="00D47965" w:rsidRDefault="00D47965" w:rsidP="00D47965">
      <w:pPr>
        <w:rPr>
          <w:rFonts w:ascii="Arial" w:hAnsi="Arial" w:cs="Arial"/>
          <w:lang w:val="en-US"/>
        </w:rPr>
      </w:pPr>
    </w:p>
    <w:p w14:paraId="7FE357A4" w14:textId="77777777" w:rsidR="00D47965" w:rsidRDefault="00D47965" w:rsidP="00D47965">
      <w:pPr>
        <w:rPr>
          <w:rFonts w:ascii="Arial" w:hAnsi="Arial" w:cs="Arial"/>
          <w:lang w:val="en-US"/>
        </w:rPr>
      </w:pPr>
    </w:p>
    <w:p w14:paraId="06624F32" w14:textId="195889D8" w:rsidR="00D47965" w:rsidRPr="00D47965" w:rsidRDefault="00D47965" w:rsidP="00D47965">
      <w:pPr>
        <w:rPr>
          <w:rFonts w:ascii="Helvetica" w:eastAsia="Times New Roman" w:hAnsi="Helvetica" w:cs="Times New Roman"/>
          <w:color w:val="000000" w:themeColor="text1"/>
          <w:spacing w:val="-5"/>
          <w:shd w:val="clear" w:color="auto" w:fill="FFFFFF"/>
          <w:lang w:val="en-US"/>
        </w:rPr>
      </w:pPr>
      <w:r>
        <w:rPr>
          <w:rFonts w:ascii="Arial" w:hAnsi="Arial" w:cs="Arial"/>
          <w:lang w:val="en-US"/>
        </w:rPr>
        <w:t xml:space="preserve">Hernandez, M. (2005) ‘Restating implied, Prescriptive, and Statutory easements’, </w:t>
      </w:r>
      <w:r>
        <w:rPr>
          <w:rFonts w:ascii="Arial" w:hAnsi="Arial" w:cs="Arial"/>
          <w:i/>
          <w:iCs/>
          <w:lang w:val="en-US"/>
        </w:rPr>
        <w:t xml:space="preserve">Real Property, Probate and Trust Journal, </w:t>
      </w:r>
      <w:r>
        <w:rPr>
          <w:rFonts w:ascii="Arial" w:hAnsi="Arial" w:cs="Arial"/>
          <w:lang w:val="en-US"/>
        </w:rPr>
        <w:t xml:space="preserve">40(1), pp.75-115. Available at:  </w:t>
      </w:r>
      <w:hyperlink r:id="rId11" w:history="1">
        <w:r w:rsidRPr="00266813">
          <w:rPr>
            <w:rStyle w:val="Hyperlink"/>
            <w:rFonts w:ascii="Helvetica" w:eastAsia="Times New Roman" w:hAnsi="Helvetica" w:cs="Times New Roman"/>
            <w:spacing w:val="-5"/>
            <w:shd w:val="clear" w:color="auto" w:fill="FFFFFF"/>
          </w:rPr>
          <w:t>https://ezproxy.uwtsd.ac.uk/login?url=https://www.jstor.org/stable/20785788</w:t>
        </w:r>
      </w:hyperlink>
      <w:r>
        <w:rPr>
          <w:rFonts w:ascii="Helvetica" w:eastAsia="Times New Roman" w:hAnsi="Helvetica" w:cs="Times New Roman"/>
          <w:color w:val="000000" w:themeColor="text1"/>
          <w:spacing w:val="-5"/>
          <w:shd w:val="clear" w:color="auto" w:fill="FFFFFF"/>
          <w:lang w:val="en-US"/>
        </w:rPr>
        <w:t xml:space="preserve"> (Accessed: 30 October 2021). </w:t>
      </w:r>
    </w:p>
    <w:p w14:paraId="19D8BC5C" w14:textId="2ABEDDA8" w:rsidR="00D47965" w:rsidRDefault="00D47965" w:rsidP="00D47965">
      <w:pPr>
        <w:spacing w:line="480" w:lineRule="auto"/>
        <w:rPr>
          <w:rFonts w:ascii="Arial" w:hAnsi="Arial" w:cs="Arial"/>
          <w:lang w:val="en-US"/>
        </w:rPr>
      </w:pPr>
      <w:r>
        <w:rPr>
          <w:rFonts w:ascii="Arial" w:hAnsi="Arial" w:cs="Arial"/>
          <w:lang w:val="en-US"/>
        </w:rPr>
        <w:t xml:space="preserve">MacFarlane, B. and Hopkins, N. (2020) </w:t>
      </w:r>
      <w:r>
        <w:rPr>
          <w:rFonts w:ascii="Arial" w:hAnsi="Arial" w:cs="Arial"/>
          <w:i/>
          <w:iCs/>
          <w:lang w:val="en-US"/>
        </w:rPr>
        <w:t xml:space="preserve">Land Law. </w:t>
      </w:r>
      <w:r>
        <w:rPr>
          <w:rFonts w:ascii="Arial" w:hAnsi="Arial" w:cs="Arial"/>
          <w:lang w:val="en-US"/>
        </w:rPr>
        <w:t>Oxford: Oxford University Press.</w:t>
      </w:r>
    </w:p>
    <w:p w14:paraId="6291A918" w14:textId="65D7FC0E" w:rsidR="00D47965" w:rsidRDefault="00D47965" w:rsidP="00D47965">
      <w:pPr>
        <w:spacing w:line="480" w:lineRule="auto"/>
        <w:rPr>
          <w:rFonts w:ascii="Arial" w:hAnsi="Arial" w:cs="Arial"/>
          <w:lang w:val="en-US"/>
        </w:rPr>
      </w:pPr>
      <w:r>
        <w:rPr>
          <w:rFonts w:ascii="Arial" w:hAnsi="Arial" w:cs="Arial"/>
          <w:lang w:val="en-US"/>
        </w:rPr>
        <w:lastRenderedPageBreak/>
        <w:t xml:space="preserve">Morrisons (2019) </w:t>
      </w:r>
      <w:r>
        <w:rPr>
          <w:rFonts w:ascii="Arial" w:hAnsi="Arial" w:cs="Arial"/>
          <w:i/>
          <w:iCs/>
          <w:lang w:val="en-US"/>
        </w:rPr>
        <w:t xml:space="preserve">A Right to Play? </w:t>
      </w:r>
      <w:r>
        <w:rPr>
          <w:rFonts w:ascii="Arial" w:hAnsi="Arial" w:cs="Arial"/>
          <w:lang w:val="en-US"/>
        </w:rPr>
        <w:t xml:space="preserve">Available at: </w:t>
      </w:r>
      <w:hyperlink r:id="rId12" w:history="1">
        <w:r w:rsidRPr="00266813">
          <w:rPr>
            <w:rStyle w:val="Hyperlink"/>
            <w:rFonts w:ascii="Arial" w:hAnsi="Arial" w:cs="Arial"/>
            <w:lang w:val="en-US"/>
          </w:rPr>
          <w:t>https://www.morrlaw.com/commercial-property-law/easement-rights/</w:t>
        </w:r>
      </w:hyperlink>
      <w:r>
        <w:rPr>
          <w:rFonts w:ascii="Arial" w:hAnsi="Arial" w:cs="Arial"/>
          <w:lang w:val="en-US"/>
        </w:rPr>
        <w:t xml:space="preserve"> (Accessed: 3 November 2021). </w:t>
      </w:r>
    </w:p>
    <w:p w14:paraId="29ED8E5D" w14:textId="10602614" w:rsidR="00D47965" w:rsidRDefault="00D47965" w:rsidP="00D47965">
      <w:pPr>
        <w:spacing w:line="480" w:lineRule="auto"/>
        <w:rPr>
          <w:rFonts w:ascii="Arial" w:hAnsi="Arial" w:cs="Arial"/>
          <w:lang w:val="en-US"/>
        </w:rPr>
      </w:pPr>
    </w:p>
    <w:p w14:paraId="53A17DAB" w14:textId="2C6460A1" w:rsidR="00D47965" w:rsidRDefault="00D47965" w:rsidP="00D47965">
      <w:pPr>
        <w:spacing w:line="480" w:lineRule="auto"/>
        <w:rPr>
          <w:rFonts w:ascii="Arial" w:hAnsi="Arial" w:cs="Arial"/>
          <w:lang w:val="en-US"/>
        </w:rPr>
      </w:pPr>
      <w:r>
        <w:rPr>
          <w:rFonts w:ascii="Arial" w:hAnsi="Arial" w:cs="Arial"/>
          <w:lang w:val="en-US"/>
        </w:rPr>
        <w:t xml:space="preserve">McKinney, O. (2020) </w:t>
      </w:r>
      <w:r>
        <w:rPr>
          <w:rFonts w:ascii="Arial" w:hAnsi="Arial" w:cs="Arial"/>
          <w:i/>
          <w:iCs/>
          <w:lang w:val="en-US"/>
        </w:rPr>
        <w:t xml:space="preserve">A Guide to Easements. </w:t>
      </w:r>
      <w:r>
        <w:rPr>
          <w:rFonts w:ascii="Arial" w:hAnsi="Arial" w:cs="Arial"/>
          <w:lang w:val="en-US"/>
        </w:rPr>
        <w:t xml:space="preserve">Available at: </w:t>
      </w:r>
      <w:hyperlink r:id="rId13" w:history="1">
        <w:r w:rsidRPr="00266813">
          <w:rPr>
            <w:rStyle w:val="Hyperlink"/>
            <w:rFonts w:ascii="Arial" w:hAnsi="Arial" w:cs="Arial"/>
            <w:lang w:val="en-US"/>
          </w:rPr>
          <w:t>https://www.frettens.co.uk/site/library/frettensnews/a-guide-to-easements-solicitors-bournemouth</w:t>
        </w:r>
      </w:hyperlink>
      <w:r>
        <w:rPr>
          <w:rFonts w:ascii="Arial" w:hAnsi="Arial" w:cs="Arial"/>
          <w:lang w:val="en-US"/>
        </w:rPr>
        <w:t xml:space="preserve"> (Accessed: 4 November 2021). </w:t>
      </w:r>
    </w:p>
    <w:p w14:paraId="349D44AB" w14:textId="77777777" w:rsidR="00D47965" w:rsidRPr="00D47965" w:rsidRDefault="00D47965" w:rsidP="00D47965">
      <w:pPr>
        <w:spacing w:line="480" w:lineRule="auto"/>
        <w:rPr>
          <w:rFonts w:ascii="Arial" w:hAnsi="Arial" w:cs="Arial"/>
          <w:lang w:val="en-US"/>
        </w:rPr>
      </w:pPr>
    </w:p>
    <w:p w14:paraId="193C8CAA" w14:textId="529CC07F" w:rsidR="00D47965" w:rsidRPr="00D47965" w:rsidRDefault="00D47965" w:rsidP="00D47965">
      <w:pPr>
        <w:spacing w:line="480" w:lineRule="auto"/>
        <w:rPr>
          <w:rFonts w:ascii="Arial" w:hAnsi="Arial" w:cs="Arial"/>
          <w:i/>
          <w:iCs/>
          <w:lang w:val="en-US"/>
        </w:rPr>
      </w:pPr>
      <w:r>
        <w:rPr>
          <w:rFonts w:ascii="Arial" w:hAnsi="Arial" w:cs="Arial"/>
          <w:lang w:val="en-US"/>
        </w:rPr>
        <w:t xml:space="preserve">Real Town (2018) </w:t>
      </w:r>
      <w:r>
        <w:rPr>
          <w:rFonts w:ascii="Arial" w:hAnsi="Arial" w:cs="Arial"/>
          <w:i/>
          <w:iCs/>
          <w:lang w:val="en-US"/>
        </w:rPr>
        <w:t>RealTown</w:t>
      </w:r>
      <w:r w:rsidRPr="00D47965">
        <w:rPr>
          <w:rFonts w:ascii="Arial" w:hAnsi="Arial" w:cs="Arial"/>
          <w:lang w:val="en-US"/>
        </w:rPr>
        <w:t>.</w:t>
      </w:r>
      <w:r>
        <w:rPr>
          <w:rFonts w:ascii="Arial" w:hAnsi="Arial" w:cs="Arial"/>
          <w:lang w:val="en-US"/>
        </w:rPr>
        <w:t xml:space="preserve"> </w:t>
      </w:r>
      <w:hyperlink r:id="rId14" w:history="1">
        <w:r w:rsidRPr="00266813">
          <w:rPr>
            <w:rStyle w:val="Hyperlink"/>
            <w:rFonts w:ascii="Arial" w:hAnsi="Arial" w:cs="Arial"/>
            <w:lang w:val="en-US"/>
          </w:rPr>
          <w:t>https://www.realtown.com/blog/Easement-vs-License</w:t>
        </w:r>
      </w:hyperlink>
      <w:r>
        <w:rPr>
          <w:rFonts w:ascii="Arial" w:hAnsi="Arial" w:cs="Arial"/>
          <w:lang w:val="en-US"/>
        </w:rPr>
        <w:t xml:space="preserve"> (Accessed: 30 October 2021). </w:t>
      </w:r>
    </w:p>
    <w:p w14:paraId="5F44B553" w14:textId="77777777" w:rsidR="00D47965" w:rsidRDefault="00D47965" w:rsidP="00D47965">
      <w:pPr>
        <w:spacing w:line="480" w:lineRule="auto"/>
        <w:rPr>
          <w:rFonts w:ascii="Arial" w:hAnsi="Arial" w:cs="Arial"/>
          <w:lang w:val="en-US"/>
        </w:rPr>
      </w:pPr>
    </w:p>
    <w:p w14:paraId="2F306CE4" w14:textId="4C8AB522" w:rsidR="00D47965" w:rsidRDefault="00D47965" w:rsidP="00D47965">
      <w:pPr>
        <w:spacing w:line="480" w:lineRule="auto"/>
        <w:rPr>
          <w:rFonts w:ascii="Arial" w:hAnsi="Arial" w:cs="Arial"/>
          <w:lang w:val="en-US"/>
        </w:rPr>
      </w:pPr>
      <w:r>
        <w:rPr>
          <w:rFonts w:ascii="Arial" w:hAnsi="Arial" w:cs="Arial"/>
          <w:lang w:val="en-US"/>
        </w:rPr>
        <w:t xml:space="preserve">Robinson, L. (2013) </w:t>
      </w:r>
      <w:proofErr w:type="spellStart"/>
      <w:r>
        <w:rPr>
          <w:rFonts w:ascii="Arial" w:hAnsi="Arial" w:cs="Arial"/>
          <w:i/>
          <w:iCs/>
          <w:lang w:val="en-US"/>
        </w:rPr>
        <w:t>Bateswells</w:t>
      </w:r>
      <w:proofErr w:type="spellEnd"/>
      <w:r>
        <w:rPr>
          <w:rFonts w:ascii="Arial" w:hAnsi="Arial" w:cs="Arial"/>
          <w:i/>
          <w:iCs/>
          <w:lang w:val="en-US"/>
        </w:rPr>
        <w:t xml:space="preserve">. </w:t>
      </w:r>
      <w:r>
        <w:rPr>
          <w:rFonts w:ascii="Arial" w:hAnsi="Arial" w:cs="Arial"/>
          <w:lang w:val="en-US"/>
        </w:rPr>
        <w:t xml:space="preserve">Available at: </w:t>
      </w:r>
      <w:hyperlink r:id="rId15" w:history="1">
        <w:r w:rsidRPr="00266813">
          <w:rPr>
            <w:rStyle w:val="Hyperlink"/>
            <w:rFonts w:ascii="Arial" w:hAnsi="Arial" w:cs="Arial"/>
            <w:lang w:val="en-US"/>
          </w:rPr>
          <w:t>https://bateswells.co.uk/wp-content/uploads/2019/06/bwb-pu-easements-oct13-pdf.pdf</w:t>
        </w:r>
      </w:hyperlink>
      <w:r>
        <w:rPr>
          <w:rFonts w:ascii="Arial" w:hAnsi="Arial" w:cs="Arial"/>
          <w:lang w:val="en-US"/>
        </w:rPr>
        <w:t xml:space="preserve"> (Accessed: 29 October 2021). </w:t>
      </w:r>
    </w:p>
    <w:p w14:paraId="0053B91D" w14:textId="26F14642" w:rsidR="00D47965" w:rsidRDefault="00D47965" w:rsidP="00D47965">
      <w:pPr>
        <w:spacing w:line="480" w:lineRule="auto"/>
        <w:rPr>
          <w:rFonts w:ascii="Arial" w:hAnsi="Arial" w:cs="Arial"/>
          <w:lang w:val="en-US"/>
        </w:rPr>
      </w:pPr>
    </w:p>
    <w:p w14:paraId="112118B7" w14:textId="2D206BF6" w:rsidR="00D47965" w:rsidRDefault="00D47965" w:rsidP="00D47965">
      <w:pPr>
        <w:spacing w:line="480" w:lineRule="auto"/>
        <w:rPr>
          <w:rFonts w:ascii="Arial" w:hAnsi="Arial" w:cs="Arial"/>
          <w:lang w:val="en-US"/>
        </w:rPr>
      </w:pPr>
      <w:r>
        <w:rPr>
          <w:rFonts w:ascii="Arial" w:hAnsi="Arial" w:cs="Arial"/>
          <w:lang w:val="en-US"/>
        </w:rPr>
        <w:t xml:space="preserve">Seipp, D. (1994) ‘The Concept of Property in the Early Common Law’, </w:t>
      </w:r>
      <w:r>
        <w:rPr>
          <w:rFonts w:ascii="Arial" w:hAnsi="Arial" w:cs="Arial"/>
          <w:i/>
          <w:iCs/>
          <w:lang w:val="en-US"/>
        </w:rPr>
        <w:t xml:space="preserve">Law and History Review, </w:t>
      </w:r>
      <w:r>
        <w:rPr>
          <w:rFonts w:ascii="Arial" w:hAnsi="Arial" w:cs="Arial"/>
          <w:lang w:val="en-US"/>
        </w:rPr>
        <w:t xml:space="preserve">12(1), pp. 29-91. Available at: </w:t>
      </w:r>
      <w:hyperlink r:id="rId16" w:history="1">
        <w:r w:rsidRPr="00266813">
          <w:rPr>
            <w:rStyle w:val="Hyperlink"/>
            <w:rFonts w:ascii="Arial" w:hAnsi="Arial" w:cs="Arial"/>
            <w:lang w:val="en-US"/>
          </w:rPr>
          <w:t>https://ezproxy.uwtsd.ac.uk/login?url=https://www.jstor.org/stable/30042821</w:t>
        </w:r>
      </w:hyperlink>
      <w:r>
        <w:rPr>
          <w:rFonts w:ascii="Arial" w:hAnsi="Arial" w:cs="Arial"/>
          <w:lang w:val="en-US"/>
        </w:rPr>
        <w:t xml:space="preserve"> (Accessed: 1 November 2021). </w:t>
      </w:r>
    </w:p>
    <w:p w14:paraId="7103D542" w14:textId="77777777" w:rsidR="00D47965" w:rsidRDefault="00D47965" w:rsidP="00D47965">
      <w:pPr>
        <w:spacing w:line="480" w:lineRule="auto"/>
        <w:rPr>
          <w:rFonts w:ascii="Arial" w:hAnsi="Arial" w:cs="Arial"/>
          <w:lang w:val="en-US"/>
        </w:rPr>
      </w:pPr>
    </w:p>
    <w:p w14:paraId="2A168A93" w14:textId="38716386" w:rsidR="00D47965" w:rsidRDefault="00D47965" w:rsidP="00D47965">
      <w:pPr>
        <w:spacing w:line="480" w:lineRule="auto"/>
        <w:rPr>
          <w:rFonts w:ascii="Arial" w:hAnsi="Arial" w:cs="Arial"/>
          <w:lang w:val="en-US"/>
        </w:rPr>
      </w:pPr>
      <w:r>
        <w:rPr>
          <w:rFonts w:ascii="Arial" w:hAnsi="Arial" w:cs="Arial"/>
          <w:lang w:val="en-US"/>
        </w:rPr>
        <w:t xml:space="preserve">Tanfield (2016) </w:t>
      </w:r>
      <w:r>
        <w:rPr>
          <w:rFonts w:ascii="Arial" w:hAnsi="Arial" w:cs="Arial"/>
          <w:i/>
          <w:iCs/>
          <w:lang w:val="en-US"/>
        </w:rPr>
        <w:t xml:space="preserve">What is an easement and how are they created and used? </w:t>
      </w:r>
      <w:r>
        <w:rPr>
          <w:rFonts w:ascii="Arial" w:hAnsi="Arial" w:cs="Arial"/>
          <w:lang w:val="en-US"/>
        </w:rPr>
        <w:t xml:space="preserve">Available at: </w:t>
      </w:r>
      <w:hyperlink r:id="rId17" w:history="1">
        <w:r w:rsidRPr="00266813">
          <w:rPr>
            <w:rStyle w:val="Hyperlink"/>
            <w:rFonts w:ascii="Arial" w:hAnsi="Arial" w:cs="Arial"/>
            <w:lang w:val="en-US"/>
          </w:rPr>
          <w:t>https://www.tanfieldchambers.co.uk/2016/02/16/what-is-an-easement-and-how-are-they-created-and-used/</w:t>
        </w:r>
      </w:hyperlink>
      <w:r>
        <w:rPr>
          <w:rFonts w:ascii="Arial" w:hAnsi="Arial" w:cs="Arial"/>
          <w:lang w:val="en-US"/>
        </w:rPr>
        <w:t xml:space="preserve"> (Accessed: 31 October 2021).</w:t>
      </w:r>
    </w:p>
    <w:p w14:paraId="4472ADBF" w14:textId="77777777" w:rsidR="00D47965" w:rsidRDefault="00D47965" w:rsidP="00D47965">
      <w:pPr>
        <w:spacing w:line="480" w:lineRule="auto"/>
        <w:rPr>
          <w:rFonts w:ascii="Arial" w:hAnsi="Arial" w:cs="Arial"/>
          <w:lang w:val="en-US"/>
        </w:rPr>
      </w:pPr>
    </w:p>
    <w:p w14:paraId="570CB2DB" w14:textId="668F7F61" w:rsidR="00D47965" w:rsidRDefault="00D47965" w:rsidP="00D47965">
      <w:pPr>
        <w:spacing w:line="480" w:lineRule="auto"/>
        <w:rPr>
          <w:rFonts w:ascii="Arial" w:hAnsi="Arial" w:cs="Arial"/>
          <w:lang w:val="en-US"/>
        </w:rPr>
      </w:pPr>
      <w:r>
        <w:rPr>
          <w:rFonts w:ascii="Arial" w:hAnsi="Arial" w:cs="Arial"/>
          <w:lang w:val="en-US"/>
        </w:rPr>
        <w:lastRenderedPageBreak/>
        <w:t xml:space="preserve">Tughans (2018) </w:t>
      </w:r>
      <w:r>
        <w:rPr>
          <w:rFonts w:ascii="Arial" w:hAnsi="Arial" w:cs="Arial"/>
          <w:i/>
          <w:iCs/>
          <w:lang w:val="en-US"/>
        </w:rPr>
        <w:t xml:space="preserve">What is an </w:t>
      </w:r>
      <w:proofErr w:type="gramStart"/>
      <w:r>
        <w:rPr>
          <w:rFonts w:ascii="Arial" w:hAnsi="Arial" w:cs="Arial"/>
          <w:i/>
          <w:iCs/>
          <w:lang w:val="en-US"/>
        </w:rPr>
        <w:t>Easement?.</w:t>
      </w:r>
      <w:proofErr w:type="gramEnd"/>
      <w:r>
        <w:rPr>
          <w:rFonts w:ascii="Arial" w:hAnsi="Arial" w:cs="Arial"/>
          <w:i/>
          <w:iCs/>
          <w:lang w:val="en-US"/>
        </w:rPr>
        <w:t xml:space="preserve"> </w:t>
      </w:r>
      <w:r>
        <w:rPr>
          <w:rFonts w:ascii="Arial" w:hAnsi="Arial" w:cs="Arial"/>
          <w:lang w:val="en-US"/>
        </w:rPr>
        <w:t xml:space="preserve">Available at: </w:t>
      </w:r>
      <w:hyperlink r:id="rId18" w:history="1">
        <w:r w:rsidRPr="00266813">
          <w:rPr>
            <w:rStyle w:val="Hyperlink"/>
            <w:rFonts w:ascii="Arial" w:hAnsi="Arial" w:cs="Arial"/>
            <w:lang w:val="en-US"/>
          </w:rPr>
          <w:t>https://www.tughans.com/news-insights/what-is-an-easement/</w:t>
        </w:r>
      </w:hyperlink>
      <w:r>
        <w:rPr>
          <w:rFonts w:ascii="Arial" w:hAnsi="Arial" w:cs="Arial"/>
          <w:lang w:val="en-US"/>
        </w:rPr>
        <w:t xml:space="preserve"> (Accessed: 30 October 2021).</w:t>
      </w:r>
    </w:p>
    <w:p w14:paraId="4CEA4E03" w14:textId="77777777" w:rsidR="00D47965" w:rsidRPr="00D47965" w:rsidRDefault="00D47965" w:rsidP="00D47965">
      <w:pPr>
        <w:spacing w:line="480" w:lineRule="auto"/>
        <w:rPr>
          <w:rFonts w:ascii="Arial" w:hAnsi="Arial" w:cs="Arial"/>
          <w:lang w:val="en-US"/>
        </w:rPr>
      </w:pPr>
    </w:p>
    <w:p w14:paraId="094C23E6" w14:textId="3AF2BAF4" w:rsidR="00D47965" w:rsidRDefault="00D47965" w:rsidP="00D47965">
      <w:pPr>
        <w:spacing w:line="480" w:lineRule="auto"/>
        <w:rPr>
          <w:rFonts w:ascii="Arial" w:hAnsi="Arial" w:cs="Arial"/>
          <w:lang w:val="en-US"/>
        </w:rPr>
      </w:pPr>
      <w:r w:rsidRPr="00D47965">
        <w:rPr>
          <w:rFonts w:ascii="Arial" w:hAnsi="Arial" w:cs="Arial"/>
          <w:lang w:val="en-US"/>
        </w:rPr>
        <w:t xml:space="preserve">Waite, A.J. (1985) ‘Easements: Positive Duties on the </w:t>
      </w:r>
      <w:r>
        <w:rPr>
          <w:rFonts w:ascii="Arial" w:hAnsi="Arial" w:cs="Arial"/>
          <w:lang w:val="en-US"/>
        </w:rPr>
        <w:t xml:space="preserve">Servient Owner?’, </w:t>
      </w:r>
      <w:r>
        <w:rPr>
          <w:rFonts w:ascii="Arial" w:hAnsi="Arial" w:cs="Arial"/>
          <w:i/>
          <w:iCs/>
          <w:lang w:val="en-US"/>
        </w:rPr>
        <w:t xml:space="preserve">Cambridge Law Journal, </w:t>
      </w:r>
      <w:r>
        <w:rPr>
          <w:rFonts w:ascii="Arial" w:hAnsi="Arial" w:cs="Arial"/>
          <w:lang w:val="en-US"/>
        </w:rPr>
        <w:t xml:space="preserve">44(3), pp. 458-476. Available at: </w:t>
      </w:r>
      <w:hyperlink r:id="rId19" w:history="1">
        <w:r w:rsidRPr="00266813">
          <w:rPr>
            <w:rStyle w:val="Hyperlink"/>
            <w:rFonts w:ascii="Arial" w:hAnsi="Arial" w:cs="Arial"/>
            <w:lang w:val="en-US"/>
          </w:rPr>
          <w:t>https://www-cambridge-org.ezproxy.uwtsd.ac.uk/core/services/aop-cambridge-core/content/view/</w:t>
        </w:r>
      </w:hyperlink>
      <w:r>
        <w:rPr>
          <w:rFonts w:ascii="Arial" w:hAnsi="Arial" w:cs="Arial"/>
          <w:lang w:val="en-US"/>
        </w:rPr>
        <w:t xml:space="preserve"> (Accessed: 29 October 2021). </w:t>
      </w:r>
    </w:p>
    <w:p w14:paraId="0CFAFAE9" w14:textId="77777777" w:rsidR="00D47965" w:rsidRDefault="00D47965" w:rsidP="00D47965">
      <w:pPr>
        <w:spacing w:line="480" w:lineRule="auto"/>
        <w:rPr>
          <w:rFonts w:ascii="Arial" w:hAnsi="Arial" w:cs="Arial"/>
          <w:lang w:val="en-US"/>
        </w:rPr>
      </w:pPr>
    </w:p>
    <w:p w14:paraId="628843DA" w14:textId="379C7BF4" w:rsidR="00D47965" w:rsidRPr="00D47965" w:rsidRDefault="00D47965" w:rsidP="00D47965">
      <w:pPr>
        <w:spacing w:line="480" w:lineRule="auto"/>
        <w:rPr>
          <w:rFonts w:ascii="Arial" w:hAnsi="Arial" w:cs="Arial"/>
          <w:lang w:val="en-US"/>
        </w:rPr>
      </w:pPr>
      <w:r>
        <w:rPr>
          <w:rFonts w:ascii="Arial" w:hAnsi="Arial" w:cs="Arial"/>
          <w:lang w:val="en-US"/>
        </w:rPr>
        <w:t xml:space="preserve">Whyte, W. (1968) </w:t>
      </w:r>
      <w:r>
        <w:rPr>
          <w:rFonts w:ascii="Arial" w:hAnsi="Arial" w:cs="Arial"/>
          <w:i/>
          <w:iCs/>
          <w:lang w:val="en-US"/>
        </w:rPr>
        <w:t xml:space="preserve">The Last Landscape. </w:t>
      </w:r>
      <w:r>
        <w:rPr>
          <w:rFonts w:ascii="Arial" w:hAnsi="Arial" w:cs="Arial"/>
          <w:lang w:val="en-US"/>
        </w:rPr>
        <w:t>Pennsylvania: University of Pennsylvania Press.</w:t>
      </w:r>
    </w:p>
    <w:p w14:paraId="1BE24358" w14:textId="77777777" w:rsidR="00D47965" w:rsidRDefault="00D47965" w:rsidP="00D47965">
      <w:pPr>
        <w:spacing w:line="480" w:lineRule="auto"/>
        <w:rPr>
          <w:rFonts w:ascii="Arial" w:hAnsi="Arial" w:cs="Arial"/>
          <w:i/>
          <w:iCs/>
          <w:lang w:val="en-US"/>
        </w:rPr>
      </w:pPr>
    </w:p>
    <w:p w14:paraId="7A1E2A17" w14:textId="3BD956C3" w:rsidR="00D47965" w:rsidRDefault="00D47965" w:rsidP="00D47965">
      <w:pPr>
        <w:spacing w:line="480" w:lineRule="auto"/>
        <w:rPr>
          <w:rFonts w:ascii="Arial" w:hAnsi="Arial" w:cs="Arial"/>
          <w:lang w:val="en-US"/>
        </w:rPr>
      </w:pPr>
      <w:r>
        <w:rPr>
          <w:rFonts w:ascii="Arial" w:hAnsi="Arial" w:cs="Arial"/>
          <w:i/>
          <w:iCs/>
          <w:lang w:val="en-US"/>
        </w:rPr>
        <w:t xml:space="preserve">‘Crow v Wood’ </w:t>
      </w:r>
      <w:r>
        <w:rPr>
          <w:rFonts w:ascii="Arial" w:hAnsi="Arial" w:cs="Arial"/>
          <w:lang w:val="en-US"/>
        </w:rPr>
        <w:t xml:space="preserve">(1970) Court of Appeal, case 77. </w:t>
      </w:r>
      <w:r>
        <w:rPr>
          <w:rFonts w:ascii="Arial" w:hAnsi="Arial" w:cs="Arial"/>
          <w:i/>
          <w:iCs/>
          <w:lang w:val="en-US"/>
        </w:rPr>
        <w:t xml:space="preserve">Westlaw Edge UK </w:t>
      </w:r>
      <w:r>
        <w:rPr>
          <w:rFonts w:ascii="Arial" w:hAnsi="Arial" w:cs="Arial"/>
          <w:lang w:val="en-US"/>
        </w:rPr>
        <w:t>[Online] Available at:</w:t>
      </w:r>
      <w:r w:rsidRPr="00D47965">
        <w:t xml:space="preserve"> </w:t>
      </w:r>
      <w:hyperlink r:id="rId20" w:history="1">
        <w:r w:rsidRPr="00266813">
          <w:rPr>
            <w:rStyle w:val="Hyperlink"/>
            <w:rFonts w:ascii="Arial" w:hAnsi="Arial" w:cs="Arial"/>
            <w:lang w:val="en-US"/>
          </w:rPr>
          <w:t>https://uk.westlaw.com/Document/I928A3701E42711DA8FC2A0F0355337E9/View/FullText.html</w:t>
        </w:r>
      </w:hyperlink>
      <w:r w:rsidRPr="00D47965">
        <w:rPr>
          <w:rFonts w:ascii="Arial" w:hAnsi="Arial" w:cs="Arial"/>
          <w:lang w:val="en-US"/>
        </w:rPr>
        <w:t>?</w:t>
      </w:r>
      <w:r>
        <w:rPr>
          <w:rFonts w:ascii="Arial" w:hAnsi="Arial" w:cs="Arial"/>
          <w:lang w:val="en-US"/>
        </w:rPr>
        <w:t xml:space="preserve"> (Accessed: 2 November 2021). </w:t>
      </w:r>
    </w:p>
    <w:p w14:paraId="4E3AAD8C" w14:textId="40A95973" w:rsidR="00D47965" w:rsidRPr="00D47965" w:rsidRDefault="00D47965" w:rsidP="00D47965">
      <w:pPr>
        <w:spacing w:line="480" w:lineRule="auto"/>
        <w:rPr>
          <w:rFonts w:ascii="Arial" w:hAnsi="Arial" w:cs="Arial"/>
          <w:lang w:val="en-US"/>
        </w:rPr>
      </w:pPr>
      <w:r>
        <w:rPr>
          <w:rFonts w:ascii="Arial" w:hAnsi="Arial" w:cs="Arial"/>
          <w:lang w:val="en-US"/>
        </w:rPr>
        <w:t xml:space="preserve"> </w:t>
      </w:r>
    </w:p>
    <w:p w14:paraId="538AA627" w14:textId="678AADCE" w:rsidR="00D47965" w:rsidRDefault="00D47965" w:rsidP="00D47965">
      <w:pPr>
        <w:spacing w:line="480" w:lineRule="auto"/>
        <w:rPr>
          <w:rFonts w:ascii="Arial" w:hAnsi="Arial" w:cs="Arial"/>
          <w:lang w:val="en-US"/>
        </w:rPr>
      </w:pPr>
      <w:r>
        <w:rPr>
          <w:rFonts w:ascii="Arial" w:hAnsi="Arial" w:cs="Arial"/>
          <w:i/>
          <w:iCs/>
          <w:lang w:val="en-US"/>
        </w:rPr>
        <w:t xml:space="preserve">‘Duke of </w:t>
      </w:r>
      <w:proofErr w:type="spellStart"/>
      <w:r>
        <w:rPr>
          <w:rFonts w:ascii="Arial" w:hAnsi="Arial" w:cs="Arial"/>
          <w:i/>
          <w:iCs/>
          <w:lang w:val="en-US"/>
        </w:rPr>
        <w:t>Westminister</w:t>
      </w:r>
      <w:proofErr w:type="spellEnd"/>
      <w:r>
        <w:rPr>
          <w:rFonts w:ascii="Arial" w:hAnsi="Arial" w:cs="Arial"/>
          <w:i/>
          <w:iCs/>
          <w:lang w:val="en-US"/>
        </w:rPr>
        <w:t xml:space="preserve"> v Guild’ </w:t>
      </w:r>
      <w:r>
        <w:rPr>
          <w:rFonts w:ascii="Arial" w:hAnsi="Arial" w:cs="Arial"/>
          <w:lang w:val="en-US"/>
        </w:rPr>
        <w:t xml:space="preserve">(1983), case 688. </w:t>
      </w:r>
      <w:r>
        <w:rPr>
          <w:rFonts w:ascii="Arial" w:hAnsi="Arial" w:cs="Arial"/>
          <w:i/>
          <w:iCs/>
          <w:lang w:val="en-US"/>
        </w:rPr>
        <w:t xml:space="preserve">Westlaw Edge UK </w:t>
      </w:r>
      <w:r>
        <w:rPr>
          <w:rFonts w:ascii="Arial" w:hAnsi="Arial" w:cs="Arial"/>
          <w:lang w:val="en-US"/>
        </w:rPr>
        <w:t xml:space="preserve">[Online] Available at: </w:t>
      </w:r>
      <w:hyperlink r:id="rId21" w:history="1">
        <w:r w:rsidRPr="00266813">
          <w:rPr>
            <w:rStyle w:val="Hyperlink"/>
            <w:rFonts w:ascii="Arial" w:hAnsi="Arial" w:cs="Arial"/>
            <w:lang w:val="en-US"/>
          </w:rPr>
          <w:t>https://uk.westlaw.com/Document/I9BE53C00E42711DA8FC2A0F0355337E9/View/FullText.html</w:t>
        </w:r>
      </w:hyperlink>
      <w:r w:rsidRPr="00D47965">
        <w:rPr>
          <w:rFonts w:ascii="Arial" w:hAnsi="Arial" w:cs="Arial"/>
          <w:lang w:val="en-US"/>
        </w:rPr>
        <w:t>?</w:t>
      </w:r>
      <w:r>
        <w:rPr>
          <w:rFonts w:ascii="Arial" w:hAnsi="Arial" w:cs="Arial"/>
          <w:lang w:val="en-US"/>
        </w:rPr>
        <w:t xml:space="preserve"> (Accessed: 4 November 2021). </w:t>
      </w:r>
    </w:p>
    <w:p w14:paraId="6039D709" w14:textId="77777777" w:rsidR="00D47965" w:rsidRPr="00D47965" w:rsidRDefault="00D47965" w:rsidP="00D47965">
      <w:pPr>
        <w:spacing w:line="480" w:lineRule="auto"/>
        <w:rPr>
          <w:rFonts w:ascii="Arial" w:hAnsi="Arial" w:cs="Arial"/>
          <w:lang w:val="en-US"/>
        </w:rPr>
      </w:pPr>
    </w:p>
    <w:p w14:paraId="2BF84836" w14:textId="3179551D" w:rsidR="00D47965" w:rsidRDefault="00D47965" w:rsidP="00D47965">
      <w:pPr>
        <w:spacing w:line="480" w:lineRule="auto"/>
        <w:rPr>
          <w:rFonts w:ascii="Arial" w:hAnsi="Arial" w:cs="Arial"/>
          <w:lang w:val="en-US"/>
        </w:rPr>
      </w:pPr>
      <w:r>
        <w:rPr>
          <w:rFonts w:ascii="Arial" w:hAnsi="Arial" w:cs="Arial"/>
          <w:i/>
          <w:iCs/>
          <w:lang w:val="en-US"/>
        </w:rPr>
        <w:t xml:space="preserve">‘Ellenborough Park, Re’ </w:t>
      </w:r>
      <w:r>
        <w:rPr>
          <w:rFonts w:ascii="Arial" w:hAnsi="Arial" w:cs="Arial"/>
          <w:lang w:val="en-US"/>
        </w:rPr>
        <w:t xml:space="preserve">(1956) Court of Appeal, case 131. </w:t>
      </w:r>
      <w:r>
        <w:rPr>
          <w:rFonts w:ascii="Arial" w:hAnsi="Arial" w:cs="Arial"/>
          <w:i/>
          <w:iCs/>
          <w:lang w:val="en-US"/>
        </w:rPr>
        <w:t xml:space="preserve">Westlaw Edge UK </w:t>
      </w:r>
      <w:r>
        <w:rPr>
          <w:rFonts w:ascii="Arial" w:hAnsi="Arial" w:cs="Arial"/>
          <w:lang w:val="en-US"/>
        </w:rPr>
        <w:t xml:space="preserve">[Online] Available at: </w:t>
      </w:r>
      <w:hyperlink r:id="rId22" w:history="1">
        <w:r w:rsidRPr="00266813">
          <w:rPr>
            <w:rStyle w:val="Hyperlink"/>
            <w:rFonts w:ascii="Arial" w:hAnsi="Arial" w:cs="Arial"/>
            <w:lang w:val="en-US"/>
          </w:rPr>
          <w:t>https://uk.westlaw.com/Document/IA0E28C30E42711DA8FC2A0F0355337E9/View/FullText.html</w:t>
        </w:r>
      </w:hyperlink>
      <w:r w:rsidRPr="00D47965">
        <w:rPr>
          <w:rFonts w:ascii="Arial" w:hAnsi="Arial" w:cs="Arial"/>
          <w:lang w:val="en-US"/>
        </w:rPr>
        <w:t>?</w:t>
      </w:r>
      <w:r>
        <w:rPr>
          <w:rFonts w:ascii="Arial" w:hAnsi="Arial" w:cs="Arial"/>
          <w:i/>
          <w:iCs/>
          <w:lang w:val="en-US"/>
        </w:rPr>
        <w:t xml:space="preserve"> </w:t>
      </w:r>
      <w:r>
        <w:rPr>
          <w:rFonts w:ascii="Arial" w:hAnsi="Arial" w:cs="Arial"/>
          <w:lang w:val="en-US"/>
        </w:rPr>
        <w:t>(Accessed: 30 October 2021).</w:t>
      </w:r>
    </w:p>
    <w:p w14:paraId="5742F1BE" w14:textId="06E401C4" w:rsidR="00D47965" w:rsidRDefault="00D47965" w:rsidP="00D47965">
      <w:pPr>
        <w:spacing w:line="480" w:lineRule="auto"/>
        <w:rPr>
          <w:rFonts w:ascii="Arial" w:hAnsi="Arial" w:cs="Arial"/>
          <w:i/>
          <w:iCs/>
          <w:lang w:val="en-US"/>
        </w:rPr>
      </w:pPr>
    </w:p>
    <w:p w14:paraId="21E7EA84" w14:textId="548D2EE4" w:rsidR="00D47965" w:rsidRDefault="00D47965" w:rsidP="00D47965">
      <w:pPr>
        <w:spacing w:line="480" w:lineRule="auto"/>
        <w:rPr>
          <w:rFonts w:ascii="Arial" w:hAnsi="Arial" w:cs="Arial"/>
          <w:lang w:val="en-US"/>
        </w:rPr>
      </w:pPr>
      <w:r>
        <w:rPr>
          <w:rFonts w:ascii="Arial" w:hAnsi="Arial" w:cs="Arial"/>
          <w:i/>
          <w:iCs/>
          <w:lang w:val="en-US"/>
        </w:rPr>
        <w:t xml:space="preserve">‘Harris v De Pinna’ </w:t>
      </w:r>
      <w:r>
        <w:rPr>
          <w:rFonts w:ascii="Arial" w:hAnsi="Arial" w:cs="Arial"/>
          <w:lang w:val="en-US"/>
        </w:rPr>
        <w:t xml:space="preserve">(1886) Court of Appeal, case 238. </w:t>
      </w:r>
      <w:r>
        <w:rPr>
          <w:rFonts w:ascii="Arial" w:hAnsi="Arial" w:cs="Arial"/>
          <w:i/>
          <w:iCs/>
          <w:lang w:val="en-US"/>
        </w:rPr>
        <w:t xml:space="preserve">Westlaw Edge UK </w:t>
      </w:r>
      <w:r>
        <w:rPr>
          <w:rFonts w:ascii="Arial" w:hAnsi="Arial" w:cs="Arial"/>
          <w:lang w:val="en-US"/>
        </w:rPr>
        <w:t xml:space="preserve">[Online] Available at: </w:t>
      </w:r>
      <w:hyperlink r:id="rId23" w:history="1">
        <w:r w:rsidRPr="00266813">
          <w:rPr>
            <w:rStyle w:val="Hyperlink"/>
            <w:rFonts w:ascii="Arial" w:hAnsi="Arial" w:cs="Arial"/>
            <w:lang w:val="en-US"/>
          </w:rPr>
          <w:t>https://uk.westlaw.com/Search/Results.html</w:t>
        </w:r>
      </w:hyperlink>
      <w:r w:rsidRPr="00D47965">
        <w:rPr>
          <w:rFonts w:ascii="Arial" w:hAnsi="Arial" w:cs="Arial"/>
          <w:lang w:val="en-US"/>
        </w:rPr>
        <w:t>?</w:t>
      </w:r>
      <w:r>
        <w:rPr>
          <w:rFonts w:ascii="Arial" w:hAnsi="Arial" w:cs="Arial"/>
          <w:lang w:val="en-US"/>
        </w:rPr>
        <w:t xml:space="preserve"> (Accessed: 4 November 2021). </w:t>
      </w:r>
    </w:p>
    <w:p w14:paraId="474CC768" w14:textId="77777777" w:rsidR="00D47965" w:rsidRPr="00D47965" w:rsidRDefault="00D47965" w:rsidP="00D47965">
      <w:pPr>
        <w:spacing w:line="480" w:lineRule="auto"/>
        <w:rPr>
          <w:rFonts w:ascii="Arial" w:hAnsi="Arial" w:cs="Arial"/>
          <w:lang w:val="en-US"/>
        </w:rPr>
      </w:pPr>
    </w:p>
    <w:p w14:paraId="564B593F" w14:textId="216ADAFF" w:rsidR="00D47965" w:rsidRPr="00D47965" w:rsidRDefault="00D47965" w:rsidP="00D47965">
      <w:pPr>
        <w:spacing w:line="480" w:lineRule="auto"/>
        <w:rPr>
          <w:rFonts w:ascii="Arial" w:hAnsi="Arial" w:cs="Arial"/>
          <w:lang w:val="en-US"/>
        </w:rPr>
      </w:pPr>
      <w:r>
        <w:rPr>
          <w:rFonts w:ascii="Arial" w:hAnsi="Arial" w:cs="Arial"/>
          <w:i/>
          <w:iCs/>
          <w:lang w:val="en-US"/>
        </w:rPr>
        <w:t xml:space="preserve">‘Harris v Flower &amp; Sons’ </w:t>
      </w:r>
      <w:r>
        <w:rPr>
          <w:rFonts w:ascii="Arial" w:hAnsi="Arial" w:cs="Arial"/>
          <w:lang w:val="en-US"/>
        </w:rPr>
        <w:t xml:space="preserve">(1904) Court of Appeal, case 25. </w:t>
      </w:r>
      <w:r>
        <w:rPr>
          <w:rFonts w:ascii="Arial" w:hAnsi="Arial" w:cs="Arial"/>
          <w:i/>
          <w:iCs/>
          <w:lang w:val="en-US"/>
        </w:rPr>
        <w:t xml:space="preserve">Westlaw Edge UK </w:t>
      </w:r>
      <w:r>
        <w:rPr>
          <w:rFonts w:ascii="Arial" w:hAnsi="Arial" w:cs="Arial"/>
          <w:lang w:val="en-US"/>
        </w:rPr>
        <w:t xml:space="preserve">[Online] Available at: </w:t>
      </w:r>
      <w:hyperlink r:id="rId24" w:history="1">
        <w:r w:rsidRPr="00266813">
          <w:rPr>
            <w:rStyle w:val="Hyperlink"/>
            <w:rFonts w:ascii="Arial" w:hAnsi="Arial" w:cs="Arial"/>
            <w:lang w:val="en-US"/>
          </w:rPr>
          <w:t>https://uk.westlaw.com/Document/IF7124B00E57011DAB242AFEA6182DD7E/View/FullText.html</w:t>
        </w:r>
      </w:hyperlink>
      <w:r w:rsidRPr="00D47965">
        <w:rPr>
          <w:rFonts w:ascii="Arial" w:hAnsi="Arial" w:cs="Arial"/>
          <w:lang w:val="en-US"/>
        </w:rPr>
        <w:t>?</w:t>
      </w:r>
      <w:r>
        <w:rPr>
          <w:rFonts w:ascii="Arial" w:hAnsi="Arial" w:cs="Arial"/>
          <w:lang w:val="en-US"/>
        </w:rPr>
        <w:t xml:space="preserve"> (Accessed: 30 October 2021).</w:t>
      </w:r>
    </w:p>
    <w:p w14:paraId="090D4067" w14:textId="77777777" w:rsidR="00D47965" w:rsidRDefault="00D47965" w:rsidP="00D47965">
      <w:pPr>
        <w:spacing w:line="480" w:lineRule="auto"/>
        <w:rPr>
          <w:rFonts w:ascii="Arial" w:hAnsi="Arial" w:cs="Arial"/>
          <w:i/>
          <w:iCs/>
          <w:lang w:val="en-US"/>
        </w:rPr>
      </w:pPr>
    </w:p>
    <w:p w14:paraId="2F0D23A0" w14:textId="23AB98AF" w:rsidR="00D47965" w:rsidRDefault="00D47965" w:rsidP="00D47965">
      <w:pPr>
        <w:spacing w:line="480" w:lineRule="auto"/>
        <w:rPr>
          <w:rFonts w:ascii="Arial" w:hAnsi="Arial" w:cs="Arial"/>
          <w:lang w:val="en-US"/>
        </w:rPr>
      </w:pPr>
      <w:r>
        <w:rPr>
          <w:rFonts w:ascii="Arial" w:hAnsi="Arial" w:cs="Arial"/>
          <w:i/>
          <w:iCs/>
          <w:lang w:val="en-US"/>
        </w:rPr>
        <w:t xml:space="preserve">‘Hill v Tupper’ </w:t>
      </w:r>
      <w:r>
        <w:rPr>
          <w:rFonts w:ascii="Arial" w:hAnsi="Arial" w:cs="Arial"/>
          <w:lang w:val="en-US"/>
        </w:rPr>
        <w:t xml:space="preserve">(1863) Court of Exchequer, case 51. </w:t>
      </w:r>
      <w:r>
        <w:rPr>
          <w:rFonts w:ascii="Arial" w:hAnsi="Arial" w:cs="Arial"/>
          <w:i/>
          <w:iCs/>
          <w:lang w:val="en-US"/>
        </w:rPr>
        <w:t xml:space="preserve">Westlaw Edge UK </w:t>
      </w:r>
      <w:r>
        <w:rPr>
          <w:rFonts w:ascii="Arial" w:hAnsi="Arial" w:cs="Arial"/>
          <w:lang w:val="en-US"/>
        </w:rPr>
        <w:t xml:space="preserve">[Online] Available at: </w:t>
      </w:r>
      <w:hyperlink r:id="rId25" w:history="1">
        <w:r w:rsidRPr="00266813">
          <w:rPr>
            <w:rStyle w:val="Hyperlink"/>
            <w:rFonts w:ascii="Arial" w:hAnsi="Arial" w:cs="Arial"/>
            <w:lang w:val="en-US"/>
          </w:rPr>
          <w:t>https://uk.westlaw.com/Document/IA0E35410FABC11DB9B57B88EFF41B931/View/FullText.html</w:t>
        </w:r>
      </w:hyperlink>
      <w:r w:rsidRPr="00D47965">
        <w:rPr>
          <w:rFonts w:ascii="Arial" w:hAnsi="Arial" w:cs="Arial"/>
          <w:lang w:val="en-US"/>
        </w:rPr>
        <w:t>?</w:t>
      </w:r>
      <w:r>
        <w:rPr>
          <w:rFonts w:ascii="Arial" w:hAnsi="Arial" w:cs="Arial"/>
          <w:lang w:val="en-US"/>
        </w:rPr>
        <w:t xml:space="preserve"> (Accessed: 2 November 2021). </w:t>
      </w:r>
    </w:p>
    <w:p w14:paraId="0B2A4CCE" w14:textId="77777777" w:rsidR="00D47965" w:rsidRDefault="00D47965" w:rsidP="00D47965">
      <w:pPr>
        <w:spacing w:line="480" w:lineRule="auto"/>
        <w:rPr>
          <w:rFonts w:ascii="Arial" w:hAnsi="Arial" w:cs="Arial"/>
          <w:i/>
          <w:iCs/>
          <w:lang w:val="en-US"/>
        </w:rPr>
      </w:pPr>
    </w:p>
    <w:p w14:paraId="04858446" w14:textId="70D14264" w:rsidR="00D47965" w:rsidRPr="00D47965" w:rsidRDefault="00D47965" w:rsidP="00D47965">
      <w:pPr>
        <w:spacing w:line="480" w:lineRule="auto"/>
        <w:rPr>
          <w:rFonts w:ascii="Arial" w:hAnsi="Arial" w:cs="Arial"/>
          <w:lang w:val="en-US"/>
        </w:rPr>
      </w:pPr>
      <w:r>
        <w:rPr>
          <w:rFonts w:ascii="Arial" w:hAnsi="Arial" w:cs="Arial"/>
          <w:i/>
          <w:iCs/>
          <w:lang w:val="en-US"/>
        </w:rPr>
        <w:t>‘Hunter v Canary Wharf Ltd’</w:t>
      </w:r>
      <w:r>
        <w:rPr>
          <w:rFonts w:ascii="Arial" w:hAnsi="Arial" w:cs="Arial"/>
          <w:lang w:val="en-US"/>
        </w:rPr>
        <w:t xml:space="preserve"> (1997) House of Lords, case 655. </w:t>
      </w:r>
      <w:r>
        <w:rPr>
          <w:rFonts w:ascii="Arial" w:hAnsi="Arial" w:cs="Arial"/>
          <w:i/>
          <w:iCs/>
          <w:lang w:val="en-US"/>
        </w:rPr>
        <w:t xml:space="preserve">Westlaw Edge UK </w:t>
      </w:r>
      <w:r>
        <w:rPr>
          <w:rFonts w:ascii="Arial" w:hAnsi="Arial" w:cs="Arial"/>
          <w:lang w:val="en-US"/>
        </w:rPr>
        <w:t xml:space="preserve">[Online] Available at: </w:t>
      </w:r>
      <w:hyperlink r:id="rId26" w:history="1">
        <w:r w:rsidRPr="00266813">
          <w:rPr>
            <w:rStyle w:val="Hyperlink"/>
            <w:rFonts w:ascii="Arial" w:hAnsi="Arial" w:cs="Arial"/>
            <w:lang w:val="en-US"/>
          </w:rPr>
          <w:t>https://uk.westlaw.com/Document/IC5200B40E42711DA8FC2A0F0355337E9/View/FullText.html</w:t>
        </w:r>
      </w:hyperlink>
      <w:r w:rsidRPr="00D47965">
        <w:rPr>
          <w:rFonts w:ascii="Arial" w:hAnsi="Arial" w:cs="Arial"/>
          <w:lang w:val="en-US"/>
        </w:rPr>
        <w:t>?</w:t>
      </w:r>
      <w:r>
        <w:rPr>
          <w:rFonts w:ascii="Arial" w:hAnsi="Arial" w:cs="Arial"/>
          <w:lang w:val="en-US"/>
        </w:rPr>
        <w:t xml:space="preserve"> (Accessed: 4 November 2021). </w:t>
      </w:r>
    </w:p>
    <w:p w14:paraId="1FA1F751" w14:textId="30598849" w:rsidR="00D47965" w:rsidRDefault="00D47965" w:rsidP="00D47965">
      <w:pPr>
        <w:spacing w:line="480" w:lineRule="auto"/>
        <w:rPr>
          <w:rFonts w:ascii="Arial" w:hAnsi="Arial" w:cs="Arial"/>
          <w:i/>
          <w:iCs/>
          <w:lang w:val="en-US"/>
        </w:rPr>
      </w:pPr>
    </w:p>
    <w:p w14:paraId="3E6B47D9" w14:textId="34B02DDE" w:rsidR="00D47965" w:rsidRDefault="00D47965" w:rsidP="00D47965">
      <w:pPr>
        <w:spacing w:line="480" w:lineRule="auto"/>
        <w:rPr>
          <w:rFonts w:ascii="Arial" w:hAnsi="Arial" w:cs="Arial"/>
          <w:lang w:val="en-US"/>
        </w:rPr>
      </w:pPr>
      <w:r>
        <w:rPr>
          <w:rFonts w:ascii="Arial" w:hAnsi="Arial" w:cs="Arial"/>
          <w:i/>
          <w:iCs/>
          <w:lang w:val="en-US"/>
        </w:rPr>
        <w:lastRenderedPageBreak/>
        <w:t xml:space="preserve">‘London &amp; Blenheim Estates Ltd v Ladbroke Retail Parks Ltd’ </w:t>
      </w:r>
      <w:r>
        <w:rPr>
          <w:rFonts w:ascii="Arial" w:hAnsi="Arial" w:cs="Arial"/>
          <w:lang w:val="en-US"/>
        </w:rPr>
        <w:t xml:space="preserve">(1993) Court of Appeal, case 31. </w:t>
      </w:r>
      <w:r>
        <w:rPr>
          <w:rFonts w:ascii="Arial" w:hAnsi="Arial" w:cs="Arial"/>
          <w:i/>
          <w:iCs/>
          <w:lang w:val="en-US"/>
        </w:rPr>
        <w:t xml:space="preserve">Westlaw Edge UK. </w:t>
      </w:r>
      <w:r>
        <w:rPr>
          <w:rFonts w:ascii="Arial" w:hAnsi="Arial" w:cs="Arial"/>
          <w:lang w:val="en-US"/>
        </w:rPr>
        <w:t xml:space="preserve">[Online] available at: </w:t>
      </w:r>
      <w:hyperlink r:id="rId27" w:history="1">
        <w:r w:rsidRPr="00266813">
          <w:rPr>
            <w:rStyle w:val="Hyperlink"/>
            <w:rFonts w:ascii="Arial" w:hAnsi="Arial" w:cs="Arial"/>
            <w:lang w:val="en-US"/>
          </w:rPr>
          <w:t>https://uk.westlaw.com/Document/IE272E910E42711DA8FC2A0F0355337E9/View/Full</w:t>
        </w:r>
        <w:r w:rsidRPr="00266813">
          <w:rPr>
            <w:rStyle w:val="Hyperlink"/>
            <w:rFonts w:ascii="Arial" w:hAnsi="Arial" w:cs="Arial"/>
            <w:lang w:val="en-US"/>
          </w:rPr>
          <w:t>T</w:t>
        </w:r>
        <w:r w:rsidRPr="00266813">
          <w:rPr>
            <w:rStyle w:val="Hyperlink"/>
            <w:rFonts w:ascii="Arial" w:hAnsi="Arial" w:cs="Arial"/>
            <w:lang w:val="en-US"/>
          </w:rPr>
          <w:t>ext.html</w:t>
        </w:r>
      </w:hyperlink>
      <w:r w:rsidRPr="00D47965">
        <w:rPr>
          <w:rFonts w:ascii="Arial" w:hAnsi="Arial" w:cs="Arial"/>
          <w:lang w:val="en-US"/>
        </w:rPr>
        <w:t>?</w:t>
      </w:r>
      <w:r>
        <w:rPr>
          <w:rFonts w:ascii="Arial" w:hAnsi="Arial" w:cs="Arial"/>
          <w:lang w:val="en-US"/>
        </w:rPr>
        <w:t xml:space="preserve"> (Accessed: 30 October 2021). </w:t>
      </w:r>
    </w:p>
    <w:p w14:paraId="1B7B8519" w14:textId="77777777" w:rsidR="00D47965" w:rsidRDefault="00D47965" w:rsidP="00D47965">
      <w:pPr>
        <w:spacing w:line="480" w:lineRule="auto"/>
        <w:rPr>
          <w:rFonts w:ascii="Arial" w:hAnsi="Arial" w:cs="Arial"/>
          <w:i/>
          <w:iCs/>
          <w:lang w:val="en-US"/>
        </w:rPr>
      </w:pPr>
    </w:p>
    <w:p w14:paraId="7C9BDCA9" w14:textId="0BC83A91" w:rsidR="00D47965" w:rsidRDefault="00D47965" w:rsidP="00D47965">
      <w:pPr>
        <w:spacing w:line="480" w:lineRule="auto"/>
        <w:rPr>
          <w:rFonts w:ascii="Arial" w:hAnsi="Arial" w:cs="Arial"/>
          <w:lang w:val="en-US"/>
        </w:rPr>
      </w:pPr>
      <w:r>
        <w:rPr>
          <w:rFonts w:ascii="Arial" w:hAnsi="Arial" w:cs="Arial"/>
          <w:i/>
          <w:iCs/>
          <w:lang w:val="en-US"/>
        </w:rPr>
        <w:t xml:space="preserve">‘Massey v Boulden’ </w:t>
      </w:r>
      <w:r>
        <w:rPr>
          <w:rFonts w:ascii="Arial" w:hAnsi="Arial" w:cs="Arial"/>
          <w:lang w:val="en-US"/>
        </w:rPr>
        <w:t xml:space="preserve">(2002) Court of Appeal, case 1792. </w:t>
      </w:r>
      <w:r>
        <w:rPr>
          <w:rFonts w:ascii="Arial" w:hAnsi="Arial" w:cs="Arial"/>
          <w:i/>
          <w:iCs/>
          <w:lang w:val="en-US"/>
        </w:rPr>
        <w:t xml:space="preserve">Westlaw Edge UK. </w:t>
      </w:r>
      <w:r>
        <w:rPr>
          <w:rFonts w:ascii="Arial" w:hAnsi="Arial" w:cs="Arial"/>
          <w:lang w:val="en-US"/>
        </w:rPr>
        <w:t xml:space="preserve">[Online] available at: </w:t>
      </w:r>
      <w:hyperlink r:id="rId28" w:history="1">
        <w:r w:rsidRPr="00266813">
          <w:rPr>
            <w:rStyle w:val="Hyperlink"/>
            <w:rFonts w:ascii="Arial" w:hAnsi="Arial" w:cs="Arial"/>
            <w:lang w:val="en-US"/>
          </w:rPr>
          <w:t>https://uk.westlaw.com/Document/IEFAB0131E42711DA8FC2A0F0355337E9/View/FullText.html</w:t>
        </w:r>
      </w:hyperlink>
      <w:r w:rsidRPr="00D47965">
        <w:rPr>
          <w:rFonts w:ascii="Arial" w:hAnsi="Arial" w:cs="Arial"/>
          <w:lang w:val="en-US"/>
        </w:rPr>
        <w:t>?</w:t>
      </w:r>
      <w:r>
        <w:rPr>
          <w:rFonts w:ascii="Arial" w:hAnsi="Arial" w:cs="Arial"/>
          <w:lang w:val="en-US"/>
        </w:rPr>
        <w:t xml:space="preserve"> (Accessed: 31 October 2021). </w:t>
      </w:r>
    </w:p>
    <w:p w14:paraId="51B4767E" w14:textId="77777777" w:rsidR="00D47965" w:rsidRDefault="00D47965" w:rsidP="00D47965">
      <w:pPr>
        <w:spacing w:line="480" w:lineRule="auto"/>
        <w:rPr>
          <w:rFonts w:ascii="Arial" w:hAnsi="Arial" w:cs="Arial"/>
          <w:i/>
          <w:iCs/>
          <w:lang w:val="en-US"/>
        </w:rPr>
      </w:pPr>
    </w:p>
    <w:p w14:paraId="647A8D46" w14:textId="5DF4E2AD" w:rsidR="00D47965" w:rsidRDefault="00D47965" w:rsidP="00D47965">
      <w:pPr>
        <w:spacing w:line="480" w:lineRule="auto"/>
        <w:rPr>
          <w:rFonts w:ascii="Arial" w:hAnsi="Arial" w:cs="Arial"/>
          <w:lang w:val="en-US"/>
        </w:rPr>
      </w:pPr>
      <w:r>
        <w:rPr>
          <w:rFonts w:ascii="Arial" w:hAnsi="Arial" w:cs="Arial"/>
          <w:i/>
          <w:iCs/>
          <w:lang w:val="en-US"/>
        </w:rPr>
        <w:t xml:space="preserve">‘Moody v </w:t>
      </w:r>
      <w:proofErr w:type="spellStart"/>
      <w:r>
        <w:rPr>
          <w:rFonts w:ascii="Arial" w:hAnsi="Arial" w:cs="Arial"/>
          <w:i/>
          <w:iCs/>
          <w:lang w:val="en-US"/>
        </w:rPr>
        <w:t>Steggles</w:t>
      </w:r>
      <w:proofErr w:type="spellEnd"/>
      <w:r>
        <w:rPr>
          <w:rFonts w:ascii="Arial" w:hAnsi="Arial" w:cs="Arial"/>
          <w:i/>
          <w:iCs/>
          <w:lang w:val="en-US"/>
        </w:rPr>
        <w:t xml:space="preserve">’ </w:t>
      </w:r>
      <w:r>
        <w:rPr>
          <w:rFonts w:ascii="Arial" w:hAnsi="Arial" w:cs="Arial"/>
          <w:lang w:val="en-US"/>
        </w:rPr>
        <w:t xml:space="preserve">(1879) Chancery Division, case 261. </w:t>
      </w:r>
      <w:r>
        <w:rPr>
          <w:rFonts w:ascii="Arial" w:hAnsi="Arial" w:cs="Arial"/>
          <w:i/>
          <w:iCs/>
          <w:lang w:val="en-US"/>
        </w:rPr>
        <w:t xml:space="preserve">Westlaw Edge UK. </w:t>
      </w:r>
      <w:r>
        <w:rPr>
          <w:rFonts w:ascii="Arial" w:hAnsi="Arial" w:cs="Arial"/>
          <w:lang w:val="en-US"/>
        </w:rPr>
        <w:t xml:space="preserve">[Online] available at: </w:t>
      </w:r>
      <w:hyperlink r:id="rId29" w:history="1">
        <w:r w:rsidRPr="00266813">
          <w:rPr>
            <w:rStyle w:val="Hyperlink"/>
            <w:rFonts w:ascii="Arial" w:hAnsi="Arial" w:cs="Arial"/>
            <w:lang w:val="en-US"/>
          </w:rPr>
          <w:t>https://uk.westlaw.com/Document/I04D650F0E42811DA8FC2A0F0355337E9/View/FullText.html</w:t>
        </w:r>
      </w:hyperlink>
      <w:r w:rsidRPr="00D47965">
        <w:rPr>
          <w:rFonts w:ascii="Arial" w:hAnsi="Arial" w:cs="Arial"/>
          <w:lang w:val="en-US"/>
        </w:rPr>
        <w:t>?</w:t>
      </w:r>
      <w:r>
        <w:rPr>
          <w:rFonts w:ascii="Arial" w:hAnsi="Arial" w:cs="Arial"/>
          <w:lang w:val="en-US"/>
        </w:rPr>
        <w:t xml:space="preserve"> (Accessed: 3 November 2021).</w:t>
      </w:r>
    </w:p>
    <w:p w14:paraId="16A8FEBC" w14:textId="77777777" w:rsidR="00D47965" w:rsidRPr="00D47965" w:rsidRDefault="00D47965" w:rsidP="00D47965">
      <w:pPr>
        <w:spacing w:line="480" w:lineRule="auto"/>
        <w:rPr>
          <w:rFonts w:ascii="Arial" w:hAnsi="Arial" w:cs="Arial"/>
          <w:lang w:val="en-US"/>
        </w:rPr>
      </w:pPr>
    </w:p>
    <w:p w14:paraId="3C140B7D" w14:textId="77777777" w:rsidR="00D47965" w:rsidRPr="00D47965" w:rsidRDefault="00D47965" w:rsidP="00D47965">
      <w:pPr>
        <w:spacing w:line="480" w:lineRule="auto"/>
        <w:rPr>
          <w:rFonts w:ascii="Arial" w:hAnsi="Arial" w:cs="Arial"/>
          <w:lang w:val="en-US"/>
        </w:rPr>
      </w:pPr>
    </w:p>
    <w:p w14:paraId="0FEACC28" w14:textId="026D3E2D" w:rsidR="00D47965" w:rsidRDefault="00D47965" w:rsidP="00D47965">
      <w:pPr>
        <w:spacing w:line="480" w:lineRule="auto"/>
        <w:rPr>
          <w:rFonts w:ascii="Arial" w:hAnsi="Arial" w:cs="Arial"/>
          <w:lang w:val="en-US"/>
        </w:rPr>
      </w:pPr>
      <w:r>
        <w:rPr>
          <w:rFonts w:ascii="Arial" w:hAnsi="Arial" w:cs="Arial"/>
          <w:i/>
          <w:iCs/>
          <w:lang w:val="en-US"/>
        </w:rPr>
        <w:t xml:space="preserve">‘Peacock v </w:t>
      </w:r>
      <w:proofErr w:type="spellStart"/>
      <w:r>
        <w:rPr>
          <w:rFonts w:ascii="Arial" w:hAnsi="Arial" w:cs="Arial"/>
          <w:i/>
          <w:iCs/>
          <w:lang w:val="en-US"/>
        </w:rPr>
        <w:t>Custins</w:t>
      </w:r>
      <w:proofErr w:type="spellEnd"/>
      <w:r>
        <w:rPr>
          <w:rFonts w:ascii="Arial" w:hAnsi="Arial" w:cs="Arial"/>
          <w:i/>
          <w:iCs/>
          <w:lang w:val="en-US"/>
        </w:rPr>
        <w:t xml:space="preserve">’ </w:t>
      </w:r>
      <w:r>
        <w:rPr>
          <w:rFonts w:ascii="Arial" w:hAnsi="Arial" w:cs="Arial"/>
          <w:lang w:val="en-US"/>
        </w:rPr>
        <w:t xml:space="preserve">(2000) Court of Appeal, case 1815. </w:t>
      </w:r>
      <w:r>
        <w:rPr>
          <w:rFonts w:ascii="Arial" w:hAnsi="Arial" w:cs="Arial"/>
          <w:i/>
          <w:iCs/>
          <w:lang w:val="en-US"/>
        </w:rPr>
        <w:t xml:space="preserve">Westlaw Edge UK </w:t>
      </w:r>
      <w:r>
        <w:rPr>
          <w:rFonts w:ascii="Arial" w:hAnsi="Arial" w:cs="Arial"/>
          <w:lang w:val="en-US"/>
        </w:rPr>
        <w:t xml:space="preserve">[Online] Available at: </w:t>
      </w:r>
      <w:r w:rsidRPr="00D47965">
        <w:rPr>
          <w:rFonts w:ascii="Arial" w:hAnsi="Arial" w:cs="Arial"/>
          <w:lang w:val="en-US"/>
        </w:rPr>
        <w:t>https://uk.westlaw.com/Document/I1AF109C0E42811DA8FC2A0F0355337E9/View/FullText.html?</w:t>
      </w:r>
      <w:r>
        <w:rPr>
          <w:rFonts w:ascii="Arial" w:hAnsi="Arial" w:cs="Arial"/>
          <w:lang w:val="en-US"/>
        </w:rPr>
        <w:t xml:space="preserve"> (Accessed: 30 October 2021). </w:t>
      </w:r>
    </w:p>
    <w:p w14:paraId="225FB665" w14:textId="77777777" w:rsidR="00D47965" w:rsidRDefault="00D47965" w:rsidP="00D47965">
      <w:pPr>
        <w:spacing w:line="480" w:lineRule="auto"/>
        <w:rPr>
          <w:rFonts w:ascii="Arial" w:hAnsi="Arial" w:cs="Arial"/>
          <w:i/>
          <w:iCs/>
          <w:lang w:val="en-US"/>
        </w:rPr>
      </w:pPr>
    </w:p>
    <w:p w14:paraId="33F704B6" w14:textId="08899D2F" w:rsidR="00D47965" w:rsidRPr="00D47965" w:rsidRDefault="00D47965" w:rsidP="00D47965">
      <w:pPr>
        <w:spacing w:line="480" w:lineRule="auto"/>
        <w:rPr>
          <w:rFonts w:ascii="Arial" w:hAnsi="Arial" w:cs="Arial"/>
          <w:lang w:val="en-US"/>
        </w:rPr>
      </w:pPr>
      <w:r>
        <w:rPr>
          <w:rFonts w:ascii="Arial" w:hAnsi="Arial" w:cs="Arial"/>
          <w:i/>
          <w:iCs/>
          <w:lang w:val="en-US"/>
        </w:rPr>
        <w:t xml:space="preserve">‘Phipps v Pears’ </w:t>
      </w:r>
      <w:r>
        <w:rPr>
          <w:rFonts w:ascii="Arial" w:hAnsi="Arial" w:cs="Arial"/>
          <w:lang w:val="en-US"/>
        </w:rPr>
        <w:t xml:space="preserve">(1964) Court of Appeal, case 76. </w:t>
      </w:r>
      <w:r>
        <w:rPr>
          <w:rFonts w:ascii="Arial" w:hAnsi="Arial" w:cs="Arial"/>
          <w:i/>
          <w:iCs/>
          <w:lang w:val="en-US"/>
        </w:rPr>
        <w:t xml:space="preserve">Westlaw Edge UK </w:t>
      </w:r>
      <w:r>
        <w:rPr>
          <w:rFonts w:ascii="Arial" w:hAnsi="Arial" w:cs="Arial"/>
          <w:lang w:val="en-US"/>
        </w:rPr>
        <w:t xml:space="preserve">[Online] Available at: </w:t>
      </w:r>
      <w:hyperlink r:id="rId30" w:history="1">
        <w:r w:rsidRPr="00266813">
          <w:rPr>
            <w:rStyle w:val="Hyperlink"/>
            <w:rFonts w:ascii="Arial" w:hAnsi="Arial" w:cs="Arial"/>
            <w:lang w:val="en-US"/>
          </w:rPr>
          <w:t>https://uk.westlaw.com/Document/I1EDBD880E42811DA8FC2A0F0355337E9/View/FullText.html</w:t>
        </w:r>
      </w:hyperlink>
      <w:r w:rsidRPr="00D47965">
        <w:rPr>
          <w:rFonts w:ascii="Arial" w:hAnsi="Arial" w:cs="Arial"/>
          <w:lang w:val="en-US"/>
        </w:rPr>
        <w:t>?</w:t>
      </w:r>
      <w:r>
        <w:rPr>
          <w:rFonts w:ascii="Arial" w:hAnsi="Arial" w:cs="Arial"/>
          <w:lang w:val="en-US"/>
        </w:rPr>
        <w:t xml:space="preserve"> (Accessed: 4 November 2021).  </w:t>
      </w:r>
    </w:p>
    <w:p w14:paraId="07919A9F" w14:textId="77777777" w:rsidR="00D47965" w:rsidRDefault="00D47965" w:rsidP="00D47965">
      <w:pPr>
        <w:spacing w:line="480" w:lineRule="auto"/>
        <w:rPr>
          <w:rFonts w:ascii="Arial" w:hAnsi="Arial" w:cs="Arial"/>
          <w:i/>
          <w:iCs/>
          <w:lang w:val="en-US"/>
        </w:rPr>
      </w:pPr>
    </w:p>
    <w:p w14:paraId="4E76C20E" w14:textId="4CE4FB82" w:rsidR="00D47965" w:rsidRDefault="00D47965" w:rsidP="00D47965">
      <w:pPr>
        <w:spacing w:line="480" w:lineRule="auto"/>
        <w:rPr>
          <w:rFonts w:ascii="Arial" w:hAnsi="Arial" w:cs="Arial"/>
          <w:lang w:val="en-US"/>
        </w:rPr>
      </w:pPr>
      <w:r>
        <w:rPr>
          <w:rFonts w:ascii="Arial" w:hAnsi="Arial" w:cs="Arial"/>
          <w:i/>
          <w:iCs/>
          <w:lang w:val="en-US"/>
        </w:rPr>
        <w:t xml:space="preserve">‘Regency Villas Title Ltd v Diamond Resorts Ltd’ </w:t>
      </w:r>
      <w:r>
        <w:rPr>
          <w:rFonts w:ascii="Arial" w:hAnsi="Arial" w:cs="Arial"/>
          <w:lang w:val="en-US"/>
        </w:rPr>
        <w:t xml:space="preserve">(2018) Supreme Court, case 553. </w:t>
      </w:r>
      <w:r>
        <w:rPr>
          <w:rFonts w:ascii="Arial" w:hAnsi="Arial" w:cs="Arial"/>
          <w:i/>
          <w:iCs/>
          <w:lang w:val="en-US"/>
        </w:rPr>
        <w:t xml:space="preserve">Westlaw Edge UK </w:t>
      </w:r>
      <w:r>
        <w:rPr>
          <w:rFonts w:ascii="Arial" w:hAnsi="Arial" w:cs="Arial"/>
          <w:lang w:val="en-US"/>
        </w:rPr>
        <w:t xml:space="preserve">[Online] Available at: </w:t>
      </w:r>
      <w:hyperlink r:id="rId31" w:history="1">
        <w:r w:rsidRPr="00266813">
          <w:rPr>
            <w:rStyle w:val="Hyperlink"/>
            <w:rFonts w:ascii="Arial" w:hAnsi="Arial" w:cs="Arial"/>
            <w:lang w:val="en-US"/>
          </w:rPr>
          <w:t>https://uk.westlaw.com/Document/IF1985750E80A11E887E8AD830F3D8349/View/FullText.html</w:t>
        </w:r>
      </w:hyperlink>
      <w:r w:rsidRPr="00D47965">
        <w:rPr>
          <w:rFonts w:ascii="Arial" w:hAnsi="Arial" w:cs="Arial"/>
          <w:lang w:val="en-US"/>
        </w:rPr>
        <w:t>?</w:t>
      </w:r>
      <w:r>
        <w:rPr>
          <w:rFonts w:ascii="Arial" w:hAnsi="Arial" w:cs="Arial"/>
          <w:lang w:val="en-US"/>
        </w:rPr>
        <w:t xml:space="preserve"> (Accessed: 30 October 2021).</w:t>
      </w:r>
    </w:p>
    <w:p w14:paraId="3C0F4C50" w14:textId="77777777" w:rsidR="00D47965" w:rsidRDefault="00D47965" w:rsidP="00D47965">
      <w:pPr>
        <w:spacing w:line="480" w:lineRule="auto"/>
        <w:rPr>
          <w:rFonts w:ascii="Arial" w:hAnsi="Arial" w:cs="Arial"/>
          <w:i/>
          <w:iCs/>
          <w:lang w:val="en-US"/>
        </w:rPr>
      </w:pPr>
    </w:p>
    <w:p w14:paraId="57C92BE1" w14:textId="77E58AEB" w:rsidR="00D47965" w:rsidRDefault="00D47965" w:rsidP="00D47965">
      <w:pPr>
        <w:spacing w:line="480" w:lineRule="auto"/>
        <w:rPr>
          <w:rFonts w:ascii="Arial" w:hAnsi="Arial" w:cs="Arial"/>
          <w:lang w:val="en-US"/>
        </w:rPr>
      </w:pPr>
      <w:r>
        <w:rPr>
          <w:rFonts w:ascii="Arial" w:hAnsi="Arial" w:cs="Arial"/>
          <w:i/>
          <w:iCs/>
          <w:lang w:val="en-US"/>
        </w:rPr>
        <w:t xml:space="preserve">‘Schwann v Cotton’ </w:t>
      </w:r>
      <w:r>
        <w:rPr>
          <w:rFonts w:ascii="Arial" w:hAnsi="Arial" w:cs="Arial"/>
          <w:lang w:val="en-US"/>
        </w:rPr>
        <w:t xml:space="preserve">(1916) Court of Appeal, case 459. </w:t>
      </w:r>
      <w:r>
        <w:rPr>
          <w:rFonts w:ascii="Arial" w:hAnsi="Arial" w:cs="Arial"/>
          <w:i/>
          <w:iCs/>
          <w:lang w:val="en-US"/>
        </w:rPr>
        <w:t xml:space="preserve">Westlaw Edge UK </w:t>
      </w:r>
      <w:r>
        <w:rPr>
          <w:rFonts w:ascii="Arial" w:hAnsi="Arial" w:cs="Arial"/>
          <w:lang w:val="en-US"/>
        </w:rPr>
        <w:t xml:space="preserve">[Online] Available at: </w:t>
      </w:r>
      <w:hyperlink r:id="rId32" w:history="1">
        <w:r w:rsidRPr="00266813">
          <w:rPr>
            <w:rStyle w:val="Hyperlink"/>
            <w:rFonts w:ascii="Arial" w:hAnsi="Arial" w:cs="Arial"/>
            <w:lang w:val="en-US"/>
          </w:rPr>
          <w:t>https://uk.westlaw.com/Document/I98C47E90E42811DA8FC2A0F0355337E9/View/FullText.html</w:t>
        </w:r>
      </w:hyperlink>
      <w:r w:rsidRPr="00D47965">
        <w:rPr>
          <w:rFonts w:ascii="Arial" w:hAnsi="Arial" w:cs="Arial"/>
          <w:lang w:val="en-US"/>
        </w:rPr>
        <w:t>?</w:t>
      </w:r>
      <w:r>
        <w:rPr>
          <w:rFonts w:ascii="Arial" w:hAnsi="Arial" w:cs="Arial"/>
          <w:lang w:val="en-US"/>
        </w:rPr>
        <w:t xml:space="preserve"> (Accessed: 4 November 2021). </w:t>
      </w:r>
    </w:p>
    <w:p w14:paraId="4806F163" w14:textId="77777777" w:rsidR="00D47965" w:rsidRDefault="00D47965" w:rsidP="00D47965">
      <w:pPr>
        <w:spacing w:line="480" w:lineRule="auto"/>
        <w:rPr>
          <w:rFonts w:ascii="Arial" w:hAnsi="Arial" w:cs="Arial"/>
          <w:i/>
          <w:iCs/>
          <w:lang w:val="en-US"/>
        </w:rPr>
      </w:pPr>
    </w:p>
    <w:p w14:paraId="27B9E2BB" w14:textId="31EF651E" w:rsidR="00D47965" w:rsidRPr="00D47965" w:rsidRDefault="00D47965" w:rsidP="00D47965">
      <w:pPr>
        <w:spacing w:line="480" w:lineRule="auto"/>
        <w:rPr>
          <w:rFonts w:ascii="Arial" w:hAnsi="Arial" w:cs="Arial"/>
          <w:lang w:val="en-US"/>
        </w:rPr>
      </w:pPr>
      <w:r>
        <w:rPr>
          <w:rFonts w:ascii="Arial" w:hAnsi="Arial" w:cs="Arial"/>
          <w:i/>
          <w:iCs/>
          <w:lang w:val="en-US"/>
        </w:rPr>
        <w:t xml:space="preserve">‘Wall v Collins’ </w:t>
      </w:r>
      <w:r>
        <w:rPr>
          <w:rFonts w:ascii="Arial" w:hAnsi="Arial" w:cs="Arial"/>
          <w:lang w:val="en-US"/>
        </w:rPr>
        <w:t xml:space="preserve">(2007) Court of Appeal, case 1155. </w:t>
      </w:r>
      <w:r>
        <w:rPr>
          <w:rFonts w:ascii="Arial" w:hAnsi="Arial" w:cs="Arial"/>
          <w:i/>
          <w:iCs/>
          <w:lang w:val="en-US"/>
        </w:rPr>
        <w:t xml:space="preserve">Westlaw Edge UK </w:t>
      </w:r>
      <w:r>
        <w:rPr>
          <w:rFonts w:ascii="Arial" w:hAnsi="Arial" w:cs="Arial"/>
          <w:lang w:val="en-US"/>
        </w:rPr>
        <w:t xml:space="preserve">[Online] Available at: </w:t>
      </w:r>
      <w:hyperlink r:id="rId33" w:history="1">
        <w:r w:rsidRPr="00266813">
          <w:rPr>
            <w:rStyle w:val="Hyperlink"/>
            <w:rFonts w:ascii="Arial" w:hAnsi="Arial" w:cs="Arial"/>
            <w:lang w:val="en-US"/>
          </w:rPr>
          <w:t>https://uk.westlaw.com/Document/I2ECF7480373E11DC808487AF1E5C2920/View/FullText.html</w:t>
        </w:r>
      </w:hyperlink>
      <w:r w:rsidRPr="00D47965">
        <w:rPr>
          <w:rFonts w:ascii="Arial" w:hAnsi="Arial" w:cs="Arial"/>
          <w:lang w:val="en-US"/>
        </w:rPr>
        <w:t>?</w:t>
      </w:r>
      <w:r>
        <w:rPr>
          <w:rFonts w:ascii="Arial" w:hAnsi="Arial" w:cs="Arial"/>
          <w:lang w:val="en-US"/>
        </w:rPr>
        <w:t xml:space="preserve"> (Accessed: 1 November 2021). </w:t>
      </w:r>
    </w:p>
    <w:p w14:paraId="082D84C3" w14:textId="77777777" w:rsidR="00D47965" w:rsidRPr="00D47965" w:rsidRDefault="00D47965" w:rsidP="00D47965">
      <w:pPr>
        <w:spacing w:line="480" w:lineRule="auto"/>
        <w:rPr>
          <w:rFonts w:ascii="Arial" w:hAnsi="Arial" w:cs="Arial"/>
          <w:lang w:val="en-US"/>
        </w:rPr>
      </w:pPr>
    </w:p>
    <w:p w14:paraId="08622A02" w14:textId="38F23FA8" w:rsidR="00D47965" w:rsidRDefault="00D47965" w:rsidP="00D47965">
      <w:pPr>
        <w:spacing w:line="480" w:lineRule="auto"/>
        <w:rPr>
          <w:rFonts w:ascii="Arial" w:hAnsi="Arial" w:cs="Arial"/>
          <w:lang w:val="en-US"/>
        </w:rPr>
      </w:pPr>
    </w:p>
    <w:p w14:paraId="4080DAF6" w14:textId="2A5CDB6C" w:rsidR="00D47965" w:rsidRDefault="00D47965" w:rsidP="00D47965">
      <w:pPr>
        <w:spacing w:line="480" w:lineRule="auto"/>
        <w:rPr>
          <w:rFonts w:ascii="Arial" w:hAnsi="Arial" w:cs="Arial"/>
          <w:lang w:val="en-US"/>
        </w:rPr>
      </w:pPr>
    </w:p>
    <w:p w14:paraId="475A7FB9" w14:textId="75E2AC9A" w:rsidR="00D47965" w:rsidRDefault="00D47965" w:rsidP="00D47965">
      <w:pPr>
        <w:spacing w:line="480" w:lineRule="auto"/>
        <w:rPr>
          <w:rFonts w:ascii="Arial" w:hAnsi="Arial" w:cs="Arial"/>
          <w:lang w:val="en-US"/>
        </w:rPr>
      </w:pPr>
    </w:p>
    <w:p w14:paraId="14048C54" w14:textId="0D883A13" w:rsidR="00D47965" w:rsidRDefault="00D47965" w:rsidP="00D47965">
      <w:pPr>
        <w:spacing w:line="480" w:lineRule="auto"/>
        <w:rPr>
          <w:rFonts w:ascii="Arial" w:hAnsi="Arial" w:cs="Arial"/>
          <w:lang w:val="en-US"/>
        </w:rPr>
      </w:pPr>
    </w:p>
    <w:p w14:paraId="3E28B049" w14:textId="77777777" w:rsidR="00D47965" w:rsidRDefault="00D47965" w:rsidP="00D47965">
      <w:pPr>
        <w:spacing w:line="480" w:lineRule="auto"/>
        <w:rPr>
          <w:rFonts w:ascii="Arial" w:hAnsi="Arial" w:cs="Arial"/>
          <w:lang w:val="en-US"/>
        </w:rPr>
      </w:pPr>
    </w:p>
    <w:p w14:paraId="67E6FB27" w14:textId="77777777" w:rsidR="00D47965" w:rsidRPr="00D47965" w:rsidRDefault="00D47965" w:rsidP="00D47965">
      <w:pPr>
        <w:spacing w:line="480" w:lineRule="auto"/>
        <w:rPr>
          <w:rFonts w:ascii="Arial" w:hAnsi="Arial" w:cs="Arial"/>
          <w:lang w:val="en-US"/>
        </w:rPr>
      </w:pPr>
    </w:p>
    <w:p w14:paraId="3819BAF3" w14:textId="77777777" w:rsidR="00D47965" w:rsidRDefault="00D47965" w:rsidP="00D47965">
      <w:pPr>
        <w:spacing w:line="480" w:lineRule="auto"/>
        <w:rPr>
          <w:rFonts w:ascii="Arial" w:hAnsi="Arial" w:cs="Arial"/>
          <w:color w:val="000000" w:themeColor="text1"/>
          <w:lang w:val="en-US"/>
        </w:rPr>
      </w:pPr>
    </w:p>
    <w:p w14:paraId="0302D14F" w14:textId="77777777" w:rsidR="00D47965" w:rsidRPr="00D47965" w:rsidRDefault="00D47965" w:rsidP="00D47965">
      <w:pPr>
        <w:spacing w:line="480" w:lineRule="auto"/>
        <w:rPr>
          <w:rFonts w:ascii="Arial" w:hAnsi="Arial" w:cs="Arial"/>
          <w:color w:val="000000" w:themeColor="text1"/>
          <w:lang w:val="en-US"/>
        </w:rPr>
      </w:pPr>
    </w:p>
    <w:p w14:paraId="770C09BA" w14:textId="77777777" w:rsidR="00D47965" w:rsidRPr="00D47965" w:rsidRDefault="00D47965" w:rsidP="00D47965">
      <w:pPr>
        <w:spacing w:line="480" w:lineRule="auto"/>
        <w:rPr>
          <w:rFonts w:ascii="Arial" w:hAnsi="Arial" w:cs="Arial"/>
          <w:lang w:val="en-US"/>
        </w:rPr>
      </w:pPr>
    </w:p>
    <w:p w14:paraId="11439DEF" w14:textId="77777777" w:rsidR="00D47965" w:rsidRPr="00D47965" w:rsidRDefault="00D47965" w:rsidP="00D47965">
      <w:pPr>
        <w:spacing w:line="480" w:lineRule="auto"/>
        <w:rPr>
          <w:rFonts w:ascii="Arial" w:hAnsi="Arial" w:cs="Arial"/>
          <w:lang w:val="en-US"/>
        </w:rPr>
      </w:pPr>
    </w:p>
    <w:p w14:paraId="5B616591" w14:textId="73D935F8" w:rsidR="00D47965" w:rsidRPr="00D47965" w:rsidRDefault="00D47965" w:rsidP="00D47965">
      <w:pPr>
        <w:spacing w:line="480" w:lineRule="auto"/>
        <w:rPr>
          <w:rFonts w:ascii="Arial" w:hAnsi="Arial" w:cs="Arial"/>
          <w:lang w:val="en-US"/>
        </w:rPr>
      </w:pPr>
      <w:r>
        <w:rPr>
          <w:rFonts w:ascii="Arial" w:hAnsi="Arial" w:cs="Arial"/>
          <w:lang w:val="en-US"/>
        </w:rPr>
        <w:t xml:space="preserve"> </w:t>
      </w:r>
    </w:p>
    <w:p w14:paraId="1F9122EC" w14:textId="77777777" w:rsidR="00D47965" w:rsidRDefault="00D47965" w:rsidP="00D47965">
      <w:pPr>
        <w:spacing w:line="480" w:lineRule="auto"/>
        <w:rPr>
          <w:rFonts w:ascii="Arial" w:hAnsi="Arial" w:cs="Arial"/>
          <w:lang w:val="en-US"/>
        </w:rPr>
      </w:pPr>
    </w:p>
    <w:p w14:paraId="1B2053EC" w14:textId="406E1D28" w:rsidR="00D47965" w:rsidRDefault="00D47965" w:rsidP="00D47965">
      <w:pPr>
        <w:spacing w:line="480" w:lineRule="auto"/>
        <w:rPr>
          <w:rFonts w:ascii="Arial" w:hAnsi="Arial" w:cs="Arial"/>
          <w:lang w:val="en-US"/>
        </w:rPr>
      </w:pPr>
      <w:r>
        <w:rPr>
          <w:rFonts w:ascii="Arial" w:hAnsi="Arial" w:cs="Arial"/>
          <w:lang w:val="en-US"/>
        </w:rPr>
        <w:t xml:space="preserve">  </w:t>
      </w:r>
    </w:p>
    <w:p w14:paraId="355FF9CA" w14:textId="77777777" w:rsidR="00D47965" w:rsidRDefault="00D47965" w:rsidP="00D47965">
      <w:pPr>
        <w:spacing w:line="480" w:lineRule="auto"/>
        <w:rPr>
          <w:rFonts w:ascii="Arial" w:hAnsi="Arial" w:cs="Arial"/>
          <w:lang w:val="en-US"/>
        </w:rPr>
      </w:pPr>
    </w:p>
    <w:p w14:paraId="6924B06A" w14:textId="77777777" w:rsidR="00D47965" w:rsidRDefault="00D47965" w:rsidP="00D47965">
      <w:pPr>
        <w:spacing w:line="480" w:lineRule="auto"/>
        <w:rPr>
          <w:rFonts w:ascii="Arial" w:hAnsi="Arial" w:cs="Arial"/>
          <w:lang w:val="en-US"/>
        </w:rPr>
      </w:pPr>
    </w:p>
    <w:p w14:paraId="52C366C9" w14:textId="77777777" w:rsidR="00D47965" w:rsidRDefault="00D47965" w:rsidP="00D47965">
      <w:pPr>
        <w:spacing w:line="480" w:lineRule="auto"/>
        <w:rPr>
          <w:rFonts w:ascii="Arial" w:hAnsi="Arial" w:cs="Arial"/>
          <w:lang w:val="en-US"/>
        </w:rPr>
      </w:pPr>
    </w:p>
    <w:p w14:paraId="362A0B5D" w14:textId="77777777" w:rsidR="00D47965" w:rsidRDefault="00D47965" w:rsidP="00D47965">
      <w:pPr>
        <w:spacing w:line="480" w:lineRule="auto"/>
        <w:rPr>
          <w:rFonts w:ascii="Arial" w:hAnsi="Arial" w:cs="Arial"/>
          <w:lang w:val="en-US"/>
        </w:rPr>
      </w:pPr>
    </w:p>
    <w:p w14:paraId="3547633E" w14:textId="77777777" w:rsidR="00D47965" w:rsidRDefault="00D47965" w:rsidP="00D47965">
      <w:pPr>
        <w:spacing w:line="480" w:lineRule="auto"/>
        <w:rPr>
          <w:rFonts w:ascii="Arial" w:hAnsi="Arial" w:cs="Arial"/>
          <w:lang w:val="en-US"/>
        </w:rPr>
      </w:pPr>
    </w:p>
    <w:p w14:paraId="230040AE" w14:textId="77777777" w:rsidR="00D47965" w:rsidRDefault="00D47965" w:rsidP="00D47965">
      <w:pPr>
        <w:spacing w:line="480" w:lineRule="auto"/>
        <w:rPr>
          <w:rFonts w:ascii="Arial" w:hAnsi="Arial" w:cs="Arial"/>
          <w:lang w:val="en-US"/>
        </w:rPr>
      </w:pPr>
    </w:p>
    <w:p w14:paraId="2926A528" w14:textId="77777777" w:rsidR="00D47965" w:rsidRDefault="00D47965" w:rsidP="00D47965">
      <w:pPr>
        <w:spacing w:line="480" w:lineRule="auto"/>
        <w:rPr>
          <w:rFonts w:ascii="Arial" w:hAnsi="Arial" w:cs="Arial"/>
          <w:lang w:val="en-US"/>
        </w:rPr>
      </w:pPr>
    </w:p>
    <w:p w14:paraId="540AB217" w14:textId="77777777" w:rsidR="00D47965" w:rsidRPr="00DA2E15" w:rsidRDefault="00D47965" w:rsidP="00D47965">
      <w:pPr>
        <w:spacing w:line="480" w:lineRule="auto"/>
        <w:rPr>
          <w:rFonts w:ascii="Arial" w:hAnsi="Arial" w:cs="Arial"/>
          <w:lang w:val="en-US"/>
        </w:rPr>
      </w:pPr>
    </w:p>
    <w:sectPr w:rsidR="00D47965" w:rsidRPr="00DA2E15">
      <w:headerReference w:type="default" r:id="rId3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2C059" w14:textId="77777777" w:rsidR="00F24981" w:rsidRDefault="00F24981" w:rsidP="00D47965">
      <w:r>
        <w:separator/>
      </w:r>
    </w:p>
  </w:endnote>
  <w:endnote w:type="continuationSeparator" w:id="0">
    <w:p w14:paraId="1F3698A0" w14:textId="77777777" w:rsidR="00F24981" w:rsidRDefault="00F24981" w:rsidP="00D479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D06E2" w14:textId="77777777" w:rsidR="00F24981" w:rsidRDefault="00F24981" w:rsidP="00D47965">
      <w:r>
        <w:separator/>
      </w:r>
    </w:p>
  </w:footnote>
  <w:footnote w:type="continuationSeparator" w:id="0">
    <w:p w14:paraId="0E76F27A" w14:textId="77777777" w:rsidR="00F24981" w:rsidRDefault="00F24981" w:rsidP="00D479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E5617" w14:textId="6DC5706B" w:rsidR="00D47965" w:rsidRDefault="00D47965">
    <w:pPr>
      <w:pStyle w:val="Header"/>
      <w:rPr>
        <w:lang w:val="en-US"/>
      </w:rPr>
    </w:pPr>
    <w:r>
      <w:rPr>
        <w:lang w:val="en-US"/>
      </w:rPr>
      <w:t xml:space="preserve">Sekou </w:t>
    </w:r>
    <w:proofErr w:type="spellStart"/>
    <w:r>
      <w:rPr>
        <w:lang w:val="en-US"/>
      </w:rPr>
      <w:t>Guilavogui</w:t>
    </w:r>
    <w:proofErr w:type="spellEnd"/>
  </w:p>
  <w:p w14:paraId="4A76B9D3" w14:textId="77777777" w:rsidR="00D47965" w:rsidRPr="00D47965" w:rsidRDefault="00D47965">
    <w:pPr>
      <w:pStyle w:val="Header"/>
      <w:rPr>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267"/>
    <w:rsid w:val="00040B8B"/>
    <w:rsid w:val="00196267"/>
    <w:rsid w:val="00327508"/>
    <w:rsid w:val="00415630"/>
    <w:rsid w:val="00434D26"/>
    <w:rsid w:val="004365DA"/>
    <w:rsid w:val="0050214A"/>
    <w:rsid w:val="0050686A"/>
    <w:rsid w:val="005C5E10"/>
    <w:rsid w:val="007B732A"/>
    <w:rsid w:val="00906722"/>
    <w:rsid w:val="00A851A8"/>
    <w:rsid w:val="00BC2DE7"/>
    <w:rsid w:val="00BC613F"/>
    <w:rsid w:val="00BF29C4"/>
    <w:rsid w:val="00CB31C2"/>
    <w:rsid w:val="00CE0484"/>
    <w:rsid w:val="00CE7554"/>
    <w:rsid w:val="00D47965"/>
    <w:rsid w:val="00DA2E15"/>
    <w:rsid w:val="00DC3C2C"/>
    <w:rsid w:val="00E84907"/>
    <w:rsid w:val="00F24981"/>
  </w:rsids>
  <m:mathPr>
    <m:mathFont m:val="Cambria Math"/>
    <m:brkBin m:val="before"/>
    <m:brkBinSub m:val="--"/>
    <m:smallFrac m:val="0"/>
    <m:dispDef/>
    <m:lMargin m:val="0"/>
    <m:rMargin m:val="0"/>
    <m:defJc m:val="centerGroup"/>
    <m:wrapIndent m:val="1440"/>
    <m:intLim m:val="subSup"/>
    <m:naryLim m:val="undOvr"/>
  </m:mathPr>
  <w:themeFontLang w:val="en-G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71DA1"/>
  <w15:chartTrackingRefBased/>
  <w15:docId w15:val="{F767E5BF-4673-304B-A4DC-BE16AC38A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7965"/>
    <w:rPr>
      <w:color w:val="0563C1" w:themeColor="hyperlink"/>
      <w:u w:val="single"/>
    </w:rPr>
  </w:style>
  <w:style w:type="character" w:styleId="UnresolvedMention">
    <w:name w:val="Unresolved Mention"/>
    <w:basedOn w:val="DefaultParagraphFont"/>
    <w:uiPriority w:val="99"/>
    <w:semiHidden/>
    <w:unhideWhenUsed/>
    <w:rsid w:val="00D47965"/>
    <w:rPr>
      <w:color w:val="605E5C"/>
      <w:shd w:val="clear" w:color="auto" w:fill="E1DFDD"/>
    </w:rPr>
  </w:style>
  <w:style w:type="character" w:styleId="FollowedHyperlink">
    <w:name w:val="FollowedHyperlink"/>
    <w:basedOn w:val="DefaultParagraphFont"/>
    <w:uiPriority w:val="99"/>
    <w:semiHidden/>
    <w:unhideWhenUsed/>
    <w:rsid w:val="00D47965"/>
    <w:rPr>
      <w:color w:val="954F72" w:themeColor="followedHyperlink"/>
      <w:u w:val="single"/>
    </w:rPr>
  </w:style>
  <w:style w:type="paragraph" w:styleId="Header">
    <w:name w:val="header"/>
    <w:basedOn w:val="Normal"/>
    <w:link w:val="HeaderChar"/>
    <w:uiPriority w:val="99"/>
    <w:unhideWhenUsed/>
    <w:rsid w:val="00D47965"/>
    <w:pPr>
      <w:tabs>
        <w:tab w:val="center" w:pos="4680"/>
        <w:tab w:val="right" w:pos="9360"/>
      </w:tabs>
    </w:pPr>
  </w:style>
  <w:style w:type="character" w:customStyle="1" w:styleId="HeaderChar">
    <w:name w:val="Header Char"/>
    <w:basedOn w:val="DefaultParagraphFont"/>
    <w:link w:val="Header"/>
    <w:uiPriority w:val="99"/>
    <w:rsid w:val="00D47965"/>
  </w:style>
  <w:style w:type="paragraph" w:styleId="Footer">
    <w:name w:val="footer"/>
    <w:basedOn w:val="Normal"/>
    <w:link w:val="FooterChar"/>
    <w:uiPriority w:val="99"/>
    <w:unhideWhenUsed/>
    <w:rsid w:val="00D47965"/>
    <w:pPr>
      <w:tabs>
        <w:tab w:val="center" w:pos="4680"/>
        <w:tab w:val="right" w:pos="9360"/>
      </w:tabs>
    </w:pPr>
  </w:style>
  <w:style w:type="character" w:customStyle="1" w:styleId="FooterChar">
    <w:name w:val="Footer Char"/>
    <w:basedOn w:val="DefaultParagraphFont"/>
    <w:link w:val="Footer"/>
    <w:uiPriority w:val="99"/>
    <w:rsid w:val="00D479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787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rettens.co.uk/site/library/frettensnews/a-guide-to-easements-solicitors-bournemouth" TargetMode="External"/><Relationship Id="rId18" Type="http://schemas.openxmlformats.org/officeDocument/2006/relationships/hyperlink" Target="https://www.tughans.com/news-insights/what-is-an-easement/" TargetMode="External"/><Relationship Id="rId26" Type="http://schemas.openxmlformats.org/officeDocument/2006/relationships/hyperlink" Target="https://uk.westlaw.com/Document/IC5200B40E42711DA8FC2A0F0355337E9/View/FullText.html" TargetMode="External"/><Relationship Id="rId3" Type="http://schemas.openxmlformats.org/officeDocument/2006/relationships/webSettings" Target="webSettings.xml"/><Relationship Id="rId21" Type="http://schemas.openxmlformats.org/officeDocument/2006/relationships/hyperlink" Target="https://uk.westlaw.com/Document/I9BE53C00E42711DA8FC2A0F0355337E9/View/FullText.html" TargetMode="External"/><Relationship Id="rId34" Type="http://schemas.openxmlformats.org/officeDocument/2006/relationships/header" Target="header1.xml"/><Relationship Id="rId7" Type="http://schemas.openxmlformats.org/officeDocument/2006/relationships/hyperlink" Target="https://www.researchgate.net/publication/307804993_17_The_Essential_Characteristics_of_Easements_Text_Cases_and_Materials" TargetMode="External"/><Relationship Id="rId12" Type="http://schemas.openxmlformats.org/officeDocument/2006/relationships/hyperlink" Target="https://www.morrlaw.com/commercial-property-law/easement-rights/" TargetMode="External"/><Relationship Id="rId17" Type="http://schemas.openxmlformats.org/officeDocument/2006/relationships/hyperlink" Target="https://www.tanfieldchambers.co.uk/2016/02/16/what-is-an-easement-and-how-are-they-created-and-used/" TargetMode="External"/><Relationship Id="rId25" Type="http://schemas.openxmlformats.org/officeDocument/2006/relationships/hyperlink" Target="https://uk.westlaw.com/Document/IA0E35410FABC11DB9B57B88EFF41B931/View/FullText.html" TargetMode="External"/><Relationship Id="rId33" Type="http://schemas.openxmlformats.org/officeDocument/2006/relationships/hyperlink" Target="https://uk.westlaw.com/Document/I2ECF7480373E11DC808487AF1E5C2920/View/FullText.html" TargetMode="External"/><Relationship Id="rId2" Type="http://schemas.openxmlformats.org/officeDocument/2006/relationships/settings" Target="settings.xml"/><Relationship Id="rId16" Type="http://schemas.openxmlformats.org/officeDocument/2006/relationships/hyperlink" Target="https://ezproxy.uwtsd.ac.uk/login?url=https://www.jstor.org/stable/30042821" TargetMode="External"/><Relationship Id="rId20" Type="http://schemas.openxmlformats.org/officeDocument/2006/relationships/hyperlink" Target="https://uk.westlaw.com/Document/I928A3701E42711DA8FC2A0F0355337E9/View/FullText.html" TargetMode="External"/><Relationship Id="rId29" Type="http://schemas.openxmlformats.org/officeDocument/2006/relationships/hyperlink" Target="https://uk.westlaw.com/Document/I04D650F0E42811DA8FC2A0F0355337E9/View/FullText.html" TargetMode="External"/><Relationship Id="rId1" Type="http://schemas.openxmlformats.org/officeDocument/2006/relationships/styles" Target="styles.xml"/><Relationship Id="rId6" Type="http://schemas.openxmlformats.org/officeDocument/2006/relationships/hyperlink" Target="https://www-cambridge-org.ezproxy.uwtsd.ac.uk/core/services/aop-cambridge-core/content/view/3975B84D54E96B1390ABD1BC61BEBCD6/S0008197300010801a.pdf/easements-and-equities.pdf" TargetMode="External"/><Relationship Id="rId11" Type="http://schemas.openxmlformats.org/officeDocument/2006/relationships/hyperlink" Target="https://ezproxy.uwtsd.ac.uk/login?url=https://www.jstor.org/stable/20785788" TargetMode="External"/><Relationship Id="rId24" Type="http://schemas.openxmlformats.org/officeDocument/2006/relationships/hyperlink" Target="https://uk.westlaw.com/Document/IF7124B00E57011DAB242AFEA6182DD7E/View/FullText.html" TargetMode="External"/><Relationship Id="rId32" Type="http://schemas.openxmlformats.org/officeDocument/2006/relationships/hyperlink" Target="https://uk.westlaw.com/Document/I98C47E90E42811DA8FC2A0F0355337E9/View/FullText.html" TargetMode="External"/><Relationship Id="rId5" Type="http://schemas.openxmlformats.org/officeDocument/2006/relationships/endnotes" Target="endnotes.xml"/><Relationship Id="rId15" Type="http://schemas.openxmlformats.org/officeDocument/2006/relationships/hyperlink" Target="https://bateswells.co.uk/wp-content/uploads/2019/06/bwb-pu-easements-oct13-pdf.pdf" TargetMode="External"/><Relationship Id="rId23" Type="http://schemas.openxmlformats.org/officeDocument/2006/relationships/hyperlink" Target="https://uk.westlaw.com/Search/Results.html" TargetMode="External"/><Relationship Id="rId28" Type="http://schemas.openxmlformats.org/officeDocument/2006/relationships/hyperlink" Target="https://uk.westlaw.com/Document/IEFAB0131E42711DA8FC2A0F0355337E9/View/FullText.html" TargetMode="External"/><Relationship Id="rId36" Type="http://schemas.openxmlformats.org/officeDocument/2006/relationships/theme" Target="theme/theme1.xml"/><Relationship Id="rId10" Type="http://schemas.openxmlformats.org/officeDocument/2006/relationships/hyperlink" Target="https://www-jstor-org.ezproxy.uwtsd.ac.uk/stable/1323921?seq=1#metadata_info_tab_contents" TargetMode="External"/><Relationship Id="rId19" Type="http://schemas.openxmlformats.org/officeDocument/2006/relationships/hyperlink" Target="https://www-cambridge-org.ezproxy.uwtsd.ac.uk/core/services/aop-cambridge-core/content/view/" TargetMode="External"/><Relationship Id="rId31" Type="http://schemas.openxmlformats.org/officeDocument/2006/relationships/hyperlink" Target="https://uk.westlaw.com/Document/IF1985750E80A11E887E8AD830F3D8349/View/FullText.html" TargetMode="External"/><Relationship Id="rId4" Type="http://schemas.openxmlformats.org/officeDocument/2006/relationships/footnotes" Target="footnotes.xml"/><Relationship Id="rId9" Type="http://schemas.openxmlformats.org/officeDocument/2006/relationships/hyperlink" Target="https://www-jstor-org.ezproxy.uwtsd.ac.uk/stable/4504360" TargetMode="External"/><Relationship Id="rId14" Type="http://schemas.openxmlformats.org/officeDocument/2006/relationships/hyperlink" Target="https://www.realtown.com/blog/Easement-vs-License" TargetMode="External"/><Relationship Id="rId22" Type="http://schemas.openxmlformats.org/officeDocument/2006/relationships/hyperlink" Target="https://uk.westlaw.com/Document/IA0E28C30E42711DA8FC2A0F0355337E9/View/FullText.html" TargetMode="External"/><Relationship Id="rId27" Type="http://schemas.openxmlformats.org/officeDocument/2006/relationships/hyperlink" Target="https://uk.westlaw.com/Document/IE272E910E42711DA8FC2A0F0355337E9/View/FullText.html" TargetMode="External"/><Relationship Id="rId30" Type="http://schemas.openxmlformats.org/officeDocument/2006/relationships/hyperlink" Target="https://uk.westlaw.com/Document/I1EDBD880E42811DA8FC2A0F0355337E9/View/FullText.html" TargetMode="External"/><Relationship Id="rId35" Type="http://schemas.openxmlformats.org/officeDocument/2006/relationships/fontTable" Target="fontTable.xml"/><Relationship Id="rId8" Type="http://schemas.openxmlformats.org/officeDocument/2006/relationships/hyperlink" Target="https://parissmith.co.uk/blog/easement-the-basics-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1339</TotalTime>
  <Pages>17</Pages>
  <Words>4219</Words>
  <Characters>24049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sekou guilavogui</dc:creator>
  <cp:keywords/>
  <dc:description/>
  <cp:lastModifiedBy>sekou guilavogui</cp:lastModifiedBy>
  <cp:revision>12</cp:revision>
  <dcterms:created xsi:type="dcterms:W3CDTF">2021-10-11T12:07:00Z</dcterms:created>
  <dcterms:modified xsi:type="dcterms:W3CDTF">2021-11-05T12:52:00Z</dcterms:modified>
</cp:coreProperties>
</file>