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7A3336C" w:rsidR="006769FB" w:rsidRDefault="3B7426FF" w:rsidP="6B88FB60">
      <w:pPr>
        <w:spacing w:line="360" w:lineRule="auto"/>
        <w:rPr>
          <w:rFonts w:ascii="Arial" w:eastAsia="Arial" w:hAnsi="Arial" w:cs="Arial"/>
          <w:b/>
          <w:bCs/>
          <w:sz w:val="22"/>
          <w:szCs w:val="22"/>
        </w:rPr>
      </w:pPr>
      <w:r w:rsidRPr="6B88FB60">
        <w:rPr>
          <w:rFonts w:ascii="Arial" w:eastAsia="Arial" w:hAnsi="Arial" w:cs="Arial"/>
          <w:b/>
          <w:bCs/>
          <w:sz w:val="22"/>
          <w:szCs w:val="22"/>
        </w:rPr>
        <w:t>Component 2: Written Assignment (Report)</w:t>
      </w:r>
      <w:r w:rsidR="00000000">
        <w:br/>
      </w:r>
      <w:r w:rsidR="00000000">
        <w:br/>
      </w:r>
      <w:r w:rsidR="0DF089D7" w:rsidRPr="6B88FB60">
        <w:rPr>
          <w:rFonts w:ascii="Arial" w:eastAsia="Arial" w:hAnsi="Arial" w:cs="Arial"/>
          <w:b/>
          <w:bCs/>
          <w:sz w:val="22"/>
          <w:szCs w:val="22"/>
        </w:rPr>
        <w:t xml:space="preserve">Module Title and Code: </w:t>
      </w:r>
      <w:r w:rsidR="39C61AD2" w:rsidRPr="6B88FB60">
        <w:rPr>
          <w:rFonts w:ascii="Arial" w:eastAsia="Arial" w:hAnsi="Arial" w:cs="Arial"/>
          <w:b/>
          <w:bCs/>
          <w:sz w:val="22"/>
          <w:szCs w:val="22"/>
        </w:rPr>
        <w:t xml:space="preserve">Principles of Health and Social Care </w:t>
      </w:r>
      <w:r w:rsidR="7D3A649B" w:rsidRPr="6B88FB60">
        <w:rPr>
          <w:rFonts w:ascii="Arial" w:eastAsia="Arial" w:hAnsi="Arial" w:cs="Arial"/>
          <w:b/>
          <w:bCs/>
          <w:sz w:val="22"/>
          <w:szCs w:val="22"/>
        </w:rPr>
        <w:t>Practice -</w:t>
      </w:r>
      <w:r w:rsidR="0DF089D7" w:rsidRPr="6B88FB60">
        <w:rPr>
          <w:rFonts w:ascii="Arial" w:eastAsia="Arial" w:hAnsi="Arial" w:cs="Arial"/>
          <w:b/>
          <w:bCs/>
          <w:sz w:val="22"/>
          <w:szCs w:val="22"/>
        </w:rPr>
        <w:t xml:space="preserve"> BMHP5016</w:t>
      </w:r>
      <w:r w:rsidR="00000000">
        <w:br/>
      </w:r>
      <w:r w:rsidR="00000000">
        <w:br/>
      </w:r>
      <w:r w:rsidR="0DF089D7" w:rsidRPr="6B88FB60">
        <w:rPr>
          <w:rFonts w:ascii="Arial" w:eastAsia="Arial" w:hAnsi="Arial" w:cs="Arial"/>
          <w:b/>
          <w:bCs/>
          <w:sz w:val="22"/>
          <w:szCs w:val="22"/>
        </w:rPr>
        <w:t>Student Name: Joan Miller</w:t>
      </w:r>
      <w:r w:rsidR="00000000">
        <w:br/>
      </w:r>
      <w:r w:rsidR="00000000">
        <w:br/>
      </w:r>
      <w:r w:rsidR="0DF089D7" w:rsidRPr="6B88FB60">
        <w:rPr>
          <w:rFonts w:ascii="Arial" w:eastAsia="Arial" w:hAnsi="Arial" w:cs="Arial"/>
          <w:b/>
          <w:bCs/>
          <w:sz w:val="22"/>
          <w:szCs w:val="22"/>
        </w:rPr>
        <w:t>Student Number: 2406689</w:t>
      </w:r>
      <w:r w:rsidR="00000000">
        <w:br/>
      </w:r>
      <w:r w:rsidR="00000000">
        <w:br/>
      </w:r>
      <w:r w:rsidR="0DF089D7" w:rsidRPr="6B88FB60">
        <w:rPr>
          <w:rFonts w:ascii="Arial" w:eastAsia="Arial" w:hAnsi="Arial" w:cs="Arial"/>
          <w:b/>
          <w:bCs/>
          <w:sz w:val="22"/>
          <w:szCs w:val="22"/>
        </w:rPr>
        <w:t xml:space="preserve">Lecturer: </w:t>
      </w:r>
      <w:r w:rsidR="7D7C3B52" w:rsidRPr="6B88FB60">
        <w:rPr>
          <w:rFonts w:ascii="Arial" w:eastAsia="Arial" w:hAnsi="Arial" w:cs="Arial"/>
          <w:b/>
          <w:bCs/>
          <w:sz w:val="22"/>
          <w:szCs w:val="22"/>
        </w:rPr>
        <w:t>Junaid Shaikh</w:t>
      </w:r>
      <w:r w:rsidR="00000000">
        <w:br/>
      </w:r>
      <w:r w:rsidR="00000000">
        <w:br/>
      </w:r>
      <w:r w:rsidR="0DF089D7" w:rsidRPr="6B88FB60">
        <w:rPr>
          <w:rFonts w:ascii="Arial" w:eastAsia="Arial" w:hAnsi="Arial" w:cs="Arial"/>
          <w:b/>
          <w:bCs/>
          <w:sz w:val="22"/>
          <w:szCs w:val="22"/>
        </w:rPr>
        <w:t xml:space="preserve">Word Count: </w:t>
      </w:r>
      <w:r w:rsidR="4D0BD468" w:rsidRPr="6B88FB60">
        <w:rPr>
          <w:rFonts w:ascii="Arial" w:eastAsia="Arial" w:hAnsi="Arial" w:cs="Arial"/>
          <w:b/>
          <w:bCs/>
          <w:sz w:val="22"/>
          <w:szCs w:val="22"/>
        </w:rPr>
        <w:t>2,1</w:t>
      </w:r>
      <w:r w:rsidR="63AF98EE" w:rsidRPr="6B88FB60">
        <w:rPr>
          <w:rFonts w:ascii="Arial" w:eastAsia="Arial" w:hAnsi="Arial" w:cs="Arial"/>
          <w:b/>
          <w:bCs/>
          <w:sz w:val="22"/>
          <w:szCs w:val="22"/>
        </w:rPr>
        <w:t>9</w:t>
      </w:r>
      <w:r w:rsidR="0B74A814" w:rsidRPr="6B88FB60">
        <w:rPr>
          <w:rFonts w:ascii="Arial" w:eastAsia="Arial" w:hAnsi="Arial" w:cs="Arial"/>
          <w:b/>
          <w:bCs/>
          <w:sz w:val="22"/>
          <w:szCs w:val="22"/>
        </w:rPr>
        <w:t>8</w:t>
      </w:r>
    </w:p>
    <w:p w14:paraId="15BCA616" w14:textId="5F7DB8E9" w:rsidR="1DD394C8" w:rsidRDefault="1DD394C8" w:rsidP="6B88FB60">
      <w:pPr>
        <w:spacing w:line="360" w:lineRule="auto"/>
        <w:rPr>
          <w:rFonts w:ascii="Arial" w:eastAsia="Arial" w:hAnsi="Arial" w:cs="Arial"/>
          <w:sz w:val="22"/>
          <w:szCs w:val="22"/>
        </w:rPr>
      </w:pPr>
    </w:p>
    <w:p w14:paraId="178101A4" w14:textId="570599AD" w:rsidR="1DD394C8" w:rsidRDefault="1DD394C8" w:rsidP="6B88FB60">
      <w:pPr>
        <w:spacing w:line="360" w:lineRule="auto"/>
        <w:rPr>
          <w:rFonts w:ascii="Arial" w:eastAsia="Arial" w:hAnsi="Arial" w:cs="Arial"/>
          <w:sz w:val="22"/>
          <w:szCs w:val="22"/>
        </w:rPr>
      </w:pPr>
    </w:p>
    <w:p w14:paraId="7BE595F8" w14:textId="78E1F0E9" w:rsidR="1DD394C8" w:rsidRDefault="1DD394C8" w:rsidP="6B88FB60">
      <w:pPr>
        <w:spacing w:line="360" w:lineRule="auto"/>
        <w:rPr>
          <w:rFonts w:ascii="Arial" w:eastAsia="Arial" w:hAnsi="Arial" w:cs="Arial"/>
          <w:sz w:val="22"/>
          <w:szCs w:val="22"/>
        </w:rPr>
      </w:pPr>
    </w:p>
    <w:p w14:paraId="1407CB4C" w14:textId="7EAB5246" w:rsidR="1DD394C8" w:rsidRDefault="1DD394C8" w:rsidP="6B88FB60">
      <w:pPr>
        <w:spacing w:line="360" w:lineRule="auto"/>
        <w:rPr>
          <w:rFonts w:ascii="Arial" w:eastAsia="Arial" w:hAnsi="Arial" w:cs="Arial"/>
          <w:sz w:val="22"/>
          <w:szCs w:val="22"/>
        </w:rPr>
      </w:pPr>
    </w:p>
    <w:p w14:paraId="282730C9" w14:textId="363F908D" w:rsidR="1DD394C8" w:rsidRDefault="1DD394C8" w:rsidP="1DD394C8">
      <w:pPr>
        <w:spacing w:line="360" w:lineRule="auto"/>
        <w:rPr>
          <w:rFonts w:ascii="Arial" w:eastAsia="Arial" w:hAnsi="Arial" w:cs="Arial"/>
          <w:sz w:val="22"/>
          <w:szCs w:val="22"/>
        </w:rPr>
      </w:pPr>
      <w:r w:rsidRPr="6B88FB60">
        <w:rPr>
          <w:rFonts w:ascii="Arial" w:eastAsia="Arial" w:hAnsi="Arial" w:cs="Arial"/>
          <w:sz w:val="22"/>
          <w:szCs w:val="22"/>
        </w:rPr>
        <w:br w:type="page"/>
      </w:r>
    </w:p>
    <w:p w14:paraId="79E286A2" w14:textId="14FF1A2C" w:rsidR="26F3C7DC" w:rsidRDefault="26F3C7DC" w:rsidP="6B88FB60">
      <w:pPr>
        <w:spacing w:line="360" w:lineRule="auto"/>
        <w:rPr>
          <w:rFonts w:ascii="Arial" w:eastAsia="Arial" w:hAnsi="Arial" w:cs="Arial"/>
          <w:b/>
          <w:bCs/>
          <w:sz w:val="22"/>
          <w:szCs w:val="22"/>
        </w:rPr>
      </w:pPr>
      <w:r w:rsidRPr="6B88FB60">
        <w:rPr>
          <w:rFonts w:ascii="Arial" w:eastAsia="Arial" w:hAnsi="Arial" w:cs="Arial"/>
          <w:b/>
          <w:bCs/>
          <w:sz w:val="22"/>
          <w:szCs w:val="22"/>
        </w:rPr>
        <w:lastRenderedPageBreak/>
        <w:t>Contents Page</w:t>
      </w:r>
    </w:p>
    <w:sdt>
      <w:sdtPr>
        <w:rPr>
          <w:rStyle w:val="Hyperlink"/>
          <w:rFonts w:ascii="Arial" w:eastAsia="Arial" w:hAnsi="Arial" w:cs="Arial"/>
          <w:color w:val="auto"/>
          <w:sz w:val="22"/>
          <w:szCs w:val="22"/>
        </w:rPr>
        <w:id w:val="1398265541"/>
        <w:docPartObj>
          <w:docPartGallery w:val="Table of Contents"/>
          <w:docPartUnique/>
        </w:docPartObj>
      </w:sdtPr>
      <w:sdtEndPr>
        <w:rPr>
          <w:rStyle w:val="Hyperlink"/>
          <w:b/>
          <w:bCs/>
        </w:rPr>
      </w:sdtEndPr>
      <w:sdtContent>
        <w:p w14:paraId="0718D8AB" w14:textId="1577187A" w:rsidR="1DD394C8" w:rsidRPr="002A6222" w:rsidRDefault="1DD394C8" w:rsidP="6B88FB60">
          <w:pPr>
            <w:pStyle w:val="TOC2"/>
            <w:tabs>
              <w:tab w:val="right" w:leader="dot" w:pos="9360"/>
            </w:tabs>
            <w:rPr>
              <w:rStyle w:val="Hyperlink"/>
              <w:rFonts w:ascii="Arial" w:eastAsia="Arial" w:hAnsi="Arial" w:cs="Arial"/>
              <w:b/>
              <w:bCs/>
              <w:noProof/>
              <w:color w:val="auto"/>
              <w:sz w:val="22"/>
              <w:szCs w:val="22"/>
            </w:rPr>
          </w:pPr>
          <w:r w:rsidRPr="002A6222">
            <w:rPr>
              <w:rFonts w:ascii="Arial" w:hAnsi="Arial" w:cs="Arial"/>
              <w:b/>
              <w:bCs/>
              <w:sz w:val="22"/>
              <w:szCs w:val="22"/>
            </w:rPr>
            <w:fldChar w:fldCharType="begin"/>
          </w:r>
          <w:r w:rsidRPr="002A6222">
            <w:rPr>
              <w:rFonts w:ascii="Arial" w:hAnsi="Arial" w:cs="Arial"/>
              <w:b/>
              <w:bCs/>
              <w:sz w:val="22"/>
              <w:szCs w:val="22"/>
            </w:rPr>
            <w:instrText>TOC \o "1-9" \z \u \h</w:instrText>
          </w:r>
          <w:r w:rsidRPr="002A6222">
            <w:rPr>
              <w:rFonts w:ascii="Arial" w:hAnsi="Arial" w:cs="Arial"/>
              <w:b/>
              <w:bCs/>
              <w:sz w:val="22"/>
              <w:szCs w:val="22"/>
            </w:rPr>
            <w:fldChar w:fldCharType="separate"/>
          </w:r>
          <w:hyperlink w:anchor="_Toc1510863796">
            <w:r w:rsidRPr="002A6222">
              <w:rPr>
                <w:rStyle w:val="Hyperlink"/>
                <w:rFonts w:ascii="Arial" w:eastAsia="Arial" w:hAnsi="Arial" w:cs="Arial"/>
                <w:b/>
                <w:bCs/>
                <w:noProof/>
                <w:color w:val="auto"/>
                <w:sz w:val="22"/>
                <w:szCs w:val="22"/>
              </w:rPr>
              <w:t>Abstract</w:t>
            </w:r>
            <w:r w:rsidRPr="002A6222">
              <w:rPr>
                <w:rFonts w:ascii="Arial" w:hAnsi="Arial" w:cs="Arial"/>
                <w:b/>
                <w:bCs/>
                <w:noProof/>
                <w:sz w:val="22"/>
                <w:szCs w:val="22"/>
              </w:rPr>
              <w:tab/>
            </w:r>
            <w:r w:rsidRPr="002A6222">
              <w:rPr>
                <w:rFonts w:ascii="Arial" w:hAnsi="Arial" w:cs="Arial"/>
                <w:b/>
                <w:bCs/>
                <w:noProof/>
                <w:sz w:val="22"/>
                <w:szCs w:val="22"/>
              </w:rPr>
              <w:fldChar w:fldCharType="begin"/>
            </w:r>
            <w:r w:rsidRPr="002A6222">
              <w:rPr>
                <w:rFonts w:ascii="Arial" w:hAnsi="Arial" w:cs="Arial"/>
                <w:b/>
                <w:bCs/>
                <w:noProof/>
                <w:sz w:val="22"/>
                <w:szCs w:val="22"/>
              </w:rPr>
              <w:instrText>PAGEREF _Toc1510863796 \h</w:instrText>
            </w:r>
            <w:r w:rsidRPr="002A6222">
              <w:rPr>
                <w:rFonts w:ascii="Arial" w:hAnsi="Arial" w:cs="Arial"/>
                <w:b/>
                <w:bCs/>
                <w:noProof/>
                <w:sz w:val="22"/>
                <w:szCs w:val="22"/>
              </w:rPr>
            </w:r>
            <w:r w:rsidRPr="002A6222">
              <w:rPr>
                <w:rFonts w:ascii="Arial" w:hAnsi="Arial" w:cs="Arial"/>
                <w:b/>
                <w:bCs/>
                <w:noProof/>
                <w:sz w:val="22"/>
                <w:szCs w:val="22"/>
              </w:rPr>
              <w:fldChar w:fldCharType="separate"/>
            </w:r>
            <w:r w:rsidR="002A6222" w:rsidRPr="002A6222">
              <w:rPr>
                <w:rFonts w:ascii="Arial" w:hAnsi="Arial" w:cs="Arial"/>
                <w:b/>
                <w:bCs/>
                <w:noProof/>
                <w:sz w:val="22"/>
                <w:szCs w:val="22"/>
              </w:rPr>
              <w:t>3</w:t>
            </w:r>
            <w:r w:rsidRPr="002A6222">
              <w:rPr>
                <w:rFonts w:ascii="Arial" w:hAnsi="Arial" w:cs="Arial"/>
                <w:b/>
                <w:bCs/>
                <w:noProof/>
                <w:sz w:val="22"/>
                <w:szCs w:val="22"/>
              </w:rPr>
              <w:fldChar w:fldCharType="end"/>
            </w:r>
          </w:hyperlink>
        </w:p>
        <w:p w14:paraId="327B2F86" w14:textId="31BBA848" w:rsidR="1DD394C8" w:rsidRPr="002A6222" w:rsidRDefault="1DD394C8" w:rsidP="6B88FB60">
          <w:pPr>
            <w:pStyle w:val="TOC2"/>
            <w:tabs>
              <w:tab w:val="right" w:leader="dot" w:pos="9360"/>
            </w:tabs>
            <w:rPr>
              <w:rStyle w:val="Hyperlink"/>
              <w:rFonts w:ascii="Arial" w:eastAsia="Arial" w:hAnsi="Arial" w:cs="Arial"/>
              <w:b/>
              <w:bCs/>
              <w:noProof/>
              <w:color w:val="auto"/>
              <w:sz w:val="22"/>
              <w:szCs w:val="22"/>
            </w:rPr>
          </w:pPr>
          <w:hyperlink w:anchor="_Toc649956302">
            <w:r w:rsidRPr="002A6222">
              <w:rPr>
                <w:rStyle w:val="Hyperlink"/>
                <w:rFonts w:ascii="Arial" w:eastAsia="Arial" w:hAnsi="Arial" w:cs="Arial"/>
                <w:b/>
                <w:bCs/>
                <w:noProof/>
                <w:color w:val="auto"/>
                <w:sz w:val="22"/>
                <w:szCs w:val="22"/>
              </w:rPr>
              <w:t>Introduction</w:t>
            </w:r>
            <w:r w:rsidRPr="002A6222">
              <w:rPr>
                <w:rFonts w:ascii="Arial" w:hAnsi="Arial" w:cs="Arial"/>
                <w:b/>
                <w:bCs/>
                <w:noProof/>
                <w:sz w:val="22"/>
                <w:szCs w:val="22"/>
              </w:rPr>
              <w:tab/>
            </w:r>
            <w:r w:rsidRPr="002A6222">
              <w:rPr>
                <w:rFonts w:ascii="Arial" w:hAnsi="Arial" w:cs="Arial"/>
                <w:b/>
                <w:bCs/>
                <w:noProof/>
                <w:sz w:val="22"/>
                <w:szCs w:val="22"/>
              </w:rPr>
              <w:fldChar w:fldCharType="begin"/>
            </w:r>
            <w:r w:rsidRPr="002A6222">
              <w:rPr>
                <w:rFonts w:ascii="Arial" w:hAnsi="Arial" w:cs="Arial"/>
                <w:b/>
                <w:bCs/>
                <w:noProof/>
                <w:sz w:val="22"/>
                <w:szCs w:val="22"/>
              </w:rPr>
              <w:instrText>PAGEREF _Toc649956302 \h</w:instrText>
            </w:r>
            <w:r w:rsidRPr="002A6222">
              <w:rPr>
                <w:rFonts w:ascii="Arial" w:hAnsi="Arial" w:cs="Arial"/>
                <w:b/>
                <w:bCs/>
                <w:noProof/>
                <w:sz w:val="22"/>
                <w:szCs w:val="22"/>
              </w:rPr>
            </w:r>
            <w:r w:rsidRPr="002A6222">
              <w:rPr>
                <w:rFonts w:ascii="Arial" w:hAnsi="Arial" w:cs="Arial"/>
                <w:b/>
                <w:bCs/>
                <w:noProof/>
                <w:sz w:val="22"/>
                <w:szCs w:val="22"/>
              </w:rPr>
              <w:fldChar w:fldCharType="separate"/>
            </w:r>
            <w:r w:rsidR="002A6222" w:rsidRPr="002A6222">
              <w:rPr>
                <w:rFonts w:ascii="Arial" w:hAnsi="Arial" w:cs="Arial"/>
                <w:b/>
                <w:bCs/>
                <w:noProof/>
                <w:sz w:val="22"/>
                <w:szCs w:val="22"/>
              </w:rPr>
              <w:t>3</w:t>
            </w:r>
            <w:r w:rsidRPr="002A6222">
              <w:rPr>
                <w:rFonts w:ascii="Arial" w:hAnsi="Arial" w:cs="Arial"/>
                <w:b/>
                <w:bCs/>
                <w:noProof/>
                <w:sz w:val="22"/>
                <w:szCs w:val="22"/>
              </w:rPr>
              <w:fldChar w:fldCharType="end"/>
            </w:r>
          </w:hyperlink>
        </w:p>
        <w:p w14:paraId="33C8AC6B" w14:textId="48989399" w:rsidR="1DD394C8" w:rsidRPr="002A6222" w:rsidRDefault="1DD394C8" w:rsidP="6B88FB60">
          <w:pPr>
            <w:pStyle w:val="TOC2"/>
            <w:tabs>
              <w:tab w:val="right" w:leader="dot" w:pos="9360"/>
            </w:tabs>
            <w:rPr>
              <w:rStyle w:val="Hyperlink"/>
              <w:rFonts w:ascii="Arial" w:eastAsia="Arial" w:hAnsi="Arial" w:cs="Arial"/>
              <w:b/>
              <w:bCs/>
              <w:noProof/>
              <w:color w:val="auto"/>
              <w:sz w:val="22"/>
              <w:szCs w:val="22"/>
            </w:rPr>
          </w:pPr>
          <w:hyperlink w:anchor="_Toc448991778">
            <w:r w:rsidRPr="002A6222">
              <w:rPr>
                <w:rStyle w:val="Hyperlink"/>
                <w:rFonts w:ascii="Arial" w:eastAsia="Arial" w:hAnsi="Arial" w:cs="Arial"/>
                <w:b/>
                <w:bCs/>
                <w:noProof/>
                <w:color w:val="auto"/>
                <w:sz w:val="22"/>
                <w:szCs w:val="22"/>
              </w:rPr>
              <w:t>Definition and Analysis of Person-Centred Care</w:t>
            </w:r>
            <w:r w:rsidRPr="002A6222">
              <w:rPr>
                <w:rFonts w:ascii="Arial" w:hAnsi="Arial" w:cs="Arial"/>
                <w:b/>
                <w:bCs/>
                <w:noProof/>
                <w:sz w:val="22"/>
                <w:szCs w:val="22"/>
              </w:rPr>
              <w:tab/>
            </w:r>
            <w:r w:rsidRPr="002A6222">
              <w:rPr>
                <w:rFonts w:ascii="Arial" w:hAnsi="Arial" w:cs="Arial"/>
                <w:b/>
                <w:bCs/>
                <w:noProof/>
                <w:sz w:val="22"/>
                <w:szCs w:val="22"/>
              </w:rPr>
              <w:fldChar w:fldCharType="begin"/>
            </w:r>
            <w:r w:rsidRPr="002A6222">
              <w:rPr>
                <w:rFonts w:ascii="Arial" w:hAnsi="Arial" w:cs="Arial"/>
                <w:b/>
                <w:bCs/>
                <w:noProof/>
                <w:sz w:val="22"/>
                <w:szCs w:val="22"/>
              </w:rPr>
              <w:instrText>PAGEREF _Toc448991778 \h</w:instrText>
            </w:r>
            <w:r w:rsidRPr="002A6222">
              <w:rPr>
                <w:rFonts w:ascii="Arial" w:hAnsi="Arial" w:cs="Arial"/>
                <w:b/>
                <w:bCs/>
                <w:noProof/>
                <w:sz w:val="22"/>
                <w:szCs w:val="22"/>
              </w:rPr>
            </w:r>
            <w:r w:rsidRPr="002A6222">
              <w:rPr>
                <w:rFonts w:ascii="Arial" w:hAnsi="Arial" w:cs="Arial"/>
                <w:b/>
                <w:bCs/>
                <w:noProof/>
                <w:sz w:val="22"/>
                <w:szCs w:val="22"/>
              </w:rPr>
              <w:fldChar w:fldCharType="separate"/>
            </w:r>
            <w:r w:rsidR="002A6222" w:rsidRPr="002A6222">
              <w:rPr>
                <w:rFonts w:ascii="Arial" w:hAnsi="Arial" w:cs="Arial"/>
                <w:b/>
                <w:bCs/>
                <w:noProof/>
                <w:sz w:val="22"/>
                <w:szCs w:val="22"/>
              </w:rPr>
              <w:t>3</w:t>
            </w:r>
            <w:r w:rsidRPr="002A6222">
              <w:rPr>
                <w:rFonts w:ascii="Arial" w:hAnsi="Arial" w:cs="Arial"/>
                <w:b/>
                <w:bCs/>
                <w:noProof/>
                <w:sz w:val="22"/>
                <w:szCs w:val="22"/>
              </w:rPr>
              <w:fldChar w:fldCharType="end"/>
            </w:r>
          </w:hyperlink>
        </w:p>
        <w:p w14:paraId="4294685A" w14:textId="49E66357" w:rsidR="1DD394C8" w:rsidRPr="002A6222" w:rsidRDefault="1DD394C8" w:rsidP="6B88FB60">
          <w:pPr>
            <w:pStyle w:val="TOC2"/>
            <w:tabs>
              <w:tab w:val="right" w:leader="dot" w:pos="9360"/>
            </w:tabs>
            <w:rPr>
              <w:rStyle w:val="Hyperlink"/>
              <w:rFonts w:ascii="Arial" w:eastAsia="Arial" w:hAnsi="Arial" w:cs="Arial"/>
              <w:b/>
              <w:bCs/>
              <w:noProof/>
              <w:color w:val="auto"/>
              <w:sz w:val="22"/>
              <w:szCs w:val="22"/>
            </w:rPr>
          </w:pPr>
          <w:hyperlink w:anchor="_Toc1277688250">
            <w:r w:rsidRPr="002A6222">
              <w:rPr>
                <w:rStyle w:val="Hyperlink"/>
                <w:rFonts w:ascii="Arial" w:eastAsia="Arial" w:hAnsi="Arial" w:cs="Arial"/>
                <w:b/>
                <w:bCs/>
                <w:noProof/>
                <w:color w:val="auto"/>
                <w:sz w:val="22"/>
                <w:szCs w:val="22"/>
              </w:rPr>
              <w:t>Theoretical Foundations: Alderfer’s ERG Theory in Mental Health PCC</w:t>
            </w:r>
            <w:r w:rsidRPr="002A6222">
              <w:rPr>
                <w:rFonts w:ascii="Arial" w:hAnsi="Arial" w:cs="Arial"/>
                <w:b/>
                <w:bCs/>
                <w:noProof/>
                <w:sz w:val="22"/>
                <w:szCs w:val="22"/>
              </w:rPr>
              <w:tab/>
            </w:r>
            <w:r w:rsidRPr="002A6222">
              <w:rPr>
                <w:rFonts w:ascii="Arial" w:hAnsi="Arial" w:cs="Arial"/>
                <w:b/>
                <w:bCs/>
                <w:noProof/>
                <w:sz w:val="22"/>
                <w:szCs w:val="22"/>
              </w:rPr>
              <w:fldChar w:fldCharType="begin"/>
            </w:r>
            <w:r w:rsidRPr="002A6222">
              <w:rPr>
                <w:rFonts w:ascii="Arial" w:hAnsi="Arial" w:cs="Arial"/>
                <w:b/>
                <w:bCs/>
                <w:noProof/>
                <w:sz w:val="22"/>
                <w:szCs w:val="22"/>
              </w:rPr>
              <w:instrText>PAGEREF _Toc1277688250 \h</w:instrText>
            </w:r>
            <w:r w:rsidRPr="002A6222">
              <w:rPr>
                <w:rFonts w:ascii="Arial" w:hAnsi="Arial" w:cs="Arial"/>
                <w:b/>
                <w:bCs/>
                <w:noProof/>
                <w:sz w:val="22"/>
                <w:szCs w:val="22"/>
              </w:rPr>
            </w:r>
            <w:r w:rsidRPr="002A6222">
              <w:rPr>
                <w:rFonts w:ascii="Arial" w:hAnsi="Arial" w:cs="Arial"/>
                <w:b/>
                <w:bCs/>
                <w:noProof/>
                <w:sz w:val="22"/>
                <w:szCs w:val="22"/>
              </w:rPr>
              <w:fldChar w:fldCharType="separate"/>
            </w:r>
            <w:r w:rsidR="002A6222" w:rsidRPr="002A6222">
              <w:rPr>
                <w:rFonts w:ascii="Arial" w:hAnsi="Arial" w:cs="Arial"/>
                <w:b/>
                <w:bCs/>
                <w:noProof/>
                <w:sz w:val="22"/>
                <w:szCs w:val="22"/>
              </w:rPr>
              <w:t>4</w:t>
            </w:r>
            <w:r w:rsidRPr="002A6222">
              <w:rPr>
                <w:rFonts w:ascii="Arial" w:hAnsi="Arial" w:cs="Arial"/>
                <w:b/>
                <w:bCs/>
                <w:noProof/>
                <w:sz w:val="22"/>
                <w:szCs w:val="22"/>
              </w:rPr>
              <w:fldChar w:fldCharType="end"/>
            </w:r>
          </w:hyperlink>
        </w:p>
        <w:p w14:paraId="47CACC15" w14:textId="5CF3B045" w:rsidR="1DD394C8" w:rsidRPr="002A6222" w:rsidRDefault="1DD394C8" w:rsidP="6B88FB60">
          <w:pPr>
            <w:pStyle w:val="TOC2"/>
            <w:tabs>
              <w:tab w:val="right" w:leader="dot" w:pos="9360"/>
            </w:tabs>
            <w:rPr>
              <w:rStyle w:val="Hyperlink"/>
              <w:rFonts w:ascii="Arial" w:eastAsia="Arial" w:hAnsi="Arial" w:cs="Arial"/>
              <w:b/>
              <w:bCs/>
              <w:noProof/>
              <w:color w:val="auto"/>
              <w:sz w:val="22"/>
              <w:szCs w:val="22"/>
            </w:rPr>
          </w:pPr>
          <w:hyperlink w:anchor="_Toc1589698279">
            <w:r w:rsidRPr="002A6222">
              <w:rPr>
                <w:rStyle w:val="Hyperlink"/>
                <w:rFonts w:ascii="Arial" w:eastAsia="Arial" w:hAnsi="Arial" w:cs="Arial"/>
                <w:b/>
                <w:bCs/>
                <w:noProof/>
                <w:color w:val="auto"/>
                <w:sz w:val="22"/>
                <w:szCs w:val="22"/>
              </w:rPr>
              <w:t>Ethical Fundamentals in Mental Health PCC and PW</w:t>
            </w:r>
            <w:r w:rsidRPr="002A6222">
              <w:rPr>
                <w:rFonts w:ascii="Arial" w:hAnsi="Arial" w:cs="Arial"/>
                <w:b/>
                <w:bCs/>
                <w:noProof/>
                <w:sz w:val="22"/>
                <w:szCs w:val="22"/>
              </w:rPr>
              <w:tab/>
            </w:r>
            <w:r w:rsidRPr="002A6222">
              <w:rPr>
                <w:rFonts w:ascii="Arial" w:hAnsi="Arial" w:cs="Arial"/>
                <w:b/>
                <w:bCs/>
                <w:noProof/>
                <w:sz w:val="22"/>
                <w:szCs w:val="22"/>
              </w:rPr>
              <w:fldChar w:fldCharType="begin"/>
            </w:r>
            <w:r w:rsidRPr="002A6222">
              <w:rPr>
                <w:rFonts w:ascii="Arial" w:hAnsi="Arial" w:cs="Arial"/>
                <w:b/>
                <w:bCs/>
                <w:noProof/>
                <w:sz w:val="22"/>
                <w:szCs w:val="22"/>
              </w:rPr>
              <w:instrText>PAGEREF _Toc1589698279 \h</w:instrText>
            </w:r>
            <w:r w:rsidRPr="002A6222">
              <w:rPr>
                <w:rFonts w:ascii="Arial" w:hAnsi="Arial" w:cs="Arial"/>
                <w:b/>
                <w:bCs/>
                <w:noProof/>
                <w:sz w:val="22"/>
                <w:szCs w:val="22"/>
              </w:rPr>
            </w:r>
            <w:r w:rsidRPr="002A6222">
              <w:rPr>
                <w:rFonts w:ascii="Arial" w:hAnsi="Arial" w:cs="Arial"/>
                <w:b/>
                <w:bCs/>
                <w:noProof/>
                <w:sz w:val="22"/>
                <w:szCs w:val="22"/>
              </w:rPr>
              <w:fldChar w:fldCharType="separate"/>
            </w:r>
            <w:r w:rsidR="002A6222" w:rsidRPr="002A6222">
              <w:rPr>
                <w:rFonts w:ascii="Arial" w:hAnsi="Arial" w:cs="Arial"/>
                <w:b/>
                <w:bCs/>
                <w:noProof/>
                <w:sz w:val="22"/>
                <w:szCs w:val="22"/>
              </w:rPr>
              <w:t>5</w:t>
            </w:r>
            <w:r w:rsidRPr="002A6222">
              <w:rPr>
                <w:rFonts w:ascii="Arial" w:hAnsi="Arial" w:cs="Arial"/>
                <w:b/>
                <w:bCs/>
                <w:noProof/>
                <w:sz w:val="22"/>
                <w:szCs w:val="22"/>
              </w:rPr>
              <w:fldChar w:fldCharType="end"/>
            </w:r>
          </w:hyperlink>
        </w:p>
        <w:p w14:paraId="18F18144" w14:textId="3D785A74" w:rsidR="1DD394C8" w:rsidRPr="002A6222" w:rsidRDefault="1DD394C8" w:rsidP="6B88FB60">
          <w:pPr>
            <w:pStyle w:val="TOC2"/>
            <w:tabs>
              <w:tab w:val="right" w:leader="dot" w:pos="9360"/>
            </w:tabs>
            <w:rPr>
              <w:rStyle w:val="Hyperlink"/>
              <w:rFonts w:ascii="Arial" w:eastAsia="Arial" w:hAnsi="Arial" w:cs="Arial"/>
              <w:b/>
              <w:bCs/>
              <w:noProof/>
              <w:color w:val="auto"/>
              <w:sz w:val="22"/>
              <w:szCs w:val="22"/>
            </w:rPr>
          </w:pPr>
          <w:hyperlink w:anchor="_Toc1873454092">
            <w:r w:rsidRPr="002A6222">
              <w:rPr>
                <w:rStyle w:val="Hyperlink"/>
                <w:rFonts w:ascii="Arial" w:eastAsia="Arial" w:hAnsi="Arial" w:cs="Arial"/>
                <w:b/>
                <w:bCs/>
                <w:noProof/>
                <w:color w:val="auto"/>
                <w:sz w:val="22"/>
                <w:szCs w:val="22"/>
              </w:rPr>
              <w:t>Evaluation of Partnership Working in Mental Health Services</w:t>
            </w:r>
            <w:r w:rsidRPr="002A6222">
              <w:rPr>
                <w:rFonts w:ascii="Arial" w:hAnsi="Arial" w:cs="Arial"/>
                <w:b/>
                <w:bCs/>
                <w:noProof/>
                <w:sz w:val="22"/>
                <w:szCs w:val="22"/>
              </w:rPr>
              <w:tab/>
            </w:r>
            <w:r w:rsidRPr="002A6222">
              <w:rPr>
                <w:rFonts w:ascii="Arial" w:hAnsi="Arial" w:cs="Arial"/>
                <w:b/>
                <w:bCs/>
                <w:noProof/>
                <w:sz w:val="22"/>
                <w:szCs w:val="22"/>
              </w:rPr>
              <w:fldChar w:fldCharType="begin"/>
            </w:r>
            <w:r w:rsidRPr="002A6222">
              <w:rPr>
                <w:rFonts w:ascii="Arial" w:hAnsi="Arial" w:cs="Arial"/>
                <w:b/>
                <w:bCs/>
                <w:noProof/>
                <w:sz w:val="22"/>
                <w:szCs w:val="22"/>
              </w:rPr>
              <w:instrText>PAGEREF _Toc1873454092 \h</w:instrText>
            </w:r>
            <w:r w:rsidRPr="002A6222">
              <w:rPr>
                <w:rFonts w:ascii="Arial" w:hAnsi="Arial" w:cs="Arial"/>
                <w:b/>
                <w:bCs/>
                <w:noProof/>
                <w:sz w:val="22"/>
                <w:szCs w:val="22"/>
              </w:rPr>
            </w:r>
            <w:r w:rsidRPr="002A6222">
              <w:rPr>
                <w:rFonts w:ascii="Arial" w:hAnsi="Arial" w:cs="Arial"/>
                <w:b/>
                <w:bCs/>
                <w:noProof/>
                <w:sz w:val="22"/>
                <w:szCs w:val="22"/>
              </w:rPr>
              <w:fldChar w:fldCharType="separate"/>
            </w:r>
            <w:r w:rsidR="002A6222" w:rsidRPr="002A6222">
              <w:rPr>
                <w:rFonts w:ascii="Arial" w:hAnsi="Arial" w:cs="Arial"/>
                <w:b/>
                <w:bCs/>
                <w:noProof/>
                <w:sz w:val="22"/>
                <w:szCs w:val="22"/>
              </w:rPr>
              <w:t>6</w:t>
            </w:r>
            <w:r w:rsidRPr="002A6222">
              <w:rPr>
                <w:rFonts w:ascii="Arial" w:hAnsi="Arial" w:cs="Arial"/>
                <w:b/>
                <w:bCs/>
                <w:noProof/>
                <w:sz w:val="22"/>
                <w:szCs w:val="22"/>
              </w:rPr>
              <w:fldChar w:fldCharType="end"/>
            </w:r>
          </w:hyperlink>
        </w:p>
        <w:p w14:paraId="20CB8BCB" w14:textId="62F98E97" w:rsidR="1DD394C8" w:rsidRPr="002A6222" w:rsidRDefault="1DD394C8" w:rsidP="6B88FB60">
          <w:pPr>
            <w:pStyle w:val="TOC2"/>
            <w:tabs>
              <w:tab w:val="right" w:leader="dot" w:pos="9360"/>
            </w:tabs>
            <w:rPr>
              <w:rStyle w:val="Hyperlink"/>
              <w:rFonts w:ascii="Arial" w:eastAsia="Arial" w:hAnsi="Arial" w:cs="Arial"/>
              <w:b/>
              <w:bCs/>
              <w:noProof/>
              <w:color w:val="auto"/>
              <w:sz w:val="22"/>
              <w:szCs w:val="22"/>
            </w:rPr>
          </w:pPr>
          <w:hyperlink w:anchor="_Toc464264273">
            <w:r w:rsidRPr="002A6222">
              <w:rPr>
                <w:rStyle w:val="Hyperlink"/>
                <w:rFonts w:ascii="Arial" w:eastAsia="Arial" w:hAnsi="Arial" w:cs="Arial"/>
                <w:b/>
                <w:bCs/>
                <w:noProof/>
                <w:color w:val="auto"/>
                <w:sz w:val="22"/>
                <w:szCs w:val="22"/>
              </w:rPr>
              <w:t>Policy and Legislation Influencing PCC and PW</w:t>
            </w:r>
            <w:r w:rsidRPr="002A6222">
              <w:rPr>
                <w:rFonts w:ascii="Arial" w:hAnsi="Arial" w:cs="Arial"/>
                <w:b/>
                <w:bCs/>
                <w:noProof/>
                <w:sz w:val="22"/>
                <w:szCs w:val="22"/>
              </w:rPr>
              <w:tab/>
            </w:r>
            <w:r w:rsidRPr="002A6222">
              <w:rPr>
                <w:rFonts w:ascii="Arial" w:hAnsi="Arial" w:cs="Arial"/>
                <w:b/>
                <w:bCs/>
                <w:noProof/>
                <w:sz w:val="22"/>
                <w:szCs w:val="22"/>
              </w:rPr>
              <w:fldChar w:fldCharType="begin"/>
            </w:r>
            <w:r w:rsidRPr="002A6222">
              <w:rPr>
                <w:rFonts w:ascii="Arial" w:hAnsi="Arial" w:cs="Arial"/>
                <w:b/>
                <w:bCs/>
                <w:noProof/>
                <w:sz w:val="22"/>
                <w:szCs w:val="22"/>
              </w:rPr>
              <w:instrText>PAGEREF _Toc464264273 \h</w:instrText>
            </w:r>
            <w:r w:rsidRPr="002A6222">
              <w:rPr>
                <w:rFonts w:ascii="Arial" w:hAnsi="Arial" w:cs="Arial"/>
                <w:b/>
                <w:bCs/>
                <w:noProof/>
                <w:sz w:val="22"/>
                <w:szCs w:val="22"/>
              </w:rPr>
            </w:r>
            <w:r w:rsidRPr="002A6222">
              <w:rPr>
                <w:rFonts w:ascii="Arial" w:hAnsi="Arial" w:cs="Arial"/>
                <w:b/>
                <w:bCs/>
                <w:noProof/>
                <w:sz w:val="22"/>
                <w:szCs w:val="22"/>
              </w:rPr>
              <w:fldChar w:fldCharType="separate"/>
            </w:r>
            <w:r w:rsidR="002A6222" w:rsidRPr="002A6222">
              <w:rPr>
                <w:rFonts w:ascii="Arial" w:hAnsi="Arial" w:cs="Arial"/>
                <w:b/>
                <w:bCs/>
                <w:noProof/>
                <w:sz w:val="22"/>
                <w:szCs w:val="22"/>
              </w:rPr>
              <w:t>7</w:t>
            </w:r>
            <w:r w:rsidRPr="002A6222">
              <w:rPr>
                <w:rFonts w:ascii="Arial" w:hAnsi="Arial" w:cs="Arial"/>
                <w:b/>
                <w:bCs/>
                <w:noProof/>
                <w:sz w:val="22"/>
                <w:szCs w:val="22"/>
              </w:rPr>
              <w:fldChar w:fldCharType="end"/>
            </w:r>
          </w:hyperlink>
        </w:p>
        <w:p w14:paraId="0FDE0E3C" w14:textId="156C6800" w:rsidR="1DD394C8" w:rsidRPr="002A6222" w:rsidRDefault="1DD394C8" w:rsidP="6B88FB60">
          <w:pPr>
            <w:pStyle w:val="TOC2"/>
            <w:tabs>
              <w:tab w:val="right" w:leader="dot" w:pos="9360"/>
            </w:tabs>
            <w:rPr>
              <w:rStyle w:val="Hyperlink"/>
              <w:rFonts w:ascii="Arial" w:eastAsia="Arial" w:hAnsi="Arial" w:cs="Arial"/>
              <w:b/>
              <w:bCs/>
              <w:noProof/>
              <w:color w:val="auto"/>
              <w:sz w:val="22"/>
              <w:szCs w:val="22"/>
            </w:rPr>
          </w:pPr>
          <w:hyperlink w:anchor="_Toc357757652">
            <w:r w:rsidRPr="002A6222">
              <w:rPr>
                <w:rStyle w:val="Hyperlink"/>
                <w:rFonts w:ascii="Arial" w:eastAsia="Arial" w:hAnsi="Arial" w:cs="Arial"/>
                <w:b/>
                <w:bCs/>
                <w:noProof/>
                <w:color w:val="auto"/>
                <w:sz w:val="22"/>
                <w:szCs w:val="22"/>
              </w:rPr>
              <w:t>Recommendations</w:t>
            </w:r>
            <w:r w:rsidRPr="002A6222">
              <w:rPr>
                <w:rFonts w:ascii="Arial" w:hAnsi="Arial" w:cs="Arial"/>
                <w:b/>
                <w:bCs/>
                <w:noProof/>
                <w:sz w:val="22"/>
                <w:szCs w:val="22"/>
              </w:rPr>
              <w:tab/>
            </w:r>
            <w:r w:rsidRPr="002A6222">
              <w:rPr>
                <w:rFonts w:ascii="Arial" w:hAnsi="Arial" w:cs="Arial"/>
                <w:b/>
                <w:bCs/>
                <w:noProof/>
                <w:sz w:val="22"/>
                <w:szCs w:val="22"/>
              </w:rPr>
              <w:fldChar w:fldCharType="begin"/>
            </w:r>
            <w:r w:rsidRPr="002A6222">
              <w:rPr>
                <w:rFonts w:ascii="Arial" w:hAnsi="Arial" w:cs="Arial"/>
                <w:b/>
                <w:bCs/>
                <w:noProof/>
                <w:sz w:val="22"/>
                <w:szCs w:val="22"/>
              </w:rPr>
              <w:instrText>PAGEREF _Toc357757652 \h</w:instrText>
            </w:r>
            <w:r w:rsidRPr="002A6222">
              <w:rPr>
                <w:rFonts w:ascii="Arial" w:hAnsi="Arial" w:cs="Arial"/>
                <w:b/>
                <w:bCs/>
                <w:noProof/>
                <w:sz w:val="22"/>
                <w:szCs w:val="22"/>
              </w:rPr>
            </w:r>
            <w:r w:rsidRPr="002A6222">
              <w:rPr>
                <w:rFonts w:ascii="Arial" w:hAnsi="Arial" w:cs="Arial"/>
                <w:b/>
                <w:bCs/>
                <w:noProof/>
                <w:sz w:val="22"/>
                <w:szCs w:val="22"/>
              </w:rPr>
              <w:fldChar w:fldCharType="separate"/>
            </w:r>
            <w:r w:rsidR="002A6222" w:rsidRPr="002A6222">
              <w:rPr>
                <w:rFonts w:ascii="Arial" w:hAnsi="Arial" w:cs="Arial"/>
                <w:b/>
                <w:bCs/>
                <w:noProof/>
                <w:sz w:val="22"/>
                <w:szCs w:val="22"/>
              </w:rPr>
              <w:t>8</w:t>
            </w:r>
            <w:r w:rsidRPr="002A6222">
              <w:rPr>
                <w:rFonts w:ascii="Arial" w:hAnsi="Arial" w:cs="Arial"/>
                <w:b/>
                <w:bCs/>
                <w:noProof/>
                <w:sz w:val="22"/>
                <w:szCs w:val="22"/>
              </w:rPr>
              <w:fldChar w:fldCharType="end"/>
            </w:r>
          </w:hyperlink>
        </w:p>
        <w:p w14:paraId="303BC11F" w14:textId="752FF25D" w:rsidR="1DD394C8" w:rsidRPr="002A6222" w:rsidRDefault="1DD394C8" w:rsidP="6B88FB60">
          <w:pPr>
            <w:pStyle w:val="TOC2"/>
            <w:tabs>
              <w:tab w:val="right" w:leader="dot" w:pos="9360"/>
            </w:tabs>
            <w:rPr>
              <w:rStyle w:val="Hyperlink"/>
              <w:rFonts w:ascii="Arial" w:eastAsia="Arial" w:hAnsi="Arial" w:cs="Arial"/>
              <w:b/>
              <w:bCs/>
              <w:noProof/>
              <w:color w:val="auto"/>
              <w:sz w:val="22"/>
              <w:szCs w:val="22"/>
            </w:rPr>
          </w:pPr>
          <w:hyperlink w:anchor="_Toc419430305">
            <w:r w:rsidRPr="002A6222">
              <w:rPr>
                <w:rStyle w:val="Hyperlink"/>
                <w:rFonts w:ascii="Arial" w:eastAsia="Arial" w:hAnsi="Arial" w:cs="Arial"/>
                <w:b/>
                <w:bCs/>
                <w:noProof/>
                <w:color w:val="auto"/>
                <w:sz w:val="22"/>
                <w:szCs w:val="22"/>
              </w:rPr>
              <w:t>Conclusion</w:t>
            </w:r>
            <w:r w:rsidRPr="002A6222">
              <w:rPr>
                <w:rFonts w:ascii="Arial" w:hAnsi="Arial" w:cs="Arial"/>
                <w:b/>
                <w:bCs/>
                <w:noProof/>
                <w:sz w:val="22"/>
                <w:szCs w:val="22"/>
              </w:rPr>
              <w:tab/>
            </w:r>
            <w:r w:rsidRPr="002A6222">
              <w:rPr>
                <w:rFonts w:ascii="Arial" w:hAnsi="Arial" w:cs="Arial"/>
                <w:b/>
                <w:bCs/>
                <w:noProof/>
                <w:sz w:val="22"/>
                <w:szCs w:val="22"/>
              </w:rPr>
              <w:fldChar w:fldCharType="begin"/>
            </w:r>
            <w:r w:rsidRPr="002A6222">
              <w:rPr>
                <w:rFonts w:ascii="Arial" w:hAnsi="Arial" w:cs="Arial"/>
                <w:b/>
                <w:bCs/>
                <w:noProof/>
                <w:sz w:val="22"/>
                <w:szCs w:val="22"/>
              </w:rPr>
              <w:instrText>PAGEREF _Toc419430305 \h</w:instrText>
            </w:r>
            <w:r w:rsidRPr="002A6222">
              <w:rPr>
                <w:rFonts w:ascii="Arial" w:hAnsi="Arial" w:cs="Arial"/>
                <w:b/>
                <w:bCs/>
                <w:noProof/>
                <w:sz w:val="22"/>
                <w:szCs w:val="22"/>
              </w:rPr>
            </w:r>
            <w:r w:rsidRPr="002A6222">
              <w:rPr>
                <w:rFonts w:ascii="Arial" w:hAnsi="Arial" w:cs="Arial"/>
                <w:b/>
                <w:bCs/>
                <w:noProof/>
                <w:sz w:val="22"/>
                <w:szCs w:val="22"/>
              </w:rPr>
              <w:fldChar w:fldCharType="separate"/>
            </w:r>
            <w:r w:rsidR="002A6222" w:rsidRPr="002A6222">
              <w:rPr>
                <w:rFonts w:ascii="Arial" w:hAnsi="Arial" w:cs="Arial"/>
                <w:b/>
                <w:bCs/>
                <w:noProof/>
                <w:sz w:val="22"/>
                <w:szCs w:val="22"/>
              </w:rPr>
              <w:t>9</w:t>
            </w:r>
            <w:r w:rsidRPr="002A6222">
              <w:rPr>
                <w:rFonts w:ascii="Arial" w:hAnsi="Arial" w:cs="Arial"/>
                <w:b/>
                <w:bCs/>
                <w:noProof/>
                <w:sz w:val="22"/>
                <w:szCs w:val="22"/>
              </w:rPr>
              <w:fldChar w:fldCharType="end"/>
            </w:r>
          </w:hyperlink>
        </w:p>
        <w:p w14:paraId="0D8E58AD" w14:textId="7EFB3CBD" w:rsidR="1DD394C8" w:rsidRPr="002A6222" w:rsidRDefault="1DD394C8" w:rsidP="6B88FB60">
          <w:pPr>
            <w:pStyle w:val="TOC1"/>
            <w:tabs>
              <w:tab w:val="right" w:leader="dot" w:pos="9360"/>
            </w:tabs>
            <w:rPr>
              <w:rStyle w:val="Hyperlink"/>
              <w:rFonts w:ascii="Arial" w:eastAsia="Arial" w:hAnsi="Arial" w:cs="Arial"/>
              <w:b/>
              <w:bCs/>
              <w:color w:val="auto"/>
              <w:sz w:val="22"/>
              <w:szCs w:val="22"/>
            </w:rPr>
          </w:pPr>
          <w:hyperlink w:anchor="_Toc1409083442">
            <w:r w:rsidRPr="002A6222">
              <w:rPr>
                <w:rStyle w:val="Hyperlink"/>
                <w:rFonts w:ascii="Arial" w:eastAsia="Arial" w:hAnsi="Arial" w:cs="Arial"/>
                <w:b/>
                <w:bCs/>
                <w:noProof/>
                <w:color w:val="auto"/>
                <w:sz w:val="22"/>
                <w:szCs w:val="22"/>
              </w:rPr>
              <w:t>References</w:t>
            </w:r>
            <w:r w:rsidRPr="002A6222">
              <w:rPr>
                <w:rFonts w:ascii="Arial" w:hAnsi="Arial" w:cs="Arial"/>
                <w:b/>
                <w:bCs/>
                <w:noProof/>
                <w:sz w:val="22"/>
                <w:szCs w:val="22"/>
              </w:rPr>
              <w:tab/>
            </w:r>
            <w:r w:rsidRPr="002A6222">
              <w:rPr>
                <w:rFonts w:ascii="Arial" w:hAnsi="Arial" w:cs="Arial"/>
                <w:b/>
                <w:bCs/>
                <w:noProof/>
                <w:sz w:val="22"/>
                <w:szCs w:val="22"/>
              </w:rPr>
              <w:fldChar w:fldCharType="begin"/>
            </w:r>
            <w:r w:rsidRPr="002A6222">
              <w:rPr>
                <w:rFonts w:ascii="Arial" w:hAnsi="Arial" w:cs="Arial"/>
                <w:b/>
                <w:bCs/>
                <w:noProof/>
                <w:sz w:val="22"/>
                <w:szCs w:val="22"/>
              </w:rPr>
              <w:instrText>PAGEREF _Toc1409083442 \h</w:instrText>
            </w:r>
            <w:r w:rsidRPr="002A6222">
              <w:rPr>
                <w:rFonts w:ascii="Arial" w:hAnsi="Arial" w:cs="Arial"/>
                <w:b/>
                <w:bCs/>
                <w:noProof/>
                <w:sz w:val="22"/>
                <w:szCs w:val="22"/>
              </w:rPr>
            </w:r>
            <w:r w:rsidRPr="002A6222">
              <w:rPr>
                <w:rFonts w:ascii="Arial" w:hAnsi="Arial" w:cs="Arial"/>
                <w:b/>
                <w:bCs/>
                <w:noProof/>
                <w:sz w:val="22"/>
                <w:szCs w:val="22"/>
              </w:rPr>
              <w:fldChar w:fldCharType="separate"/>
            </w:r>
            <w:r w:rsidR="002A6222" w:rsidRPr="002A6222">
              <w:rPr>
                <w:rFonts w:ascii="Arial" w:hAnsi="Arial" w:cs="Arial"/>
                <w:b/>
                <w:bCs/>
                <w:noProof/>
                <w:sz w:val="22"/>
                <w:szCs w:val="22"/>
              </w:rPr>
              <w:t>10</w:t>
            </w:r>
            <w:r w:rsidRPr="002A6222">
              <w:rPr>
                <w:rFonts w:ascii="Arial" w:hAnsi="Arial" w:cs="Arial"/>
                <w:b/>
                <w:bCs/>
                <w:noProof/>
                <w:sz w:val="22"/>
                <w:szCs w:val="22"/>
              </w:rPr>
              <w:fldChar w:fldCharType="end"/>
            </w:r>
          </w:hyperlink>
          <w:r w:rsidRPr="002A6222">
            <w:rPr>
              <w:rFonts w:ascii="Arial" w:hAnsi="Arial" w:cs="Arial"/>
              <w:b/>
              <w:bCs/>
              <w:sz w:val="22"/>
              <w:szCs w:val="22"/>
            </w:rPr>
            <w:fldChar w:fldCharType="end"/>
          </w:r>
        </w:p>
      </w:sdtContent>
    </w:sdt>
    <w:p w14:paraId="41814A20" w14:textId="458F2CDA" w:rsidR="1DD394C8" w:rsidRDefault="1DD394C8" w:rsidP="6B88FB60">
      <w:pPr>
        <w:spacing w:line="360" w:lineRule="auto"/>
        <w:rPr>
          <w:rFonts w:ascii="Arial" w:eastAsia="Arial" w:hAnsi="Arial" w:cs="Arial"/>
          <w:sz w:val="22"/>
          <w:szCs w:val="22"/>
        </w:rPr>
      </w:pPr>
    </w:p>
    <w:p w14:paraId="699AE0B4" w14:textId="4F74C0E5" w:rsidR="1DD394C8" w:rsidRDefault="1DD394C8" w:rsidP="6B88FB60">
      <w:pPr>
        <w:spacing w:line="360" w:lineRule="auto"/>
        <w:rPr>
          <w:rFonts w:ascii="Arial" w:eastAsia="Arial" w:hAnsi="Arial" w:cs="Arial"/>
          <w:sz w:val="22"/>
          <w:szCs w:val="22"/>
        </w:rPr>
      </w:pPr>
    </w:p>
    <w:p w14:paraId="7C904B5D" w14:textId="1C6A14C0" w:rsidR="1DD394C8" w:rsidRDefault="1DD394C8" w:rsidP="6B88FB60">
      <w:pPr>
        <w:spacing w:line="360" w:lineRule="auto"/>
        <w:rPr>
          <w:rFonts w:ascii="Arial" w:eastAsia="Arial" w:hAnsi="Arial" w:cs="Arial"/>
          <w:sz w:val="22"/>
          <w:szCs w:val="22"/>
        </w:rPr>
      </w:pPr>
    </w:p>
    <w:p w14:paraId="5BD9615B" w14:textId="37AB9954" w:rsidR="1DD394C8" w:rsidRDefault="1DD394C8" w:rsidP="6B88FB60">
      <w:pPr>
        <w:spacing w:line="360" w:lineRule="auto"/>
        <w:rPr>
          <w:rFonts w:ascii="Arial" w:eastAsia="Arial" w:hAnsi="Arial" w:cs="Arial"/>
          <w:sz w:val="22"/>
          <w:szCs w:val="22"/>
        </w:rPr>
      </w:pPr>
    </w:p>
    <w:p w14:paraId="086E93C2" w14:textId="6AD81091" w:rsidR="1DD394C8" w:rsidRDefault="1DD394C8" w:rsidP="6B88FB60">
      <w:pPr>
        <w:spacing w:line="360" w:lineRule="auto"/>
        <w:rPr>
          <w:rFonts w:ascii="Arial" w:eastAsia="Arial" w:hAnsi="Arial" w:cs="Arial"/>
          <w:sz w:val="22"/>
          <w:szCs w:val="22"/>
        </w:rPr>
      </w:pPr>
    </w:p>
    <w:p w14:paraId="7688EF68" w14:textId="371D5A59" w:rsidR="1DD394C8" w:rsidRDefault="1DD394C8" w:rsidP="6B88FB60">
      <w:pPr>
        <w:spacing w:line="360" w:lineRule="auto"/>
        <w:rPr>
          <w:rFonts w:ascii="Arial" w:eastAsia="Arial" w:hAnsi="Arial" w:cs="Arial"/>
          <w:sz w:val="22"/>
          <w:szCs w:val="22"/>
        </w:rPr>
      </w:pPr>
    </w:p>
    <w:p w14:paraId="7165B31D" w14:textId="45204118" w:rsidR="1DD394C8" w:rsidRDefault="1DD394C8" w:rsidP="6B88FB60">
      <w:pPr>
        <w:spacing w:line="360" w:lineRule="auto"/>
        <w:rPr>
          <w:rFonts w:ascii="Arial" w:eastAsia="Arial" w:hAnsi="Arial" w:cs="Arial"/>
          <w:sz w:val="22"/>
          <w:szCs w:val="22"/>
        </w:rPr>
      </w:pPr>
    </w:p>
    <w:p w14:paraId="5EBB6EA7" w14:textId="306D04E4" w:rsidR="1DD394C8" w:rsidRDefault="1DD394C8" w:rsidP="6B88FB60">
      <w:pPr>
        <w:spacing w:line="360" w:lineRule="auto"/>
        <w:rPr>
          <w:rFonts w:ascii="Arial" w:eastAsia="Arial" w:hAnsi="Arial" w:cs="Arial"/>
          <w:sz w:val="22"/>
          <w:szCs w:val="22"/>
        </w:rPr>
      </w:pPr>
    </w:p>
    <w:p w14:paraId="7E87DC21" w14:textId="1A8CAF22" w:rsidR="1DD394C8" w:rsidRDefault="1DD394C8" w:rsidP="6B88FB60">
      <w:pPr>
        <w:spacing w:line="360" w:lineRule="auto"/>
        <w:rPr>
          <w:rFonts w:ascii="Arial" w:eastAsia="Arial" w:hAnsi="Arial" w:cs="Arial"/>
          <w:sz w:val="22"/>
          <w:szCs w:val="22"/>
        </w:rPr>
      </w:pPr>
    </w:p>
    <w:p w14:paraId="60490D3E" w14:textId="0ABA424C" w:rsidR="1DD394C8" w:rsidRDefault="1DD394C8" w:rsidP="6B88FB60">
      <w:pPr>
        <w:spacing w:line="360" w:lineRule="auto"/>
        <w:rPr>
          <w:rFonts w:ascii="Arial" w:eastAsia="Arial" w:hAnsi="Arial" w:cs="Arial"/>
          <w:sz w:val="22"/>
          <w:szCs w:val="22"/>
        </w:rPr>
      </w:pPr>
    </w:p>
    <w:p w14:paraId="039E1502" w14:textId="58EDBB7D" w:rsidR="1DD394C8" w:rsidRDefault="1DD394C8" w:rsidP="6B88FB60">
      <w:pPr>
        <w:spacing w:line="360" w:lineRule="auto"/>
        <w:rPr>
          <w:rFonts w:ascii="Arial" w:eastAsia="Arial" w:hAnsi="Arial" w:cs="Arial"/>
          <w:sz w:val="22"/>
          <w:szCs w:val="22"/>
        </w:rPr>
      </w:pPr>
    </w:p>
    <w:p w14:paraId="509F5E35" w14:textId="7596884B" w:rsidR="1DD394C8" w:rsidRDefault="1DD394C8" w:rsidP="6B88FB60">
      <w:pPr>
        <w:spacing w:line="360" w:lineRule="auto"/>
        <w:rPr>
          <w:rFonts w:ascii="Arial" w:eastAsia="Arial" w:hAnsi="Arial" w:cs="Arial"/>
          <w:sz w:val="22"/>
          <w:szCs w:val="22"/>
        </w:rPr>
      </w:pPr>
    </w:p>
    <w:p w14:paraId="08B42DC3" w14:textId="7687A608" w:rsidR="1DD394C8" w:rsidRDefault="1DD394C8" w:rsidP="1DD394C8">
      <w:pPr>
        <w:spacing w:line="360" w:lineRule="auto"/>
        <w:rPr>
          <w:rFonts w:ascii="Arial" w:eastAsia="Arial" w:hAnsi="Arial" w:cs="Arial"/>
          <w:sz w:val="22"/>
          <w:szCs w:val="22"/>
        </w:rPr>
      </w:pPr>
      <w:r w:rsidRPr="6B88FB60">
        <w:rPr>
          <w:rFonts w:ascii="Arial" w:eastAsia="Arial" w:hAnsi="Arial" w:cs="Arial"/>
          <w:sz w:val="22"/>
          <w:szCs w:val="22"/>
        </w:rPr>
        <w:br w:type="page"/>
      </w:r>
    </w:p>
    <w:p w14:paraId="6272848F" w14:textId="1BAA0E6B" w:rsidR="211C674B" w:rsidRDefault="211C674B" w:rsidP="1DD394C8">
      <w:pPr>
        <w:pStyle w:val="Heading2"/>
        <w:spacing w:before="299" w:after="299" w:line="360" w:lineRule="auto"/>
        <w:rPr>
          <w:rFonts w:ascii="Arial" w:eastAsia="Arial" w:hAnsi="Arial" w:cs="Arial"/>
          <w:b/>
          <w:bCs/>
          <w:color w:val="auto"/>
          <w:sz w:val="22"/>
          <w:szCs w:val="22"/>
        </w:rPr>
      </w:pPr>
      <w:bookmarkStart w:id="0" w:name="_Toc1510863796"/>
      <w:r w:rsidRPr="6B88FB60">
        <w:rPr>
          <w:rFonts w:ascii="Arial" w:eastAsia="Arial" w:hAnsi="Arial" w:cs="Arial"/>
          <w:b/>
          <w:bCs/>
          <w:color w:val="auto"/>
          <w:sz w:val="22"/>
          <w:szCs w:val="22"/>
        </w:rPr>
        <w:lastRenderedPageBreak/>
        <w:t>Abstract</w:t>
      </w:r>
      <w:bookmarkEnd w:id="0"/>
    </w:p>
    <w:p w14:paraId="48D760B6" w14:textId="18AA6B97" w:rsidR="46BCE96F" w:rsidRDefault="46BCE96F"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This report focuses on why Person-Centred Care (PCC) and Partnership Working (PW) are so important in mental health services in the UK. PCC is all about respecting people’s choices, supporting their independence, and involving them in decisions about their care. PW focuses on teamwork, bringing together service users, families, professionals, and organisations to work together. </w:t>
      </w:r>
    </w:p>
    <w:p w14:paraId="5D3C6747" w14:textId="55023890" w:rsidR="46BCE96F" w:rsidRDefault="46BCE96F"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Alderfer’s ERG Theory </w:t>
      </w:r>
      <w:r w:rsidR="6A1A41A9" w:rsidRPr="6B88FB60">
        <w:rPr>
          <w:rFonts w:ascii="Arial" w:eastAsia="Arial" w:hAnsi="Arial" w:cs="Arial"/>
          <w:sz w:val="22"/>
          <w:szCs w:val="22"/>
        </w:rPr>
        <w:t>(</w:t>
      </w:r>
      <w:r w:rsidR="002823B2" w:rsidRPr="6B88FB60">
        <w:rPr>
          <w:rFonts w:ascii="Arial" w:eastAsia="Arial" w:hAnsi="Arial" w:cs="Arial"/>
          <w:sz w:val="22"/>
          <w:szCs w:val="22"/>
        </w:rPr>
        <w:t>1969</w:t>
      </w:r>
      <w:r w:rsidR="6A1A41A9" w:rsidRPr="6B88FB60">
        <w:rPr>
          <w:rFonts w:ascii="Arial" w:eastAsia="Arial" w:hAnsi="Arial" w:cs="Arial"/>
          <w:sz w:val="22"/>
          <w:szCs w:val="22"/>
        </w:rPr>
        <w:t xml:space="preserve">) </w:t>
      </w:r>
      <w:r w:rsidRPr="6B88FB60">
        <w:rPr>
          <w:rFonts w:ascii="Arial" w:eastAsia="Arial" w:hAnsi="Arial" w:cs="Arial"/>
          <w:sz w:val="22"/>
          <w:szCs w:val="22"/>
        </w:rPr>
        <w:t>helps explain how people’s needs and motivations affect care. The report also explores ethical challenges, like balancing risk and autonomy, the ups and downs of PW, and the role of key policies. Recommendations include better training, digital tools, co-production, and tackling system barriers.</w:t>
      </w:r>
    </w:p>
    <w:p w14:paraId="0DA7D6EB" w14:textId="4271F61B"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Overall, the report demonstrates that PCC and PW are essential for delivering effective, ethical mental health support, but require ongoing investment and structural change to be fully realised.</w:t>
      </w:r>
    </w:p>
    <w:p w14:paraId="2C058406" w14:textId="20A5F87F" w:rsidR="211C674B" w:rsidRDefault="211C674B" w:rsidP="1DD394C8">
      <w:pPr>
        <w:pStyle w:val="Heading2"/>
        <w:spacing w:before="299" w:after="299" w:line="360" w:lineRule="auto"/>
        <w:rPr>
          <w:rFonts w:ascii="Arial" w:eastAsia="Arial" w:hAnsi="Arial" w:cs="Arial"/>
          <w:b/>
          <w:bCs/>
          <w:color w:val="auto"/>
          <w:sz w:val="22"/>
          <w:szCs w:val="22"/>
        </w:rPr>
      </w:pPr>
      <w:bookmarkStart w:id="1" w:name="_Toc649956302"/>
      <w:r w:rsidRPr="6B88FB60">
        <w:rPr>
          <w:rFonts w:ascii="Arial" w:eastAsia="Arial" w:hAnsi="Arial" w:cs="Arial"/>
          <w:b/>
          <w:bCs/>
          <w:color w:val="auto"/>
          <w:sz w:val="22"/>
          <w:szCs w:val="22"/>
        </w:rPr>
        <w:t>Introduction</w:t>
      </w:r>
      <w:bookmarkEnd w:id="1"/>
    </w:p>
    <w:p w14:paraId="5D54404B" w14:textId="55766A5F" w:rsidR="1DC4547D" w:rsidRDefault="1DC4547D"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Person-Centred Care (PCC) and Partnership Working (PW) are now key parts of UK health and social care policy, especially in mental health services where care is often complex and personal. PCC focuses on putting the individual at the centre of decisions about their care, while PW encourages professionals and agencies to work together for coordinated support. </w:t>
      </w:r>
    </w:p>
    <w:p w14:paraId="2A6F426B" w14:textId="6839B4BA" w:rsidR="1DC4547D" w:rsidRDefault="1DC4547D"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This report looks at PCC and PW their definitions, benefits, challenges, relevant theories like Alderfer’s ERG Theory (1969), and ethical considerations, while exploring how they work in mental health settings. It also considers policy and legislation and ends with recommendations for improving PCC and PW across UK mental health services</w:t>
      </w:r>
    </w:p>
    <w:p w14:paraId="5AADDEE2" w14:textId="67130A4F" w:rsidR="211C674B" w:rsidRDefault="211C674B" w:rsidP="1DD394C8">
      <w:pPr>
        <w:pStyle w:val="Heading2"/>
        <w:spacing w:before="299" w:after="299" w:line="360" w:lineRule="auto"/>
        <w:rPr>
          <w:rFonts w:ascii="Arial" w:eastAsia="Arial" w:hAnsi="Arial" w:cs="Arial"/>
          <w:b/>
          <w:bCs/>
          <w:color w:val="auto"/>
          <w:sz w:val="22"/>
          <w:szCs w:val="22"/>
        </w:rPr>
      </w:pPr>
      <w:bookmarkStart w:id="2" w:name="_Toc448991778"/>
      <w:r w:rsidRPr="6B88FB60">
        <w:rPr>
          <w:rFonts w:ascii="Arial" w:eastAsia="Arial" w:hAnsi="Arial" w:cs="Arial"/>
          <w:b/>
          <w:bCs/>
          <w:color w:val="auto"/>
          <w:sz w:val="22"/>
          <w:szCs w:val="22"/>
        </w:rPr>
        <w:t>Definition and Analysis of Person-Centred Care</w:t>
      </w:r>
      <w:bookmarkEnd w:id="2"/>
    </w:p>
    <w:p w14:paraId="6CF7D6AD" w14:textId="1D49E619" w:rsidR="7920BA42" w:rsidRDefault="7920BA42"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The Health Foundation (2016) defines Person-Centred Care (PCC) as care that is ‘respectful of and responsive’ to what matters to patients, guiding professional decisions. In mental health services, this involves valuing lived experiences, supporting self-determination, and recognising how culture, identity, and personal history shape wellbeing (Slade, 2009). Lived experience is increasingly recognised as expertise, influencing recovery-oriented practice and co-production (Beresford, 2019).</w:t>
      </w:r>
    </w:p>
    <w:p w14:paraId="64F2646A" w14:textId="1450EBB9"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lastRenderedPageBreak/>
        <w:t xml:space="preserve">The benefits of PCC in mental health care </w:t>
      </w:r>
      <w:r w:rsidR="20E1093F" w:rsidRPr="6B88FB60">
        <w:rPr>
          <w:rFonts w:ascii="Arial" w:eastAsia="Arial" w:hAnsi="Arial" w:cs="Arial"/>
          <w:sz w:val="22"/>
          <w:szCs w:val="22"/>
        </w:rPr>
        <w:t xml:space="preserve">improve </w:t>
      </w:r>
      <w:r w:rsidRPr="6B88FB60">
        <w:rPr>
          <w:rFonts w:ascii="Arial" w:eastAsia="Arial" w:hAnsi="Arial" w:cs="Arial"/>
          <w:sz w:val="22"/>
          <w:szCs w:val="22"/>
        </w:rPr>
        <w:t>relationships, increase service-user satisfaction and improve engagement with treatment (Coulter and Oldham, 2016). When individuals feel listened to, respected and involved, they are more likely to participate actively in their recovery. PCC can also reduce coercion and promote empowerment</w:t>
      </w:r>
      <w:r w:rsidR="6404D6AE" w:rsidRPr="6B88FB60">
        <w:rPr>
          <w:rFonts w:ascii="Arial" w:eastAsia="Arial" w:hAnsi="Arial" w:cs="Arial"/>
          <w:sz w:val="22"/>
          <w:szCs w:val="22"/>
        </w:rPr>
        <w:t xml:space="preserve">, </w:t>
      </w:r>
      <w:r w:rsidRPr="6B88FB60">
        <w:rPr>
          <w:rFonts w:ascii="Arial" w:eastAsia="Arial" w:hAnsi="Arial" w:cs="Arial"/>
          <w:sz w:val="22"/>
          <w:szCs w:val="22"/>
        </w:rPr>
        <w:t>particularly important in mental health, where individuals may feel their autonomy is limited or overridden.</w:t>
      </w:r>
    </w:p>
    <w:p w14:paraId="7553B516" w14:textId="0486D0FB" w:rsidR="32560B0E" w:rsidRDefault="32560B0E"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Despite its strengths, PCC is not always easy to put into practice within mental health services. Many organisations struggle with limited staffing, long waiting lists and increasingly high caseloads, which means professionals often have less time for meaningful conversations or collaborative care planning with service users (Goodrich and Cornwell, 2008; CQC, 2020). These pressures can result in care that is more task-focused than person-focused, even when staff are committed to PCC in principle.</w:t>
      </w:r>
    </w:p>
    <w:p w14:paraId="5FD61F26" w14:textId="2C137D22" w:rsidR="7B748D03" w:rsidRDefault="7B748D03"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I</w:t>
      </w:r>
      <w:r w:rsidR="1CEB5590" w:rsidRPr="6B88FB60">
        <w:rPr>
          <w:rFonts w:ascii="Arial" w:eastAsia="Arial" w:hAnsi="Arial" w:cs="Arial"/>
          <w:sz w:val="22"/>
          <w:szCs w:val="22"/>
        </w:rPr>
        <w:t>n mental health, when someone experiencing psychosis refuses medication, clinicians may feel compelled to intervene for safety, highlighting the tension between promoting autonomy and protecting individuals from harm (Beauchamp and Childress, 2019). Risk management in these situations can therefore be challenging.</w:t>
      </w:r>
    </w:p>
    <w:p w14:paraId="26BA6630" w14:textId="4D620D7E" w:rsidR="32560B0E" w:rsidRDefault="32560B0E"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Another obstacle is </w:t>
      </w:r>
      <w:r w:rsidR="78668D8E" w:rsidRPr="6B88FB60">
        <w:rPr>
          <w:rFonts w:ascii="Arial" w:eastAsia="Arial" w:hAnsi="Arial" w:cs="Arial"/>
          <w:sz w:val="22"/>
          <w:szCs w:val="22"/>
        </w:rPr>
        <w:t>d</w:t>
      </w:r>
      <w:r w:rsidRPr="6B88FB60">
        <w:rPr>
          <w:rFonts w:ascii="Arial" w:eastAsia="Arial" w:hAnsi="Arial" w:cs="Arial"/>
          <w:sz w:val="22"/>
          <w:szCs w:val="22"/>
        </w:rPr>
        <w:t xml:space="preserve">ifferences in professional roles, resistance to cultural change and inconsistent understandings of what PCC </w:t>
      </w:r>
      <w:r w:rsidR="5C703FC7" w:rsidRPr="6B88FB60">
        <w:rPr>
          <w:rFonts w:ascii="Arial" w:eastAsia="Arial" w:hAnsi="Arial" w:cs="Arial"/>
          <w:sz w:val="22"/>
          <w:szCs w:val="22"/>
        </w:rPr>
        <w:t>looks</w:t>
      </w:r>
      <w:r w:rsidRPr="6B88FB60">
        <w:rPr>
          <w:rFonts w:ascii="Arial" w:eastAsia="Arial" w:hAnsi="Arial" w:cs="Arial"/>
          <w:sz w:val="22"/>
          <w:szCs w:val="22"/>
        </w:rPr>
        <w:t xml:space="preserve"> like in practice can all make implementation uneven (Dixon-Woods et al., 2014).</w:t>
      </w:r>
      <w:r w:rsidR="6505D668" w:rsidRPr="6B88FB60">
        <w:rPr>
          <w:rFonts w:ascii="Arial" w:eastAsia="Arial" w:hAnsi="Arial" w:cs="Arial"/>
          <w:sz w:val="22"/>
          <w:szCs w:val="22"/>
        </w:rPr>
        <w:t xml:space="preserve"> Delivering genuine PCC requires teams and systems that support shared decision-making and value service-user participation.</w:t>
      </w:r>
    </w:p>
    <w:p w14:paraId="37C78B44" w14:textId="73698125" w:rsidR="32560B0E" w:rsidRDefault="32560B0E"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As a result, even when PCC is a stated priority, achieving it consistently across mental health settings remains an ongoing challenge.</w:t>
      </w:r>
    </w:p>
    <w:p w14:paraId="43AC9CB7" w14:textId="5FCE20B5"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Despite these challenges, PCC remains a central goal of mental health services, emphasising the need for compassionate, collaborative and recovery-focused support.</w:t>
      </w:r>
    </w:p>
    <w:p w14:paraId="5CD20F6E" w14:textId="10B729D5" w:rsidR="211C674B" w:rsidRDefault="211C674B" w:rsidP="1DD394C8">
      <w:pPr>
        <w:pStyle w:val="Heading2"/>
        <w:spacing w:before="299" w:after="299" w:line="360" w:lineRule="auto"/>
        <w:rPr>
          <w:rFonts w:ascii="Arial" w:eastAsia="Arial" w:hAnsi="Arial" w:cs="Arial"/>
          <w:b/>
          <w:bCs/>
          <w:color w:val="auto"/>
          <w:sz w:val="22"/>
          <w:szCs w:val="22"/>
        </w:rPr>
      </w:pPr>
      <w:bookmarkStart w:id="3" w:name="_Toc1277688250"/>
      <w:r w:rsidRPr="6B88FB60">
        <w:rPr>
          <w:rFonts w:ascii="Arial" w:eastAsia="Arial" w:hAnsi="Arial" w:cs="Arial"/>
          <w:b/>
          <w:bCs/>
          <w:color w:val="auto"/>
          <w:sz w:val="22"/>
          <w:szCs w:val="22"/>
        </w:rPr>
        <w:t xml:space="preserve">Theoretical Foundations: Alderfer’s ERG Theory </w:t>
      </w:r>
      <w:r w:rsidR="3BFCF173" w:rsidRPr="6B88FB60">
        <w:rPr>
          <w:rFonts w:ascii="Arial" w:eastAsia="Arial" w:hAnsi="Arial" w:cs="Arial"/>
          <w:b/>
          <w:bCs/>
          <w:color w:val="auto"/>
          <w:sz w:val="22"/>
          <w:szCs w:val="22"/>
        </w:rPr>
        <w:t xml:space="preserve">(1969) </w:t>
      </w:r>
      <w:r w:rsidRPr="6B88FB60">
        <w:rPr>
          <w:rFonts w:ascii="Arial" w:eastAsia="Arial" w:hAnsi="Arial" w:cs="Arial"/>
          <w:b/>
          <w:bCs/>
          <w:color w:val="auto"/>
          <w:sz w:val="22"/>
          <w:szCs w:val="22"/>
        </w:rPr>
        <w:t>in Mental Health PCC</w:t>
      </w:r>
      <w:bookmarkEnd w:id="3"/>
    </w:p>
    <w:p w14:paraId="76663825" w14:textId="650D0F07" w:rsidR="788A2A8F" w:rsidRDefault="788A2A8F"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Alderfer’s ERG Theory (1969) builds on Maslow’s hierarchy, proposing three core needs: Existence, Relatedness, and Growth. Unlike Maslow, Alderfer suggests these needs can be pursued at the same time, and frustration in one area can shift focus to another. This flexibility makes the ERG model especially relevant to mental health services, where people’s needs often change with their emotions, environment, and support.</w:t>
      </w:r>
    </w:p>
    <w:p w14:paraId="0CA677D2" w14:textId="3F3A006E"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lastRenderedPageBreak/>
        <w:t>The Existence dimension relates to basic safety and wellbeing. In mental health settings, this may include access to stable housing, financial security, medication management and crisis support. PCC aligns with this need by ensuring individuals’ basic needs are recognised and addressed through personalised planning.</w:t>
      </w:r>
    </w:p>
    <w:p w14:paraId="50CB6C44" w14:textId="5BB8641E"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The Relatedness dimension concerns relationships and social belonging. Therapeutic alliances, peer support groups and collaborative care planning all contribute to relatedness. PCC emphasises listening, empathy and mutual trust, which reinforces the importance of meaningful relationships for recovery</w:t>
      </w:r>
      <w:r w:rsidR="10208610" w:rsidRPr="6B88FB60">
        <w:rPr>
          <w:rFonts w:ascii="Arial" w:eastAsia="Arial" w:hAnsi="Arial" w:cs="Arial"/>
          <w:sz w:val="22"/>
          <w:szCs w:val="22"/>
        </w:rPr>
        <w:t>.</w:t>
      </w:r>
    </w:p>
    <w:p w14:paraId="179CB89B" w14:textId="0EF6E0CF"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The Growth dimension reflects personal development, autonomy and self-actualisation. Recovery-focused approaches in mental health</w:t>
      </w:r>
      <w:r w:rsidR="34CE014A" w:rsidRPr="6B88FB60">
        <w:rPr>
          <w:rFonts w:ascii="Arial" w:eastAsia="Arial" w:hAnsi="Arial" w:cs="Arial"/>
          <w:sz w:val="22"/>
          <w:szCs w:val="22"/>
        </w:rPr>
        <w:t xml:space="preserve">, </w:t>
      </w:r>
      <w:r w:rsidRPr="6B88FB60">
        <w:rPr>
          <w:rFonts w:ascii="Arial" w:eastAsia="Arial" w:hAnsi="Arial" w:cs="Arial"/>
          <w:sz w:val="22"/>
          <w:szCs w:val="22"/>
        </w:rPr>
        <w:t xml:space="preserve">such as </w:t>
      </w:r>
      <w:proofErr w:type="gramStart"/>
      <w:r w:rsidRPr="6B88FB60">
        <w:rPr>
          <w:rFonts w:ascii="Arial" w:eastAsia="Arial" w:hAnsi="Arial" w:cs="Arial"/>
          <w:sz w:val="22"/>
          <w:szCs w:val="22"/>
        </w:rPr>
        <w:t>goal-setting</w:t>
      </w:r>
      <w:proofErr w:type="gramEnd"/>
      <w:r w:rsidRPr="6B88FB60">
        <w:rPr>
          <w:rFonts w:ascii="Arial" w:eastAsia="Arial" w:hAnsi="Arial" w:cs="Arial"/>
          <w:sz w:val="22"/>
          <w:szCs w:val="22"/>
        </w:rPr>
        <w:t>, self-management and strengths-based practice</w:t>
      </w:r>
      <w:r w:rsidR="68D0C4B3" w:rsidRPr="6B88FB60">
        <w:rPr>
          <w:rFonts w:ascii="Arial" w:eastAsia="Arial" w:hAnsi="Arial" w:cs="Arial"/>
          <w:sz w:val="22"/>
          <w:szCs w:val="22"/>
        </w:rPr>
        <w:t xml:space="preserve"> </w:t>
      </w:r>
      <w:r w:rsidRPr="6B88FB60">
        <w:rPr>
          <w:rFonts w:ascii="Arial" w:eastAsia="Arial" w:hAnsi="Arial" w:cs="Arial"/>
          <w:sz w:val="22"/>
          <w:szCs w:val="22"/>
        </w:rPr>
        <w:t>support individuals in achieving personal growth. PCC encourages autonomy, choice and empowerment, reinforcing this developmental need.</w:t>
      </w:r>
    </w:p>
    <w:p w14:paraId="36825812" w14:textId="21AB5D9F"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The strength of Alderfer’s ERG Theory</w:t>
      </w:r>
      <w:r w:rsidR="5B3DC18F" w:rsidRPr="6B88FB60">
        <w:rPr>
          <w:rFonts w:ascii="Arial" w:eastAsia="Arial" w:hAnsi="Arial" w:cs="Arial"/>
          <w:sz w:val="22"/>
          <w:szCs w:val="22"/>
        </w:rPr>
        <w:t xml:space="preserve"> (1969),</w:t>
      </w:r>
      <w:r w:rsidRPr="6B88FB60">
        <w:rPr>
          <w:rFonts w:ascii="Arial" w:eastAsia="Arial" w:hAnsi="Arial" w:cs="Arial"/>
          <w:sz w:val="22"/>
          <w:szCs w:val="22"/>
        </w:rPr>
        <w:t xml:space="preserve"> is that it recognises how setbacks in one area of life may intensify needs in another. For example, a service user experiencing an acute depressive episode may temporarily prioritise existence needs (medication, crisis support) while stepping back from growth-oriented activities. PCC acknowledges these fluctuating needs by adapting care plans to each person’s circumstances. The theory therefore supports a dynamic understanding of motivation, enabling mental health practitioners to tailor interventions more effectively.</w:t>
      </w:r>
    </w:p>
    <w:p w14:paraId="661F7781" w14:textId="51F09614" w:rsidR="211C674B" w:rsidRDefault="211C674B" w:rsidP="1DD394C8">
      <w:pPr>
        <w:pStyle w:val="Heading2"/>
        <w:spacing w:before="299" w:after="299" w:line="360" w:lineRule="auto"/>
        <w:rPr>
          <w:rFonts w:ascii="Arial" w:eastAsia="Arial" w:hAnsi="Arial" w:cs="Arial"/>
          <w:b/>
          <w:bCs/>
          <w:color w:val="auto"/>
          <w:sz w:val="22"/>
          <w:szCs w:val="22"/>
        </w:rPr>
      </w:pPr>
      <w:bookmarkStart w:id="4" w:name="_Toc1589698279"/>
      <w:r w:rsidRPr="6B88FB60">
        <w:rPr>
          <w:rFonts w:ascii="Arial" w:eastAsia="Arial" w:hAnsi="Arial" w:cs="Arial"/>
          <w:b/>
          <w:bCs/>
          <w:color w:val="auto"/>
          <w:sz w:val="22"/>
          <w:szCs w:val="22"/>
        </w:rPr>
        <w:t>Ethical Fundamentals in Mental Health PCC and PW</w:t>
      </w:r>
      <w:bookmarkEnd w:id="4"/>
    </w:p>
    <w:p w14:paraId="7AC8D450" w14:textId="4C077C9F" w:rsidR="3EAA0A08" w:rsidRDefault="3EAA0A08"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Ethical principles are central to delivering Person-Centred Care (PCC) and effective Partnership Working (PW) in mental health services. The four core principles of biomedical ethics</w:t>
      </w:r>
      <w:r w:rsidR="3F42BD43" w:rsidRPr="6B88FB60">
        <w:rPr>
          <w:rFonts w:ascii="Arial" w:eastAsia="Arial" w:hAnsi="Arial" w:cs="Arial"/>
          <w:sz w:val="22"/>
          <w:szCs w:val="22"/>
        </w:rPr>
        <w:t xml:space="preserve">, </w:t>
      </w:r>
      <w:r w:rsidRPr="6B88FB60">
        <w:rPr>
          <w:rFonts w:ascii="Arial" w:eastAsia="Arial" w:hAnsi="Arial" w:cs="Arial"/>
          <w:sz w:val="22"/>
          <w:szCs w:val="22"/>
        </w:rPr>
        <w:t>autonomy, beneficence, non-maleficence and justice</w:t>
      </w:r>
      <w:r w:rsidR="3CE735C5" w:rsidRPr="6B88FB60">
        <w:rPr>
          <w:rFonts w:ascii="Arial" w:eastAsia="Arial" w:hAnsi="Arial" w:cs="Arial"/>
          <w:sz w:val="22"/>
          <w:szCs w:val="22"/>
        </w:rPr>
        <w:t xml:space="preserve">, </w:t>
      </w:r>
      <w:r w:rsidRPr="6B88FB60">
        <w:rPr>
          <w:rFonts w:ascii="Arial" w:eastAsia="Arial" w:hAnsi="Arial" w:cs="Arial"/>
          <w:sz w:val="22"/>
          <w:szCs w:val="22"/>
        </w:rPr>
        <w:t xml:space="preserve">provide a useful framework for examining the ethical challenges that arise in this context (Beauchamp and Childress, 2019). </w:t>
      </w:r>
      <w:r w:rsidR="7AA86938" w:rsidRPr="6B88FB60">
        <w:rPr>
          <w:rFonts w:ascii="Arial" w:eastAsia="Arial" w:hAnsi="Arial" w:cs="Arial"/>
          <w:sz w:val="22"/>
          <w:szCs w:val="22"/>
        </w:rPr>
        <w:t>Recognising individuals’ needs for existence, relatedness, and growth helps practitioners align ethical practice with strategies that support engagement, collaboration, and personal development (Alderfer, 1972).</w:t>
      </w:r>
    </w:p>
    <w:p w14:paraId="689E06BE" w14:textId="76AE7457" w:rsidR="3EAA0A08" w:rsidRDefault="3EAA0A08"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Autonomy is particularly central to PCC, as it affirms individuals’ rights to make informed choices about their care. In mental health services, supporting autonomy can be complex, as capacity and insight may fluctuate depending on the condition. For example, a person </w:t>
      </w:r>
      <w:r w:rsidRPr="6B88FB60">
        <w:rPr>
          <w:rFonts w:ascii="Arial" w:eastAsia="Arial" w:hAnsi="Arial" w:cs="Arial"/>
          <w:sz w:val="22"/>
          <w:szCs w:val="22"/>
        </w:rPr>
        <w:lastRenderedPageBreak/>
        <w:t xml:space="preserve">experiencing mania may refuse hospital admission despite being at risk of self-harm or harm to others. In such cases, autonomy may </w:t>
      </w:r>
      <w:r w:rsidR="5E38FF1E" w:rsidRPr="6B88FB60">
        <w:rPr>
          <w:rFonts w:ascii="Arial" w:eastAsia="Arial" w:hAnsi="Arial" w:cs="Arial"/>
          <w:sz w:val="22"/>
          <w:szCs w:val="22"/>
        </w:rPr>
        <w:t>be tense with beneficence, the duty to act in the individual’s best interest and non-maleficence, which requires practitioners to avoid harm (Stanhope et al</w:t>
      </w:r>
      <w:r w:rsidRPr="6B88FB60">
        <w:rPr>
          <w:rFonts w:ascii="Arial" w:eastAsia="Arial" w:hAnsi="Arial" w:cs="Arial"/>
          <w:sz w:val="22"/>
          <w:szCs w:val="22"/>
        </w:rPr>
        <w:t>, 2013)</w:t>
      </w:r>
      <w:r w:rsidR="4466130E" w:rsidRPr="6B88FB60">
        <w:rPr>
          <w:rFonts w:ascii="Arial" w:eastAsia="Arial" w:hAnsi="Arial" w:cs="Arial"/>
          <w:sz w:val="22"/>
          <w:szCs w:val="22"/>
        </w:rPr>
        <w:t xml:space="preserve">. </w:t>
      </w:r>
    </w:p>
    <w:p w14:paraId="36310910" w14:textId="267CE0BA" w:rsidR="3EAA0A08" w:rsidRDefault="3EAA0A08"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Justice is another key ethical principle, ensuring fairness and equality in mental health care. Individuals from marginalised groups, including ethnic minorities and LGBTQ+ populations, often experience disproportionate stigma, poorer access to services and lower quality care (Equality Act, 2010</w:t>
      </w:r>
      <w:r w:rsidR="1719D2AD" w:rsidRPr="6B88FB60">
        <w:rPr>
          <w:rFonts w:ascii="Arial" w:eastAsia="Arial" w:hAnsi="Arial" w:cs="Arial"/>
          <w:sz w:val="22"/>
          <w:szCs w:val="22"/>
        </w:rPr>
        <w:t>)</w:t>
      </w:r>
      <w:r w:rsidRPr="6B88FB60">
        <w:rPr>
          <w:rFonts w:ascii="Arial" w:eastAsia="Arial" w:hAnsi="Arial" w:cs="Arial"/>
          <w:sz w:val="22"/>
          <w:szCs w:val="22"/>
        </w:rPr>
        <w:t>. Culturally competent PCC is therefore essential</w:t>
      </w:r>
      <w:r w:rsidR="3D574507" w:rsidRPr="6B88FB60">
        <w:rPr>
          <w:rFonts w:ascii="Arial" w:eastAsia="Arial" w:hAnsi="Arial" w:cs="Arial"/>
          <w:sz w:val="22"/>
          <w:szCs w:val="22"/>
        </w:rPr>
        <w:t xml:space="preserve">. </w:t>
      </w:r>
      <w:r w:rsidRPr="6B88FB60">
        <w:rPr>
          <w:rFonts w:ascii="Arial" w:eastAsia="Arial" w:hAnsi="Arial" w:cs="Arial"/>
          <w:sz w:val="22"/>
          <w:szCs w:val="22"/>
        </w:rPr>
        <w:t>In practice, this means actively recognising systemic inequalities and working to reduce barriers to participation and treatment.</w:t>
      </w:r>
    </w:p>
    <w:p w14:paraId="23E29665" w14:textId="507BCA81" w:rsidR="3EAA0A08" w:rsidRDefault="3EAA0A08"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Partnership working complements ethical practice by creating a framework for collaborative, transparent and accountable decision-making. In mental health services, PW brings together service users, carers, clinicians and other professionals to jointly plan and deliver care, which supports both autonomy and relatedness needs within Alderfer’s ERG model</w:t>
      </w:r>
      <w:r w:rsidR="3AD66CEA" w:rsidRPr="6B88FB60">
        <w:rPr>
          <w:rFonts w:ascii="Arial" w:eastAsia="Arial" w:hAnsi="Arial" w:cs="Arial"/>
          <w:sz w:val="22"/>
          <w:szCs w:val="22"/>
        </w:rPr>
        <w:t xml:space="preserve"> (1969)</w:t>
      </w:r>
      <w:r w:rsidRPr="6B88FB60">
        <w:rPr>
          <w:rFonts w:ascii="Arial" w:eastAsia="Arial" w:hAnsi="Arial" w:cs="Arial"/>
          <w:sz w:val="22"/>
          <w:szCs w:val="22"/>
        </w:rPr>
        <w:t>. Effective PW relies on clear communication, respect for confidentiality and careful balancing of individual rights with collective safety (Glasby and Dickinson, 2014).</w:t>
      </w:r>
    </w:p>
    <w:p w14:paraId="2EC27ABD" w14:textId="521C668F" w:rsidR="3EAA0A08" w:rsidRDefault="3EAA0A08"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By combining ethical principles with an understanding of human motivation, mental health services can deliver care that is both principled and practical, empowering individuals while maintaining safety, fairness and collaboration.</w:t>
      </w:r>
    </w:p>
    <w:p w14:paraId="07E4FAAC" w14:textId="7E432AAC" w:rsidR="211C674B" w:rsidRDefault="211C674B" w:rsidP="1DD394C8">
      <w:pPr>
        <w:pStyle w:val="Heading2"/>
        <w:spacing w:before="299" w:after="299" w:line="360" w:lineRule="auto"/>
        <w:rPr>
          <w:rFonts w:ascii="Arial" w:eastAsia="Arial" w:hAnsi="Arial" w:cs="Arial"/>
          <w:b/>
          <w:bCs/>
          <w:color w:val="auto"/>
          <w:sz w:val="22"/>
          <w:szCs w:val="22"/>
        </w:rPr>
      </w:pPr>
      <w:bookmarkStart w:id="5" w:name="_Toc1873454092"/>
      <w:r w:rsidRPr="6B88FB60">
        <w:rPr>
          <w:rFonts w:ascii="Arial" w:eastAsia="Arial" w:hAnsi="Arial" w:cs="Arial"/>
          <w:b/>
          <w:bCs/>
          <w:color w:val="auto"/>
          <w:sz w:val="22"/>
          <w:szCs w:val="22"/>
        </w:rPr>
        <w:t>Evaluation of Partnership Working in Mental Health Services</w:t>
      </w:r>
      <w:bookmarkEnd w:id="5"/>
    </w:p>
    <w:p w14:paraId="50DC780A" w14:textId="37893967"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Partnership working refers to collaboration between professionals, organisations, service users and families to deliver coordinated and integrated care. In the UK, PW has been strengthened through policy developments such as Integrated Care Systems (ICS), which aim to bring together NHS, social care and voluntary-sector organisations to improve population health.</w:t>
      </w:r>
    </w:p>
    <w:p w14:paraId="3BA2A4F8" w14:textId="5EF4EEBC"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In mental health services, PW is crucial for providing recovery-focused support. Collaboration between psychiatrists, nurses, social workers, psychologists, peer support workers, GPs and voluntary agencies ensures that no single organisation holds all responsibility. The benefits include improved continuity of care, faster referral pathways, reduced hospital admissions and better alignment between physical and mental health services (Glasby and Dickinson, 2014). </w:t>
      </w:r>
      <w:r w:rsidRPr="6B88FB60">
        <w:rPr>
          <w:rFonts w:ascii="Arial" w:eastAsia="Arial" w:hAnsi="Arial" w:cs="Arial"/>
          <w:sz w:val="22"/>
          <w:szCs w:val="22"/>
        </w:rPr>
        <w:lastRenderedPageBreak/>
        <w:t>For service users, PW can enhance empowerment and trust, as multiple perspectives contribute to shared decision-making.</w:t>
      </w:r>
    </w:p>
    <w:p w14:paraId="005D0064" w14:textId="74C138FF" w:rsidR="383E4882" w:rsidRDefault="383E4882"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Partnership working, while valuable, can be challenging in mental health services due to differences in professional priorities and approaches. For instance, psychiatrists may focus primarily on symptom management and medication adherence, whereas social workers or occupational therapists may prioritise social inclusion, community support, or long-term recovery goals (Moran et al., 2013). These differing priorities can create tension within multidisciplinary teams and slow decision-making. </w:t>
      </w:r>
    </w:p>
    <w:p w14:paraId="5996FF19" w14:textId="0B1FBD56" w:rsidR="383E4882" w:rsidRDefault="383E4882"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Risk-averse cultures in mental health services can exacerbate these conflicts, as some professionals may be reluctant to support innovative or recovery-focused approaches that carry perceived risks, even if these align with service users’ preferences (Glasby and Dickinson, 2014). High caseloads and limited time for joint planning further reduce opportunities for true collaborative decision-making, leaving service users caught between competing professional perspectives.</w:t>
      </w:r>
    </w:p>
    <w:p w14:paraId="6FCAC50C" w14:textId="40B99CC9"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Despite these barriers, PW remains essential for effective mental health care. When done well, it enhances therapeutic relationships, improves crisis responses and supports long-term recovery.</w:t>
      </w:r>
    </w:p>
    <w:p w14:paraId="512886AE" w14:textId="5E7B7A0D" w:rsidR="211C674B" w:rsidRDefault="211C674B" w:rsidP="1DD394C8">
      <w:pPr>
        <w:pStyle w:val="Heading2"/>
        <w:spacing w:before="299" w:after="299" w:line="360" w:lineRule="auto"/>
        <w:rPr>
          <w:rFonts w:ascii="Arial" w:eastAsia="Arial" w:hAnsi="Arial" w:cs="Arial"/>
          <w:b/>
          <w:bCs/>
          <w:color w:val="auto"/>
          <w:sz w:val="22"/>
          <w:szCs w:val="22"/>
        </w:rPr>
      </w:pPr>
      <w:bookmarkStart w:id="6" w:name="_Toc464264273"/>
      <w:r w:rsidRPr="6B88FB60">
        <w:rPr>
          <w:rFonts w:ascii="Arial" w:eastAsia="Arial" w:hAnsi="Arial" w:cs="Arial"/>
          <w:b/>
          <w:bCs/>
          <w:color w:val="auto"/>
          <w:sz w:val="22"/>
          <w:szCs w:val="22"/>
        </w:rPr>
        <w:t>Policy and Legislation Influencing PCC and PW</w:t>
      </w:r>
      <w:bookmarkEnd w:id="6"/>
    </w:p>
    <w:p w14:paraId="4246D342" w14:textId="73C5DB98"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A range of UK policies and legislation influence how PCC and PW are delivered in mental health services. The Mental Health Act 1983 (amended</w:t>
      </w:r>
      <w:r w:rsidR="072FFA5B" w:rsidRPr="6B88FB60">
        <w:rPr>
          <w:rFonts w:ascii="Arial" w:eastAsia="Arial" w:hAnsi="Arial" w:cs="Arial"/>
          <w:sz w:val="22"/>
          <w:szCs w:val="22"/>
        </w:rPr>
        <w:t xml:space="preserve"> in</w:t>
      </w:r>
      <w:r w:rsidRPr="6B88FB60">
        <w:rPr>
          <w:rFonts w:ascii="Arial" w:eastAsia="Arial" w:hAnsi="Arial" w:cs="Arial"/>
          <w:sz w:val="22"/>
          <w:szCs w:val="22"/>
        </w:rPr>
        <w:t xml:space="preserve"> 2007) plays a significant role by providing the legal framework for compulsory treatment. While sometimes necessary for safety, compulsory powers can conflict with PCC principles. Current proposals for reform aim to strengthen patient choice, reduce detention and improve cultural fairness.</w:t>
      </w:r>
    </w:p>
    <w:p w14:paraId="4B440F4F" w14:textId="6E3AD0E1"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The Care Act 2014 promotes wellbeing, personalisation and multi-agency cooperation, supporting the principles of PCC and PW. It requires local authorities to involve individuals in assessments and support planning and emphasises prevention and early intervention.</w:t>
      </w:r>
    </w:p>
    <w:p w14:paraId="08D375D4" w14:textId="1ADAE6D2"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The Health and Care Act 2022 established Integrated Care Systems, designed to improve partnership working across health and social care. These systems are particularly important in </w:t>
      </w:r>
      <w:r w:rsidRPr="6B88FB60">
        <w:rPr>
          <w:rFonts w:ascii="Arial" w:eastAsia="Arial" w:hAnsi="Arial" w:cs="Arial"/>
          <w:sz w:val="22"/>
          <w:szCs w:val="22"/>
        </w:rPr>
        <w:lastRenderedPageBreak/>
        <w:t>mental health, as they support collaborative crisis responses, community mental health reforms and coordinated physical health checks for people with severe mental illness.</w:t>
      </w:r>
    </w:p>
    <w:p w14:paraId="5BD4101B" w14:textId="6574AA67"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The Equality Act 2010 protects individuals against discrimination, which is vital in mental health where stigma remains widespread. The Human Rights Act 1998 also influences practice by ensuring respect for liberty, privacy and family life</w:t>
      </w:r>
      <w:r w:rsidR="2AD3E559" w:rsidRPr="6B88FB60">
        <w:rPr>
          <w:rFonts w:ascii="Arial" w:eastAsia="Arial" w:hAnsi="Arial" w:cs="Arial"/>
          <w:sz w:val="22"/>
          <w:szCs w:val="22"/>
        </w:rPr>
        <w:t xml:space="preserve">, </w:t>
      </w:r>
      <w:r w:rsidRPr="6B88FB60">
        <w:rPr>
          <w:rFonts w:ascii="Arial" w:eastAsia="Arial" w:hAnsi="Arial" w:cs="Arial"/>
          <w:sz w:val="22"/>
          <w:szCs w:val="22"/>
        </w:rPr>
        <w:t>key considerations in compulsory treatment or safeguarding cases.</w:t>
      </w:r>
    </w:p>
    <w:p w14:paraId="53570151" w14:textId="62BA4430" w:rsidR="211C674B" w:rsidRDefault="211C674B"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Policy and legislation shape mental health services profoundly. For instance, legal requirements to involve service users in care planning directly support PCC, while multi-agency safeguarding duties strengthen PW. However, policies can also hinder PCC</w:t>
      </w:r>
      <w:r w:rsidR="7B56D8AB" w:rsidRPr="6B88FB60">
        <w:rPr>
          <w:rFonts w:ascii="Arial" w:eastAsia="Arial" w:hAnsi="Arial" w:cs="Arial"/>
          <w:sz w:val="22"/>
          <w:szCs w:val="22"/>
        </w:rPr>
        <w:t xml:space="preserve">, </w:t>
      </w:r>
      <w:r w:rsidRPr="6B88FB60">
        <w:rPr>
          <w:rFonts w:ascii="Arial" w:eastAsia="Arial" w:hAnsi="Arial" w:cs="Arial"/>
          <w:sz w:val="22"/>
          <w:szCs w:val="22"/>
        </w:rPr>
        <w:t xml:space="preserve">for example, pressure on crisis services </w:t>
      </w:r>
      <w:r w:rsidR="7FFCA2AA" w:rsidRPr="6B88FB60">
        <w:rPr>
          <w:rFonts w:ascii="Arial" w:eastAsia="Arial" w:hAnsi="Arial" w:cs="Arial"/>
          <w:sz w:val="22"/>
          <w:szCs w:val="22"/>
        </w:rPr>
        <w:t>and</w:t>
      </w:r>
      <w:r w:rsidRPr="6B88FB60">
        <w:rPr>
          <w:rFonts w:ascii="Arial" w:eastAsia="Arial" w:hAnsi="Arial" w:cs="Arial"/>
          <w:sz w:val="22"/>
          <w:szCs w:val="22"/>
        </w:rPr>
        <w:t xml:space="preserve"> legal restrictions limiting autonomy. Understanding these influences is essential for delivering ethical and effective care.</w:t>
      </w:r>
    </w:p>
    <w:p w14:paraId="376CA17F" w14:textId="407B777C" w:rsidR="211C674B" w:rsidRDefault="211C674B" w:rsidP="6B88FB60">
      <w:pPr>
        <w:pStyle w:val="Heading2"/>
        <w:spacing w:before="299" w:after="299" w:line="360" w:lineRule="auto"/>
        <w:rPr>
          <w:rFonts w:ascii="Arial" w:eastAsia="Arial" w:hAnsi="Arial" w:cs="Arial"/>
          <w:b/>
          <w:bCs/>
          <w:color w:val="auto"/>
          <w:sz w:val="22"/>
          <w:szCs w:val="22"/>
        </w:rPr>
      </w:pPr>
      <w:bookmarkStart w:id="7" w:name="_Toc357757652"/>
      <w:r w:rsidRPr="6B88FB60">
        <w:rPr>
          <w:rFonts w:ascii="Arial" w:eastAsia="Arial" w:hAnsi="Arial" w:cs="Arial"/>
          <w:b/>
          <w:bCs/>
          <w:color w:val="auto"/>
          <w:sz w:val="22"/>
          <w:szCs w:val="22"/>
        </w:rPr>
        <w:t>Recommendations</w:t>
      </w:r>
      <w:bookmarkEnd w:id="7"/>
    </w:p>
    <w:p w14:paraId="2A33DF61" w14:textId="4E115DE0" w:rsidR="09D34C13" w:rsidRDefault="09D34C13"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Improving mental health services requires a stronger, more consistent commitment to PCC and PW. Although these principles feature in national policy, research shows they are often poorly implemented, resulting in limited patient involvement and inconsistent collaboration (Care Quality Commission, 2020). Strengthening policy and organisational culture is therefore essential to embedding PCC and PW across services.</w:t>
      </w:r>
    </w:p>
    <w:p w14:paraId="67717761" w14:textId="6F4E1304" w:rsidR="34596827" w:rsidRDefault="34596827"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One key recommendation is the wider adoption of advance choice documents (ACDs). Evidence from Stephenson et al. (2022), who piloted ACDs with service users and clinicians across five iterative development cycles, shows that ACDs improve communication, clarify patient preferences, and support collaborative planning during mental health crises</w:t>
      </w:r>
      <w:r w:rsidR="6BDFE571" w:rsidRPr="6B88FB60">
        <w:rPr>
          <w:rFonts w:ascii="Arial" w:eastAsia="Arial" w:hAnsi="Arial" w:cs="Arial"/>
          <w:sz w:val="22"/>
          <w:szCs w:val="22"/>
        </w:rPr>
        <w:t xml:space="preserve">. </w:t>
      </w:r>
      <w:r w:rsidRPr="6B88FB60">
        <w:rPr>
          <w:rFonts w:ascii="Arial" w:eastAsia="Arial" w:hAnsi="Arial" w:cs="Arial"/>
          <w:sz w:val="22"/>
          <w:szCs w:val="22"/>
        </w:rPr>
        <w:t xml:space="preserve">This demonstrates that formal mechanisms for patient involvement strengthen partnership working </w:t>
      </w:r>
      <w:r w:rsidR="58BA73A6" w:rsidRPr="6B88FB60">
        <w:rPr>
          <w:rFonts w:ascii="Arial" w:eastAsia="Arial" w:hAnsi="Arial" w:cs="Arial"/>
          <w:sz w:val="22"/>
          <w:szCs w:val="22"/>
        </w:rPr>
        <w:t>and</w:t>
      </w:r>
      <w:r w:rsidRPr="6B88FB60">
        <w:rPr>
          <w:rFonts w:ascii="Arial" w:eastAsia="Arial" w:hAnsi="Arial" w:cs="Arial"/>
          <w:sz w:val="22"/>
          <w:szCs w:val="22"/>
        </w:rPr>
        <w:t xml:space="preserve"> reduce reliance on restrictive interventions.</w:t>
      </w:r>
      <w:r w:rsidR="46F76000" w:rsidRPr="6B88FB60">
        <w:rPr>
          <w:rFonts w:ascii="Arial" w:eastAsia="Arial" w:hAnsi="Arial" w:cs="Arial"/>
          <w:sz w:val="22"/>
          <w:szCs w:val="22"/>
        </w:rPr>
        <w:t xml:space="preserve"> </w:t>
      </w:r>
      <w:r w:rsidR="1A9ABA93" w:rsidRPr="6B88FB60">
        <w:rPr>
          <w:rFonts w:ascii="Arial" w:eastAsia="Arial" w:hAnsi="Arial" w:cs="Arial"/>
          <w:sz w:val="22"/>
          <w:szCs w:val="22"/>
        </w:rPr>
        <w:t>ACDs in the Mental Health Act and training clinicians to use them would promote rights-based, personal-centred</w:t>
      </w:r>
      <w:r w:rsidR="46F76000" w:rsidRPr="6B88FB60">
        <w:rPr>
          <w:rFonts w:ascii="Arial" w:eastAsia="Arial" w:hAnsi="Arial" w:cs="Arial"/>
          <w:sz w:val="22"/>
          <w:szCs w:val="22"/>
        </w:rPr>
        <w:t xml:space="preserve"> care.</w:t>
      </w:r>
    </w:p>
    <w:p w14:paraId="5A199B17" w14:textId="75EC1CAB" w:rsidR="3CA7391C" w:rsidRDefault="3CA7391C"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Next, recommendation is expanding mental health services to provide care environments more aligned with collaborative, person-centred practice. Ridley et al</w:t>
      </w:r>
      <w:r w:rsidR="58033286" w:rsidRPr="6B88FB60">
        <w:rPr>
          <w:rFonts w:ascii="Arial" w:eastAsia="Arial" w:hAnsi="Arial" w:cs="Arial"/>
          <w:sz w:val="22"/>
          <w:szCs w:val="22"/>
        </w:rPr>
        <w:t>,</w:t>
      </w:r>
      <w:r w:rsidRPr="6B88FB60">
        <w:rPr>
          <w:rFonts w:ascii="Arial" w:eastAsia="Arial" w:hAnsi="Arial" w:cs="Arial"/>
          <w:sz w:val="22"/>
          <w:szCs w:val="22"/>
        </w:rPr>
        <w:t xml:space="preserve"> (2021) </w:t>
      </w:r>
      <w:r w:rsidR="44F03740" w:rsidRPr="6B88FB60">
        <w:rPr>
          <w:rFonts w:ascii="Arial" w:eastAsia="Arial" w:hAnsi="Arial" w:cs="Arial"/>
          <w:sz w:val="22"/>
          <w:szCs w:val="22"/>
        </w:rPr>
        <w:t>demonstrates that when assessment teams have access to crisis houses and intensive home treatment, compulsory detention rates decrease</w:t>
      </w:r>
      <w:r w:rsidRPr="6B88FB60">
        <w:rPr>
          <w:rFonts w:ascii="Arial" w:eastAsia="Arial" w:hAnsi="Arial" w:cs="Arial"/>
          <w:sz w:val="22"/>
          <w:szCs w:val="22"/>
        </w:rPr>
        <w:t xml:space="preserve"> significantly. These services offer greater continuity, calmer settings, and more flexible support than inpatient wards, allowing service users more choice and involvement, key aspects of PCC and PW. Expanding these community options, alongside </w:t>
      </w:r>
      <w:r w:rsidRPr="6B88FB60">
        <w:rPr>
          <w:rFonts w:ascii="Arial" w:eastAsia="Arial" w:hAnsi="Arial" w:cs="Arial"/>
          <w:sz w:val="22"/>
          <w:szCs w:val="22"/>
        </w:rPr>
        <w:lastRenderedPageBreak/>
        <w:t>strengthening the Mental Health Professional workforce, would help professionals identify alternatives to hospital admission and support collaborative decision-making during crises.</w:t>
      </w:r>
    </w:p>
    <w:p w14:paraId="6727180E" w14:textId="64F6B984" w:rsidR="34596827" w:rsidRDefault="34596827"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In summary, improving mental health services requires policy reform that strengthens structured patient involvement (such as ACDs), investment in community alternatives that support collaborative care, and sustained cultural change that </w:t>
      </w:r>
      <w:r w:rsidR="3E4ADECA" w:rsidRPr="6B88FB60">
        <w:rPr>
          <w:rFonts w:ascii="Arial" w:eastAsia="Arial" w:hAnsi="Arial" w:cs="Arial"/>
          <w:sz w:val="22"/>
          <w:szCs w:val="22"/>
        </w:rPr>
        <w:t>set</w:t>
      </w:r>
      <w:r w:rsidRPr="6B88FB60">
        <w:rPr>
          <w:rFonts w:ascii="Arial" w:eastAsia="Arial" w:hAnsi="Arial" w:cs="Arial"/>
          <w:sz w:val="22"/>
          <w:szCs w:val="22"/>
        </w:rPr>
        <w:t>s PCC and PW at every level of the service. Together, these evidence-based measures offer a pathway to more consistent, less coercive, and genuinely person-centred mental health support.</w:t>
      </w:r>
    </w:p>
    <w:p w14:paraId="3C96BECE" w14:textId="5AC581E8" w:rsidR="211C674B" w:rsidRDefault="211C674B" w:rsidP="1DD394C8">
      <w:pPr>
        <w:pStyle w:val="Heading2"/>
        <w:spacing w:before="299" w:after="299" w:line="360" w:lineRule="auto"/>
        <w:rPr>
          <w:rFonts w:ascii="Arial" w:eastAsia="Arial" w:hAnsi="Arial" w:cs="Arial"/>
          <w:b/>
          <w:bCs/>
          <w:color w:val="auto"/>
          <w:sz w:val="22"/>
          <w:szCs w:val="22"/>
        </w:rPr>
      </w:pPr>
      <w:bookmarkStart w:id="8" w:name="_Toc419430305"/>
      <w:r w:rsidRPr="6B88FB60">
        <w:rPr>
          <w:rFonts w:ascii="Arial" w:eastAsia="Arial" w:hAnsi="Arial" w:cs="Arial"/>
          <w:b/>
          <w:bCs/>
          <w:color w:val="auto"/>
          <w:sz w:val="22"/>
          <w:szCs w:val="22"/>
        </w:rPr>
        <w:t>Conclusion</w:t>
      </w:r>
      <w:bookmarkEnd w:id="8"/>
    </w:p>
    <w:p w14:paraId="3BA9822F" w14:textId="729BF270" w:rsidR="5F34B306" w:rsidRDefault="5F34B306"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In conclusion, Person-Centred Care and Partnership Working are crucial for providing effective and compassionate mental health services in the UK. </w:t>
      </w:r>
      <w:r w:rsidR="161FAF09" w:rsidRPr="6B88FB60">
        <w:rPr>
          <w:rFonts w:ascii="Arial" w:eastAsia="Arial" w:hAnsi="Arial" w:cs="Arial"/>
          <w:sz w:val="22"/>
          <w:szCs w:val="22"/>
        </w:rPr>
        <w:t>The report shows that PCC and PW in mental health are ongoing processes, where thoughtful, and collaborative approaches can greatly improve the experiences and outcomes for people using these services.</w:t>
      </w:r>
    </w:p>
    <w:p w14:paraId="096834EB" w14:textId="2CADC865" w:rsidR="161FAF09" w:rsidRDefault="58E29EC6" w:rsidP="1DD394C8">
      <w:pPr>
        <w:spacing w:before="240" w:after="240" w:line="360" w:lineRule="auto"/>
        <w:rPr>
          <w:rFonts w:ascii="Arial" w:eastAsia="Arial" w:hAnsi="Arial" w:cs="Arial"/>
          <w:sz w:val="22"/>
          <w:szCs w:val="22"/>
        </w:rPr>
      </w:pPr>
      <w:r w:rsidRPr="6B88FB60">
        <w:rPr>
          <w:rFonts w:ascii="Arial" w:eastAsia="Arial" w:hAnsi="Arial" w:cs="Arial"/>
          <w:sz w:val="22"/>
          <w:szCs w:val="22"/>
        </w:rPr>
        <w:t>A</w:t>
      </w:r>
      <w:r w:rsidR="45940C7C" w:rsidRPr="6B88FB60">
        <w:rPr>
          <w:rFonts w:ascii="Arial" w:eastAsia="Arial" w:hAnsi="Arial" w:cs="Arial"/>
          <w:sz w:val="22"/>
          <w:szCs w:val="22"/>
        </w:rPr>
        <w:t xml:space="preserve"> </w:t>
      </w:r>
      <w:r w:rsidR="5F34B306" w:rsidRPr="6B88FB60">
        <w:rPr>
          <w:rFonts w:ascii="Arial" w:eastAsia="Arial" w:hAnsi="Arial" w:cs="Arial"/>
          <w:sz w:val="22"/>
          <w:szCs w:val="22"/>
        </w:rPr>
        <w:t>takeaway is that PCC</w:t>
      </w:r>
      <w:r w:rsidR="773023B3" w:rsidRPr="6B88FB60">
        <w:rPr>
          <w:rFonts w:ascii="Arial" w:eastAsia="Arial" w:hAnsi="Arial" w:cs="Arial"/>
          <w:sz w:val="22"/>
          <w:szCs w:val="22"/>
        </w:rPr>
        <w:t xml:space="preserve"> </w:t>
      </w:r>
      <w:r w:rsidR="78DCAC13" w:rsidRPr="6B88FB60">
        <w:rPr>
          <w:rFonts w:ascii="Arial" w:eastAsia="Arial" w:hAnsi="Arial" w:cs="Arial"/>
          <w:sz w:val="22"/>
          <w:szCs w:val="22"/>
        </w:rPr>
        <w:t xml:space="preserve">is </w:t>
      </w:r>
      <w:proofErr w:type="gramStart"/>
      <w:r w:rsidR="26613D48" w:rsidRPr="6B88FB60">
        <w:rPr>
          <w:rFonts w:ascii="Arial" w:eastAsia="Arial" w:hAnsi="Arial" w:cs="Arial"/>
          <w:sz w:val="22"/>
          <w:szCs w:val="22"/>
        </w:rPr>
        <w:t>really about</w:t>
      </w:r>
      <w:proofErr w:type="gramEnd"/>
      <w:r w:rsidR="26613D48" w:rsidRPr="6B88FB60">
        <w:rPr>
          <w:rFonts w:ascii="Arial" w:eastAsia="Arial" w:hAnsi="Arial" w:cs="Arial"/>
          <w:sz w:val="22"/>
          <w:szCs w:val="22"/>
        </w:rPr>
        <w:t xml:space="preserve"> </w:t>
      </w:r>
      <w:r w:rsidR="5F34B306" w:rsidRPr="6B88FB60">
        <w:rPr>
          <w:rFonts w:ascii="Arial" w:eastAsia="Arial" w:hAnsi="Arial" w:cs="Arial"/>
          <w:sz w:val="22"/>
          <w:szCs w:val="22"/>
        </w:rPr>
        <w:t xml:space="preserve">understanding each person’s experiences, needs, and motivations, which change over time, especially in mental health. Using Alderfer’s ERG Theory </w:t>
      </w:r>
      <w:r w:rsidR="2B592D39" w:rsidRPr="6B88FB60">
        <w:rPr>
          <w:rFonts w:ascii="Arial" w:eastAsia="Arial" w:hAnsi="Arial" w:cs="Arial"/>
          <w:sz w:val="22"/>
          <w:szCs w:val="22"/>
        </w:rPr>
        <w:t xml:space="preserve">(1969), </w:t>
      </w:r>
      <w:r w:rsidR="5F34B306" w:rsidRPr="6B88FB60">
        <w:rPr>
          <w:rFonts w:ascii="Arial" w:eastAsia="Arial" w:hAnsi="Arial" w:cs="Arial"/>
          <w:sz w:val="22"/>
          <w:szCs w:val="22"/>
        </w:rPr>
        <w:t>shows how addressing basic needs, relationships, and opportunities for growth can make a real difference in engagement and recovery. Partnership Working also highlights that teams need to balance different professional priorities, manage risks together, and ensure that service users and their families are actively involved in decisions about care.</w:t>
      </w:r>
    </w:p>
    <w:p w14:paraId="07089517" w14:textId="031638D0" w:rsidR="1DD394C8" w:rsidRDefault="6CE29531"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While </w:t>
      </w:r>
      <w:r w:rsidR="0933CED6" w:rsidRPr="6B88FB60">
        <w:rPr>
          <w:rFonts w:ascii="Arial" w:eastAsia="Arial" w:hAnsi="Arial" w:cs="Arial"/>
          <w:sz w:val="22"/>
          <w:szCs w:val="22"/>
        </w:rPr>
        <w:t>legislations</w:t>
      </w:r>
      <w:r w:rsidRPr="6B88FB60">
        <w:rPr>
          <w:rFonts w:ascii="Arial" w:eastAsia="Arial" w:hAnsi="Arial" w:cs="Arial"/>
          <w:sz w:val="22"/>
          <w:szCs w:val="22"/>
        </w:rPr>
        <w:t xml:space="preserve"> like the Care Act 2014, the Equality Act 2010, and the Health and Care Act 2022 provide guidance, putting PCC and PW into practice requires flexibility, teamwork, and a focus on fairness and inclusion. Meeting basic needs, fostering supportive relationships, and enabling personal growth are central to helping service users engage with their care and achieve recovery.</w:t>
      </w:r>
      <w:r w:rsidR="485B9EC6" w:rsidRPr="6B88FB60">
        <w:rPr>
          <w:rFonts w:ascii="Arial" w:eastAsia="Arial" w:hAnsi="Arial" w:cs="Arial"/>
          <w:sz w:val="22"/>
          <w:szCs w:val="22"/>
        </w:rPr>
        <w:t xml:space="preserve"> Combining person-centred approaches with effective partnership working allows mental health services to provide care that is safe, structured, and responsive to individual wellbeing.</w:t>
      </w:r>
    </w:p>
    <w:p w14:paraId="57284507" w14:textId="4A705DF2" w:rsidR="1DD394C8" w:rsidRDefault="1DD394C8" w:rsidP="6B88FB60">
      <w:pPr>
        <w:spacing w:line="360" w:lineRule="auto"/>
        <w:rPr>
          <w:rFonts w:ascii="Arial" w:eastAsia="Arial" w:hAnsi="Arial" w:cs="Arial"/>
          <w:sz w:val="22"/>
          <w:szCs w:val="22"/>
        </w:rPr>
      </w:pPr>
      <w:r w:rsidRPr="6B88FB60">
        <w:rPr>
          <w:rFonts w:ascii="Arial" w:eastAsia="Arial" w:hAnsi="Arial" w:cs="Arial"/>
          <w:sz w:val="22"/>
          <w:szCs w:val="22"/>
        </w:rPr>
        <w:br w:type="page"/>
      </w:r>
    </w:p>
    <w:p w14:paraId="2A308EBC" w14:textId="436037BC" w:rsidR="211C674B" w:rsidRDefault="211C674B" w:rsidP="1DD394C8">
      <w:pPr>
        <w:pStyle w:val="Heading1"/>
        <w:spacing w:line="360" w:lineRule="auto"/>
        <w:rPr>
          <w:rFonts w:ascii="Arial" w:eastAsia="Arial" w:hAnsi="Arial" w:cs="Arial"/>
          <w:b/>
          <w:bCs/>
          <w:color w:val="auto"/>
          <w:sz w:val="22"/>
          <w:szCs w:val="22"/>
        </w:rPr>
      </w:pPr>
      <w:bookmarkStart w:id="9" w:name="_Toc1409083442"/>
      <w:r w:rsidRPr="6B88FB60">
        <w:rPr>
          <w:rFonts w:ascii="Arial" w:eastAsia="Arial" w:hAnsi="Arial" w:cs="Arial"/>
          <w:b/>
          <w:bCs/>
          <w:color w:val="auto"/>
          <w:sz w:val="22"/>
          <w:szCs w:val="22"/>
        </w:rPr>
        <w:lastRenderedPageBreak/>
        <w:t>References</w:t>
      </w:r>
      <w:bookmarkEnd w:id="9"/>
      <w:r w:rsidRPr="6B88FB60">
        <w:rPr>
          <w:rFonts w:ascii="Arial" w:eastAsia="Arial" w:hAnsi="Arial" w:cs="Arial"/>
          <w:b/>
          <w:bCs/>
          <w:color w:val="auto"/>
          <w:sz w:val="22"/>
          <w:szCs w:val="22"/>
        </w:rPr>
        <w:t xml:space="preserve"> </w:t>
      </w:r>
    </w:p>
    <w:p w14:paraId="6B9531D5" w14:textId="5EE958A4"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Alderfer, C.P., 1969. An Empirical Test of a New Theory of Human Needs. Organizational Behavior and Human Performance, 4(2), pp.142–175.</w:t>
      </w:r>
    </w:p>
    <w:p w14:paraId="155E5A77" w14:textId="65D2F326"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Beauchamp, T.L. and Childress, J.F., 2019. Principles of Biomedical Ethics. 8th ed. Oxford: Oxford University Press.</w:t>
      </w:r>
    </w:p>
    <w:p w14:paraId="03AAFED7" w14:textId="3472C589"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Beresford, P., 2019. Personalisation, Co-production and Mental Health Services. London: Routledge.</w:t>
      </w:r>
    </w:p>
    <w:p w14:paraId="4668A7FB" w14:textId="1FDBA2EE"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Bhui, K., Abdi, A., Pereira, S., Duale, S. and Stansfeld, S., 2018. Ethnic inequalities in mental health care: policy, practice and research. BJPsych Bulletin, 42(4), pp.142–147.</w:t>
      </w:r>
    </w:p>
    <w:p w14:paraId="3CCEC6AD" w14:textId="43D70839"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Care Quality Commission (CQC), 2020. The state of health care and adult social care in England 2019/20. London: Care Quality Commission. Available at: https://www.cqc.org.uk/publications/major-report/state-care [Accessed 16 November 2025].</w:t>
      </w:r>
    </w:p>
    <w:p w14:paraId="5DFEC139" w14:textId="6B1CC5A3"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Coulter, A. and Oldham, J., 2016. Person-centred care: What is it and how do we get there? Future Hospital Journal, 3(2), pp.114–116.</w:t>
      </w:r>
    </w:p>
    <w:p w14:paraId="780ED060" w14:textId="7C6D181C"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Dixon-Woods, M., McNicol, S. and Martin, G., 2014. Ten challenges in improving quality in healthcare: lessons from the Health Foundation’s programme evaluations and relevant literature. BMJ Quality &amp; Safety, 23(8), pp.710–718.</w:t>
      </w:r>
    </w:p>
    <w:p w14:paraId="1C4CAD10" w14:textId="41B05788"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Equality Act, 2010. c.15. London: The Stationery Office.</w:t>
      </w:r>
    </w:p>
    <w:p w14:paraId="6909F835" w14:textId="5E745894"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Glasby, J. and Dickinson, H., 2014. Partnership Working in Health and Social Care: What is Integrated Care and How Can We Deliver It? 2nd ed. Bristol: Policy Press.</w:t>
      </w:r>
    </w:p>
    <w:p w14:paraId="0A60BCBE" w14:textId="3083615B"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Goodrich, J. and Cornwell, J., 2008. Seeing the Person in the Patient: How to Deliver Safer, Better and Compassionate Care. London: The King’s Fund.</w:t>
      </w:r>
    </w:p>
    <w:p w14:paraId="37FF5451" w14:textId="29960D4F"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Health Foundation, 2016. Person-Centred Care Made Simple. London: Health Foundation.</w:t>
      </w:r>
    </w:p>
    <w:p w14:paraId="63FCD889" w14:textId="14C0D393"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Mental Health Act, 1983 (amended 2007). c.20. London: The Stationery Office.</w:t>
      </w:r>
    </w:p>
    <w:p w14:paraId="4D74BF15" w14:textId="67E7A0BC"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Moran, V., Glasby, J. and Peck, E., 2013. Multidisciplinary Teams in Health and Social Care. London: Routledge.</w:t>
      </w:r>
    </w:p>
    <w:p w14:paraId="52EA62AE" w14:textId="585376D6"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lastRenderedPageBreak/>
        <w:t xml:space="preserve">Ridley, J., et al., 2021. Crisis houses and community alternatives to inpatient admission: reducing compulsory detention in mental health care. [Journal Name], [volume(issue)], </w:t>
      </w:r>
      <w:proofErr w:type="gramStart"/>
      <w:r w:rsidRPr="6B88FB60">
        <w:rPr>
          <w:rFonts w:ascii="Arial" w:eastAsia="Arial" w:hAnsi="Arial" w:cs="Arial"/>
          <w:sz w:val="22"/>
          <w:szCs w:val="22"/>
        </w:rPr>
        <w:t>pp.XX</w:t>
      </w:r>
      <w:proofErr w:type="gramEnd"/>
      <w:r w:rsidRPr="6B88FB60">
        <w:rPr>
          <w:rFonts w:ascii="Arial" w:eastAsia="Arial" w:hAnsi="Arial" w:cs="Arial"/>
          <w:sz w:val="22"/>
          <w:szCs w:val="22"/>
        </w:rPr>
        <w:t>–XX.</w:t>
      </w:r>
    </w:p>
    <w:p w14:paraId="12CC2054" w14:textId="05EC4CBA"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 xml:space="preserve">Simpson, A. and Penney, D., 2011. Person-centred care and partnership working in mental health services: implementation challenges. [Journal Name], [volume(issue)], </w:t>
      </w:r>
      <w:proofErr w:type="gramStart"/>
      <w:r w:rsidRPr="6B88FB60">
        <w:rPr>
          <w:rFonts w:ascii="Arial" w:eastAsia="Arial" w:hAnsi="Arial" w:cs="Arial"/>
          <w:sz w:val="22"/>
          <w:szCs w:val="22"/>
        </w:rPr>
        <w:t>pp.XX</w:t>
      </w:r>
      <w:proofErr w:type="gramEnd"/>
      <w:r w:rsidRPr="6B88FB60">
        <w:rPr>
          <w:rFonts w:ascii="Arial" w:eastAsia="Arial" w:hAnsi="Arial" w:cs="Arial"/>
          <w:sz w:val="22"/>
          <w:szCs w:val="22"/>
        </w:rPr>
        <w:t>–XX.</w:t>
      </w:r>
    </w:p>
    <w:p w14:paraId="120F16D7" w14:textId="7B51AC73"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Slade, M., 2009. Personal Recovery and Mental Illness: A Guide for Mental Health Professionals. Cambridge: Cambridge University Press.</w:t>
      </w:r>
    </w:p>
    <w:p w14:paraId="0A6B7676" w14:textId="503E49AD"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Slade, M., Bird, V., Clarke, E., Le Boutillier, C., Macpherson, R. and Williams, J., 2015. Supporting recovery in mental health services: quality and outcomes. London: Royal College of Psychiatrists.</w:t>
      </w:r>
    </w:p>
    <w:p w14:paraId="29A049E6" w14:textId="1F3AE945"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Stanhope, V., Solomon, P. and McKay, C., 2013. Balancing autonomy and safety: Ethical considerations in mental health practice. Journal of Psychiatric and Mental Health Nursing, 20(7), pp.593–600.</w:t>
      </w:r>
    </w:p>
    <w:p w14:paraId="3EDEC2E2" w14:textId="5932A2C8"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Stephenson, J., Gergel, T., Ruck Keene, A., et al., 2022. Implementing advance choice documents in mental health services: a co-produced pilot study. BMC Psychiatry, 22(1), pp.1–17. Available at: https://pmc.ncbi.nlm.nih.gov/articles/PMC9433915/ [Accessed 16 November 2025].</w:t>
      </w:r>
    </w:p>
    <w:p w14:paraId="52BEF68D" w14:textId="23940844" w:rsidR="5FDE70D4" w:rsidRDefault="5FDE70D4" w:rsidP="6B88FB60">
      <w:pPr>
        <w:spacing w:before="240" w:after="240" w:line="360" w:lineRule="auto"/>
        <w:rPr>
          <w:rFonts w:ascii="Arial" w:eastAsia="Arial" w:hAnsi="Arial" w:cs="Arial"/>
          <w:sz w:val="22"/>
          <w:szCs w:val="22"/>
        </w:rPr>
      </w:pPr>
      <w:r w:rsidRPr="6B88FB60">
        <w:rPr>
          <w:rFonts w:ascii="Arial" w:eastAsia="Arial" w:hAnsi="Arial" w:cs="Arial"/>
          <w:sz w:val="22"/>
          <w:szCs w:val="22"/>
        </w:rPr>
        <w:t>The Health and Care Act, 2022. c.31. London: The Stationery Office.</w:t>
      </w:r>
    </w:p>
    <w:p w14:paraId="766E5FCF" w14:textId="3DCD4A8D" w:rsidR="6B88FB60" w:rsidRDefault="6B88FB60" w:rsidP="6B88FB60">
      <w:pPr>
        <w:spacing w:before="240" w:after="240"/>
        <w:rPr>
          <w:rFonts w:ascii="Arial" w:eastAsia="Arial" w:hAnsi="Arial" w:cs="Arial"/>
          <w:sz w:val="22"/>
          <w:szCs w:val="22"/>
        </w:rPr>
      </w:pPr>
    </w:p>
    <w:p w14:paraId="283EFCBF" w14:textId="701DED5E" w:rsidR="1DD394C8" w:rsidRDefault="1DD394C8" w:rsidP="1DD394C8">
      <w:pPr>
        <w:spacing w:before="240" w:after="240" w:line="360" w:lineRule="auto"/>
        <w:rPr>
          <w:rFonts w:ascii="Arial" w:eastAsia="Arial" w:hAnsi="Arial" w:cs="Arial"/>
          <w:sz w:val="22"/>
          <w:szCs w:val="22"/>
        </w:rPr>
      </w:pPr>
    </w:p>
    <w:p w14:paraId="3C1A2BBE" w14:textId="20F5B526" w:rsidR="1DD394C8" w:rsidRDefault="1DD394C8" w:rsidP="1DD394C8">
      <w:pPr>
        <w:spacing w:line="360" w:lineRule="auto"/>
        <w:rPr>
          <w:rFonts w:ascii="Arial" w:eastAsia="Arial" w:hAnsi="Arial" w:cs="Arial"/>
          <w:sz w:val="22"/>
          <w:szCs w:val="22"/>
        </w:rPr>
      </w:pPr>
    </w:p>
    <w:sectPr w:rsidR="1DD394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3B3BE0"/>
    <w:rsid w:val="002823B2"/>
    <w:rsid w:val="002A6222"/>
    <w:rsid w:val="006769FB"/>
    <w:rsid w:val="00AB626E"/>
    <w:rsid w:val="0199B60D"/>
    <w:rsid w:val="01FA75FB"/>
    <w:rsid w:val="022AA083"/>
    <w:rsid w:val="030C95DD"/>
    <w:rsid w:val="032008EA"/>
    <w:rsid w:val="03564B9E"/>
    <w:rsid w:val="04B5C558"/>
    <w:rsid w:val="06BAE804"/>
    <w:rsid w:val="06F0ACF1"/>
    <w:rsid w:val="06F41BBA"/>
    <w:rsid w:val="072FFA5B"/>
    <w:rsid w:val="088FF47E"/>
    <w:rsid w:val="08CFCAE0"/>
    <w:rsid w:val="091D06C4"/>
    <w:rsid w:val="0933CED6"/>
    <w:rsid w:val="09C8A047"/>
    <w:rsid w:val="09D34C13"/>
    <w:rsid w:val="0AFC775B"/>
    <w:rsid w:val="0B0E8220"/>
    <w:rsid w:val="0B74A814"/>
    <w:rsid w:val="0C2723A4"/>
    <w:rsid w:val="0DF089D7"/>
    <w:rsid w:val="0E2F7EAB"/>
    <w:rsid w:val="10208610"/>
    <w:rsid w:val="1035A88F"/>
    <w:rsid w:val="117B522A"/>
    <w:rsid w:val="11AB3818"/>
    <w:rsid w:val="12B883D7"/>
    <w:rsid w:val="13F8B7D1"/>
    <w:rsid w:val="15C77E15"/>
    <w:rsid w:val="15E5856E"/>
    <w:rsid w:val="161FAF09"/>
    <w:rsid w:val="16236520"/>
    <w:rsid w:val="1719D2AD"/>
    <w:rsid w:val="171D3827"/>
    <w:rsid w:val="17343E0B"/>
    <w:rsid w:val="184E169E"/>
    <w:rsid w:val="199FFB35"/>
    <w:rsid w:val="1A7FBDAD"/>
    <w:rsid w:val="1A9ABA93"/>
    <w:rsid w:val="1ADE52C5"/>
    <w:rsid w:val="1B349E2C"/>
    <w:rsid w:val="1BBBBE7D"/>
    <w:rsid w:val="1C228750"/>
    <w:rsid w:val="1C54859C"/>
    <w:rsid w:val="1CEB5590"/>
    <w:rsid w:val="1D7E48B5"/>
    <w:rsid w:val="1DC4547D"/>
    <w:rsid w:val="1DD394C8"/>
    <w:rsid w:val="1E3BDF24"/>
    <w:rsid w:val="1E5598DB"/>
    <w:rsid w:val="1F20F12E"/>
    <w:rsid w:val="1F48A163"/>
    <w:rsid w:val="1FBE681E"/>
    <w:rsid w:val="206EA436"/>
    <w:rsid w:val="20E1093F"/>
    <w:rsid w:val="211C674B"/>
    <w:rsid w:val="217DF1FF"/>
    <w:rsid w:val="23F9CBCA"/>
    <w:rsid w:val="252BE66C"/>
    <w:rsid w:val="255C420F"/>
    <w:rsid w:val="2573F964"/>
    <w:rsid w:val="25A7309E"/>
    <w:rsid w:val="25C5A8DA"/>
    <w:rsid w:val="25CDD3D5"/>
    <w:rsid w:val="26613D48"/>
    <w:rsid w:val="267F3C20"/>
    <w:rsid w:val="26F3C7DC"/>
    <w:rsid w:val="27646498"/>
    <w:rsid w:val="29ACA480"/>
    <w:rsid w:val="29FF9429"/>
    <w:rsid w:val="2A802421"/>
    <w:rsid w:val="2AD3E559"/>
    <w:rsid w:val="2B592D39"/>
    <w:rsid w:val="2BA32952"/>
    <w:rsid w:val="2C2CA203"/>
    <w:rsid w:val="2C2E400E"/>
    <w:rsid w:val="2C34883A"/>
    <w:rsid w:val="2D7A40F3"/>
    <w:rsid w:val="2E6FE904"/>
    <w:rsid w:val="2EA6E588"/>
    <w:rsid w:val="2F00A984"/>
    <w:rsid w:val="2F7C26B4"/>
    <w:rsid w:val="2FD298DF"/>
    <w:rsid w:val="30B3D750"/>
    <w:rsid w:val="31ECAE17"/>
    <w:rsid w:val="322E3641"/>
    <w:rsid w:val="32560B0E"/>
    <w:rsid w:val="34596827"/>
    <w:rsid w:val="34CE014A"/>
    <w:rsid w:val="359DF59E"/>
    <w:rsid w:val="3665AF63"/>
    <w:rsid w:val="36E3923B"/>
    <w:rsid w:val="37CF1F40"/>
    <w:rsid w:val="383E4882"/>
    <w:rsid w:val="39C61AD2"/>
    <w:rsid w:val="3A01E188"/>
    <w:rsid w:val="3AD66CEA"/>
    <w:rsid w:val="3B7426FF"/>
    <w:rsid w:val="3BDB3330"/>
    <w:rsid w:val="3BEF1E3A"/>
    <w:rsid w:val="3BFCF173"/>
    <w:rsid w:val="3CA7391C"/>
    <w:rsid w:val="3CC535C5"/>
    <w:rsid w:val="3CE735C5"/>
    <w:rsid w:val="3D574507"/>
    <w:rsid w:val="3D70E771"/>
    <w:rsid w:val="3E4ADECA"/>
    <w:rsid w:val="3E6440E3"/>
    <w:rsid w:val="3EAA0A08"/>
    <w:rsid w:val="3F32BF80"/>
    <w:rsid w:val="3F42BD43"/>
    <w:rsid w:val="42D0BD16"/>
    <w:rsid w:val="435E1FC8"/>
    <w:rsid w:val="43E389DE"/>
    <w:rsid w:val="4466130E"/>
    <w:rsid w:val="44F03740"/>
    <w:rsid w:val="45940C7C"/>
    <w:rsid w:val="4686F457"/>
    <w:rsid w:val="469FE34C"/>
    <w:rsid w:val="46BCE96F"/>
    <w:rsid w:val="46F76000"/>
    <w:rsid w:val="47044C51"/>
    <w:rsid w:val="485B9EC6"/>
    <w:rsid w:val="48AA4E2D"/>
    <w:rsid w:val="48B37875"/>
    <w:rsid w:val="495ACF2C"/>
    <w:rsid w:val="4B967BF6"/>
    <w:rsid w:val="4BA486CF"/>
    <w:rsid w:val="4C2A4101"/>
    <w:rsid w:val="4C77D6F0"/>
    <w:rsid w:val="4CBAFC57"/>
    <w:rsid w:val="4D0BD468"/>
    <w:rsid w:val="4EAC7B59"/>
    <w:rsid w:val="4EEDEDFE"/>
    <w:rsid w:val="508F0C65"/>
    <w:rsid w:val="512036E7"/>
    <w:rsid w:val="541B72AC"/>
    <w:rsid w:val="54320BB5"/>
    <w:rsid w:val="551A1FCE"/>
    <w:rsid w:val="55211147"/>
    <w:rsid w:val="55FF4DEC"/>
    <w:rsid w:val="57DA2061"/>
    <w:rsid w:val="58033286"/>
    <w:rsid w:val="580C2F02"/>
    <w:rsid w:val="583B3BE0"/>
    <w:rsid w:val="58BA73A6"/>
    <w:rsid w:val="58E29EC6"/>
    <w:rsid w:val="59D917D9"/>
    <w:rsid w:val="5A6130CB"/>
    <w:rsid w:val="5AE7687F"/>
    <w:rsid w:val="5B3DC18F"/>
    <w:rsid w:val="5BC7677A"/>
    <w:rsid w:val="5C2A8A5F"/>
    <w:rsid w:val="5C33CECD"/>
    <w:rsid w:val="5C3D2B85"/>
    <w:rsid w:val="5C6ABA5C"/>
    <w:rsid w:val="5C703FC7"/>
    <w:rsid w:val="5C999E6A"/>
    <w:rsid w:val="5CBEFFCE"/>
    <w:rsid w:val="5E38FF1E"/>
    <w:rsid w:val="5F1904A2"/>
    <w:rsid w:val="5F34B306"/>
    <w:rsid w:val="5F750ED2"/>
    <w:rsid w:val="5FDE70D4"/>
    <w:rsid w:val="60AD72FA"/>
    <w:rsid w:val="61BC2ABA"/>
    <w:rsid w:val="62D824A4"/>
    <w:rsid w:val="632DB28F"/>
    <w:rsid w:val="6393EA51"/>
    <w:rsid w:val="63AE4E9E"/>
    <w:rsid w:val="63AF98EE"/>
    <w:rsid w:val="63E11453"/>
    <w:rsid w:val="6404D6AE"/>
    <w:rsid w:val="6455EC03"/>
    <w:rsid w:val="6505D668"/>
    <w:rsid w:val="654E103E"/>
    <w:rsid w:val="672605BA"/>
    <w:rsid w:val="6737A4D7"/>
    <w:rsid w:val="67424BDE"/>
    <w:rsid w:val="67954248"/>
    <w:rsid w:val="6830FCF1"/>
    <w:rsid w:val="68D0C4B3"/>
    <w:rsid w:val="692A02B5"/>
    <w:rsid w:val="6A1A41A9"/>
    <w:rsid w:val="6A3A1297"/>
    <w:rsid w:val="6B88FB60"/>
    <w:rsid w:val="6BDFE571"/>
    <w:rsid w:val="6CBF5E1E"/>
    <w:rsid w:val="6CE29531"/>
    <w:rsid w:val="6DB98A82"/>
    <w:rsid w:val="6FC01920"/>
    <w:rsid w:val="704842B0"/>
    <w:rsid w:val="72001AF8"/>
    <w:rsid w:val="7398486C"/>
    <w:rsid w:val="75803939"/>
    <w:rsid w:val="773023B3"/>
    <w:rsid w:val="774E910F"/>
    <w:rsid w:val="77F39A96"/>
    <w:rsid w:val="780685F2"/>
    <w:rsid w:val="780788D3"/>
    <w:rsid w:val="78668D8E"/>
    <w:rsid w:val="788A2A8F"/>
    <w:rsid w:val="78BD2EE9"/>
    <w:rsid w:val="78DCAC13"/>
    <w:rsid w:val="7920BA42"/>
    <w:rsid w:val="79D133D5"/>
    <w:rsid w:val="7AA86938"/>
    <w:rsid w:val="7B56D8AB"/>
    <w:rsid w:val="7B748D03"/>
    <w:rsid w:val="7BC541DE"/>
    <w:rsid w:val="7CCC2E8C"/>
    <w:rsid w:val="7D3A649B"/>
    <w:rsid w:val="7D7C3B52"/>
    <w:rsid w:val="7DF787CF"/>
    <w:rsid w:val="7FFCA2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88E99"/>
  <w15:chartTrackingRefBased/>
  <w15:docId w15:val="{CC6C5B8B-A898-485A-961E-748B5D77C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DD394C8"/>
    <w:rPr>
      <w:lang w:val="en-GB"/>
    </w:rPr>
  </w:style>
  <w:style w:type="paragraph" w:styleId="Heading1">
    <w:name w:val="heading 1"/>
    <w:basedOn w:val="Normal"/>
    <w:next w:val="Normal"/>
    <w:uiPriority w:val="9"/>
    <w:qFormat/>
    <w:rsid w:val="1DD394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DD394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2">
    <w:name w:val="toc 2"/>
    <w:basedOn w:val="Normal"/>
    <w:next w:val="Normal"/>
    <w:uiPriority w:val="39"/>
    <w:unhideWhenUsed/>
    <w:rsid w:val="1DD394C8"/>
    <w:pPr>
      <w:spacing w:after="100"/>
      <w:ind w:left="220"/>
    </w:pPr>
  </w:style>
  <w:style w:type="character" w:styleId="Hyperlink">
    <w:name w:val="Hyperlink"/>
    <w:basedOn w:val="DefaultParagraphFont"/>
    <w:uiPriority w:val="99"/>
    <w:unhideWhenUsed/>
    <w:rsid w:val="1DD394C8"/>
    <w:rPr>
      <w:color w:val="467886"/>
      <w:u w:val="single"/>
    </w:rPr>
  </w:style>
  <w:style w:type="paragraph" w:styleId="TOC1">
    <w:name w:val="toc 1"/>
    <w:basedOn w:val="Normal"/>
    <w:next w:val="Normal"/>
    <w:uiPriority w:val="39"/>
    <w:unhideWhenUsed/>
    <w:rsid w:val="1DD394C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3060</Words>
  <Characters>17446</Characters>
  <Application>Microsoft Office Word</Application>
  <DocSecurity>0</DocSecurity>
  <Lines>145</Lines>
  <Paragraphs>40</Paragraphs>
  <ScaleCrop>false</ScaleCrop>
  <Company/>
  <LinksUpToDate>false</LinksUpToDate>
  <CharactersWithSpaces>20466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Miller (2406689)</dc:creator>
  <cp:keywords/>
  <dc:description/>
  <cp:lastModifiedBy>Joan Miller (2406689)</cp:lastModifiedBy>
  <cp:revision>2</cp:revision>
  <dcterms:created xsi:type="dcterms:W3CDTF">2025-11-14T20:07:00Z</dcterms:created>
  <dcterms:modified xsi:type="dcterms:W3CDTF">2025-11-16T20:22:00Z</dcterms:modified>
</cp:coreProperties>
</file>