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A92EC1" w14:textId="77777777" w:rsidR="005F61A7" w:rsidRPr="005F61A7" w:rsidRDefault="005F61A7" w:rsidP="005F61A7">
      <w:r w:rsidRPr="005F61A7">
        <w:t>BMIH5007 – Financial Management for the Hotel Industry</w:t>
      </w:r>
    </w:p>
    <w:p w14:paraId="2163CB8E" w14:textId="2708F16B" w:rsidR="007F7807" w:rsidRDefault="007F7807" w:rsidP="007F7807"/>
    <w:p w14:paraId="4936580E" w14:textId="77777777" w:rsidR="007F7807" w:rsidRDefault="007F7807" w:rsidP="007F7807"/>
    <w:p w14:paraId="57024FA8" w14:textId="70F6C009" w:rsidR="007F7807" w:rsidRPr="007F7807" w:rsidRDefault="007F7807" w:rsidP="007F7807">
      <w:r w:rsidRPr="007F7807">
        <w:t xml:space="preserve">Student </w:t>
      </w:r>
      <w:proofErr w:type="spellStart"/>
      <w:proofErr w:type="gramStart"/>
      <w:r w:rsidRPr="007F7807">
        <w:t>Name:</w:t>
      </w:r>
      <w:r w:rsidR="00066707">
        <w:t>Kincso</w:t>
      </w:r>
      <w:proofErr w:type="spellEnd"/>
      <w:proofErr w:type="gramEnd"/>
      <w:r w:rsidR="00066707">
        <w:t xml:space="preserve"> </w:t>
      </w:r>
      <w:proofErr w:type="spellStart"/>
      <w:r w:rsidR="00066707">
        <w:t>Suveg</w:t>
      </w:r>
      <w:proofErr w:type="spellEnd"/>
    </w:p>
    <w:p w14:paraId="67CBF32F" w14:textId="4E27E851" w:rsidR="007F7807" w:rsidRPr="007F7807" w:rsidRDefault="007F7807" w:rsidP="007F7807">
      <w:r w:rsidRPr="007F7807">
        <w:t>Student ID:</w:t>
      </w:r>
      <w:r w:rsidR="00066707">
        <w:t>2225011</w:t>
      </w:r>
    </w:p>
    <w:p w14:paraId="10741A2F" w14:textId="70CE2514" w:rsidR="007F7807" w:rsidRDefault="007F7807" w:rsidP="007F7807">
      <w:r w:rsidRPr="007F7807">
        <w:t xml:space="preserve">University </w:t>
      </w:r>
      <w:proofErr w:type="spellStart"/>
      <w:r w:rsidRPr="007F7807">
        <w:t>Name:</w:t>
      </w:r>
      <w:r w:rsidR="00066707">
        <w:t>University</w:t>
      </w:r>
      <w:proofErr w:type="spellEnd"/>
      <w:r w:rsidR="00066707">
        <w:t xml:space="preserve"> of wales Trinity</w:t>
      </w:r>
      <w:bookmarkStart w:id="0" w:name="_GoBack"/>
      <w:bookmarkEnd w:id="0"/>
      <w:r w:rsidR="00066707">
        <w:t xml:space="preserve"> Saint David </w:t>
      </w:r>
    </w:p>
    <w:p w14:paraId="6F46141D" w14:textId="77777777" w:rsidR="007F7807" w:rsidRPr="005F61A7" w:rsidRDefault="007F7807" w:rsidP="005F61A7">
      <w:r w:rsidRPr="005F61A7">
        <w:br w:type="page"/>
      </w:r>
    </w:p>
    <w:sdt>
      <w:sdtPr>
        <w:rPr>
          <w:rFonts w:ascii="Calibri" w:eastAsiaTheme="minorHAnsi" w:hAnsi="Calibri" w:cs="Calibri"/>
          <w:b w:val="0"/>
          <w:bCs w:val="0"/>
          <w:color w:val="auto"/>
          <w:kern w:val="2"/>
          <w:sz w:val="24"/>
          <w:szCs w:val="24"/>
          <w:lang w:val="en-GB"/>
          <w14:ligatures w14:val="standardContextual"/>
        </w:rPr>
        <w:id w:val="-252131509"/>
        <w:docPartObj>
          <w:docPartGallery w:val="Table of Contents"/>
          <w:docPartUnique/>
        </w:docPartObj>
      </w:sdtPr>
      <w:sdtEndPr>
        <w:rPr>
          <w:b/>
          <w:bCs/>
          <w:noProof/>
        </w:rPr>
      </w:sdtEndPr>
      <w:sdtContent>
        <w:p w14:paraId="77C547E9" w14:textId="3D22BB6A" w:rsidR="005F61A7" w:rsidRPr="005F61A7" w:rsidRDefault="005F61A7" w:rsidP="005F61A7">
          <w:pPr>
            <w:pStyle w:val="TOCHeading"/>
            <w:spacing w:line="360" w:lineRule="auto"/>
            <w:rPr>
              <w:rFonts w:ascii="Calibri" w:hAnsi="Calibri" w:cs="Calibri"/>
              <w:sz w:val="40"/>
              <w:szCs w:val="40"/>
            </w:rPr>
          </w:pPr>
          <w:r w:rsidRPr="005F61A7">
            <w:rPr>
              <w:rFonts w:ascii="Calibri" w:hAnsi="Calibri" w:cs="Calibri"/>
              <w:sz w:val="40"/>
              <w:szCs w:val="40"/>
            </w:rPr>
            <w:t>Table of Contents</w:t>
          </w:r>
        </w:p>
        <w:p w14:paraId="69F1C869" w14:textId="095A37E5" w:rsidR="005F61A7" w:rsidRPr="005F61A7" w:rsidRDefault="005F61A7" w:rsidP="005F61A7">
          <w:pPr>
            <w:pStyle w:val="TOC1"/>
            <w:tabs>
              <w:tab w:val="right" w:leader="dot" w:pos="13948"/>
            </w:tabs>
            <w:rPr>
              <w:rFonts w:ascii="Calibri" w:hAnsi="Calibri"/>
              <w:b w:val="0"/>
              <w:bCs w:val="0"/>
              <w:i w:val="0"/>
              <w:iCs w:val="0"/>
              <w:noProof/>
            </w:rPr>
          </w:pPr>
          <w:r w:rsidRPr="005F61A7">
            <w:rPr>
              <w:rFonts w:ascii="Calibri" w:hAnsi="Calibri"/>
              <w:b w:val="0"/>
              <w:bCs w:val="0"/>
              <w:i w:val="0"/>
              <w:iCs w:val="0"/>
            </w:rPr>
            <w:fldChar w:fldCharType="begin"/>
          </w:r>
          <w:r w:rsidRPr="005F61A7">
            <w:rPr>
              <w:rFonts w:ascii="Calibri" w:hAnsi="Calibri"/>
              <w:b w:val="0"/>
              <w:bCs w:val="0"/>
              <w:i w:val="0"/>
              <w:iCs w:val="0"/>
            </w:rPr>
            <w:instrText xml:space="preserve"> TOC \o "1-3" \h \z \u </w:instrText>
          </w:r>
          <w:r w:rsidRPr="005F61A7">
            <w:rPr>
              <w:rFonts w:ascii="Calibri" w:hAnsi="Calibri"/>
              <w:b w:val="0"/>
              <w:bCs w:val="0"/>
              <w:i w:val="0"/>
              <w:iCs w:val="0"/>
            </w:rPr>
            <w:fldChar w:fldCharType="separate"/>
          </w:r>
          <w:hyperlink w:anchor="_Toc168605160" w:history="1">
            <w:r w:rsidRPr="005F61A7">
              <w:rPr>
                <w:rStyle w:val="Hyperlink"/>
                <w:rFonts w:ascii="Calibri" w:hAnsi="Calibri"/>
                <w:b w:val="0"/>
                <w:bCs w:val="0"/>
                <w:i w:val="0"/>
                <w:iCs w:val="0"/>
                <w:noProof/>
              </w:rPr>
              <w:t>Introduction</w:t>
            </w:r>
            <w:r w:rsidRPr="005F61A7">
              <w:rPr>
                <w:rFonts w:ascii="Calibri" w:hAnsi="Calibri"/>
                <w:b w:val="0"/>
                <w:bCs w:val="0"/>
                <w:i w:val="0"/>
                <w:iCs w:val="0"/>
                <w:noProof/>
                <w:webHidden/>
              </w:rPr>
              <w:tab/>
            </w:r>
            <w:r w:rsidRPr="005F61A7">
              <w:rPr>
                <w:rFonts w:ascii="Calibri" w:hAnsi="Calibri"/>
                <w:b w:val="0"/>
                <w:bCs w:val="0"/>
                <w:i w:val="0"/>
                <w:iCs w:val="0"/>
                <w:noProof/>
                <w:webHidden/>
              </w:rPr>
              <w:fldChar w:fldCharType="begin"/>
            </w:r>
            <w:r w:rsidRPr="005F61A7">
              <w:rPr>
                <w:rFonts w:ascii="Calibri" w:hAnsi="Calibri"/>
                <w:b w:val="0"/>
                <w:bCs w:val="0"/>
                <w:i w:val="0"/>
                <w:iCs w:val="0"/>
                <w:noProof/>
                <w:webHidden/>
              </w:rPr>
              <w:instrText xml:space="preserve"> PAGEREF _Toc168605160 \h </w:instrText>
            </w:r>
            <w:r w:rsidRPr="005F61A7">
              <w:rPr>
                <w:rFonts w:ascii="Calibri" w:hAnsi="Calibri"/>
                <w:b w:val="0"/>
                <w:bCs w:val="0"/>
                <w:i w:val="0"/>
                <w:iCs w:val="0"/>
                <w:noProof/>
                <w:webHidden/>
              </w:rPr>
            </w:r>
            <w:r w:rsidRPr="005F61A7">
              <w:rPr>
                <w:rFonts w:ascii="Calibri" w:hAnsi="Calibri"/>
                <w:b w:val="0"/>
                <w:bCs w:val="0"/>
                <w:i w:val="0"/>
                <w:iCs w:val="0"/>
                <w:noProof/>
                <w:webHidden/>
              </w:rPr>
              <w:fldChar w:fldCharType="separate"/>
            </w:r>
            <w:r w:rsidRPr="005F61A7">
              <w:rPr>
                <w:rFonts w:ascii="Calibri" w:hAnsi="Calibri"/>
                <w:b w:val="0"/>
                <w:bCs w:val="0"/>
                <w:i w:val="0"/>
                <w:iCs w:val="0"/>
                <w:noProof/>
                <w:webHidden/>
              </w:rPr>
              <w:t>3</w:t>
            </w:r>
            <w:r w:rsidRPr="005F61A7">
              <w:rPr>
                <w:rFonts w:ascii="Calibri" w:hAnsi="Calibri"/>
                <w:b w:val="0"/>
                <w:bCs w:val="0"/>
                <w:i w:val="0"/>
                <w:iCs w:val="0"/>
                <w:noProof/>
                <w:webHidden/>
              </w:rPr>
              <w:fldChar w:fldCharType="end"/>
            </w:r>
          </w:hyperlink>
        </w:p>
        <w:p w14:paraId="7BA2641E" w14:textId="09D73B21" w:rsidR="005F61A7" w:rsidRPr="005F61A7" w:rsidRDefault="002F5B2E" w:rsidP="005F61A7">
          <w:pPr>
            <w:pStyle w:val="TOC1"/>
            <w:tabs>
              <w:tab w:val="right" w:leader="dot" w:pos="13948"/>
            </w:tabs>
            <w:rPr>
              <w:rFonts w:ascii="Calibri" w:hAnsi="Calibri"/>
              <w:b w:val="0"/>
              <w:bCs w:val="0"/>
              <w:i w:val="0"/>
              <w:iCs w:val="0"/>
              <w:noProof/>
            </w:rPr>
          </w:pPr>
          <w:hyperlink w:anchor="_Toc168605161" w:history="1">
            <w:r w:rsidR="005F61A7" w:rsidRPr="005F61A7">
              <w:rPr>
                <w:rStyle w:val="Hyperlink"/>
                <w:rFonts w:ascii="Calibri" w:hAnsi="Calibri"/>
                <w:b w:val="0"/>
                <w:bCs w:val="0"/>
                <w:i w:val="0"/>
                <w:iCs w:val="0"/>
                <w:noProof/>
              </w:rPr>
              <w:t>Evaluation of the patterns and trends in Urban Heights Hotel</w:t>
            </w:r>
            <w:r w:rsidR="005F61A7" w:rsidRPr="005F61A7">
              <w:rPr>
                <w:rFonts w:ascii="Calibri" w:hAnsi="Calibri"/>
                <w:b w:val="0"/>
                <w:bCs w:val="0"/>
                <w:i w:val="0"/>
                <w:iCs w:val="0"/>
                <w:noProof/>
                <w:webHidden/>
              </w:rPr>
              <w:tab/>
            </w:r>
            <w:r w:rsidR="005F61A7" w:rsidRPr="005F61A7">
              <w:rPr>
                <w:rFonts w:ascii="Calibri" w:hAnsi="Calibri"/>
                <w:b w:val="0"/>
                <w:bCs w:val="0"/>
                <w:i w:val="0"/>
                <w:iCs w:val="0"/>
                <w:noProof/>
                <w:webHidden/>
              </w:rPr>
              <w:fldChar w:fldCharType="begin"/>
            </w:r>
            <w:r w:rsidR="005F61A7" w:rsidRPr="005F61A7">
              <w:rPr>
                <w:rFonts w:ascii="Calibri" w:hAnsi="Calibri"/>
                <w:b w:val="0"/>
                <w:bCs w:val="0"/>
                <w:i w:val="0"/>
                <w:iCs w:val="0"/>
                <w:noProof/>
                <w:webHidden/>
              </w:rPr>
              <w:instrText xml:space="preserve"> PAGEREF _Toc168605161 \h </w:instrText>
            </w:r>
            <w:r w:rsidR="005F61A7" w:rsidRPr="005F61A7">
              <w:rPr>
                <w:rFonts w:ascii="Calibri" w:hAnsi="Calibri"/>
                <w:b w:val="0"/>
                <w:bCs w:val="0"/>
                <w:i w:val="0"/>
                <w:iCs w:val="0"/>
                <w:noProof/>
                <w:webHidden/>
              </w:rPr>
            </w:r>
            <w:r w:rsidR="005F61A7" w:rsidRPr="005F61A7">
              <w:rPr>
                <w:rFonts w:ascii="Calibri" w:hAnsi="Calibri"/>
                <w:b w:val="0"/>
                <w:bCs w:val="0"/>
                <w:i w:val="0"/>
                <w:iCs w:val="0"/>
                <w:noProof/>
                <w:webHidden/>
              </w:rPr>
              <w:fldChar w:fldCharType="separate"/>
            </w:r>
            <w:r w:rsidR="005F61A7" w:rsidRPr="005F61A7">
              <w:rPr>
                <w:rFonts w:ascii="Calibri" w:hAnsi="Calibri"/>
                <w:b w:val="0"/>
                <w:bCs w:val="0"/>
                <w:i w:val="0"/>
                <w:iCs w:val="0"/>
                <w:noProof/>
                <w:webHidden/>
              </w:rPr>
              <w:t>4</w:t>
            </w:r>
            <w:r w:rsidR="005F61A7" w:rsidRPr="005F61A7">
              <w:rPr>
                <w:rFonts w:ascii="Calibri" w:hAnsi="Calibri"/>
                <w:b w:val="0"/>
                <w:bCs w:val="0"/>
                <w:i w:val="0"/>
                <w:iCs w:val="0"/>
                <w:noProof/>
                <w:webHidden/>
              </w:rPr>
              <w:fldChar w:fldCharType="end"/>
            </w:r>
          </w:hyperlink>
        </w:p>
        <w:p w14:paraId="1FE7DC65" w14:textId="31240E31" w:rsidR="005F61A7" w:rsidRPr="005F61A7" w:rsidRDefault="002F5B2E" w:rsidP="005F61A7">
          <w:pPr>
            <w:pStyle w:val="TOC1"/>
            <w:tabs>
              <w:tab w:val="right" w:leader="dot" w:pos="13948"/>
            </w:tabs>
            <w:rPr>
              <w:rFonts w:ascii="Calibri" w:hAnsi="Calibri"/>
              <w:b w:val="0"/>
              <w:bCs w:val="0"/>
              <w:i w:val="0"/>
              <w:iCs w:val="0"/>
              <w:noProof/>
            </w:rPr>
          </w:pPr>
          <w:hyperlink w:anchor="_Toc168605162" w:history="1">
            <w:r w:rsidR="005F61A7" w:rsidRPr="005F61A7">
              <w:rPr>
                <w:rStyle w:val="Hyperlink"/>
                <w:rFonts w:ascii="Calibri" w:hAnsi="Calibri"/>
                <w:b w:val="0"/>
                <w:bCs w:val="0"/>
                <w:i w:val="0"/>
                <w:iCs w:val="0"/>
                <w:noProof/>
              </w:rPr>
              <w:t>Financial Performance of Urban Heights Hotel over 3 years period</w:t>
            </w:r>
            <w:r w:rsidR="005F61A7" w:rsidRPr="005F61A7">
              <w:rPr>
                <w:rFonts w:ascii="Calibri" w:hAnsi="Calibri"/>
                <w:b w:val="0"/>
                <w:bCs w:val="0"/>
                <w:i w:val="0"/>
                <w:iCs w:val="0"/>
                <w:noProof/>
                <w:webHidden/>
              </w:rPr>
              <w:tab/>
            </w:r>
            <w:r w:rsidR="005F61A7" w:rsidRPr="005F61A7">
              <w:rPr>
                <w:rFonts w:ascii="Calibri" w:hAnsi="Calibri"/>
                <w:b w:val="0"/>
                <w:bCs w:val="0"/>
                <w:i w:val="0"/>
                <w:iCs w:val="0"/>
                <w:noProof/>
                <w:webHidden/>
              </w:rPr>
              <w:fldChar w:fldCharType="begin"/>
            </w:r>
            <w:r w:rsidR="005F61A7" w:rsidRPr="005F61A7">
              <w:rPr>
                <w:rFonts w:ascii="Calibri" w:hAnsi="Calibri"/>
                <w:b w:val="0"/>
                <w:bCs w:val="0"/>
                <w:i w:val="0"/>
                <w:iCs w:val="0"/>
                <w:noProof/>
                <w:webHidden/>
              </w:rPr>
              <w:instrText xml:space="preserve"> PAGEREF _Toc168605162 \h </w:instrText>
            </w:r>
            <w:r w:rsidR="005F61A7" w:rsidRPr="005F61A7">
              <w:rPr>
                <w:rFonts w:ascii="Calibri" w:hAnsi="Calibri"/>
                <w:b w:val="0"/>
                <w:bCs w:val="0"/>
                <w:i w:val="0"/>
                <w:iCs w:val="0"/>
                <w:noProof/>
                <w:webHidden/>
              </w:rPr>
            </w:r>
            <w:r w:rsidR="005F61A7" w:rsidRPr="005F61A7">
              <w:rPr>
                <w:rFonts w:ascii="Calibri" w:hAnsi="Calibri"/>
                <w:b w:val="0"/>
                <w:bCs w:val="0"/>
                <w:i w:val="0"/>
                <w:iCs w:val="0"/>
                <w:noProof/>
                <w:webHidden/>
              </w:rPr>
              <w:fldChar w:fldCharType="separate"/>
            </w:r>
            <w:r w:rsidR="005F61A7" w:rsidRPr="005F61A7">
              <w:rPr>
                <w:rFonts w:ascii="Calibri" w:hAnsi="Calibri"/>
                <w:b w:val="0"/>
                <w:bCs w:val="0"/>
                <w:i w:val="0"/>
                <w:iCs w:val="0"/>
                <w:noProof/>
                <w:webHidden/>
              </w:rPr>
              <w:t>5</w:t>
            </w:r>
            <w:r w:rsidR="005F61A7" w:rsidRPr="005F61A7">
              <w:rPr>
                <w:rFonts w:ascii="Calibri" w:hAnsi="Calibri"/>
                <w:b w:val="0"/>
                <w:bCs w:val="0"/>
                <w:i w:val="0"/>
                <w:iCs w:val="0"/>
                <w:noProof/>
                <w:webHidden/>
              </w:rPr>
              <w:fldChar w:fldCharType="end"/>
            </w:r>
          </w:hyperlink>
        </w:p>
        <w:p w14:paraId="1CFECE28" w14:textId="301D1BF9" w:rsidR="005F61A7" w:rsidRPr="005F61A7" w:rsidRDefault="002F5B2E" w:rsidP="005F61A7">
          <w:pPr>
            <w:pStyle w:val="TOC1"/>
            <w:tabs>
              <w:tab w:val="right" w:leader="dot" w:pos="13948"/>
            </w:tabs>
            <w:rPr>
              <w:rFonts w:ascii="Calibri" w:hAnsi="Calibri"/>
              <w:b w:val="0"/>
              <w:bCs w:val="0"/>
              <w:i w:val="0"/>
              <w:iCs w:val="0"/>
              <w:noProof/>
            </w:rPr>
          </w:pPr>
          <w:hyperlink w:anchor="_Toc168605163" w:history="1">
            <w:r w:rsidR="005F61A7" w:rsidRPr="005F61A7">
              <w:rPr>
                <w:rStyle w:val="Hyperlink"/>
                <w:rFonts w:ascii="Calibri" w:hAnsi="Calibri"/>
                <w:b w:val="0"/>
                <w:bCs w:val="0"/>
                <w:i w:val="0"/>
                <w:iCs w:val="0"/>
                <w:noProof/>
              </w:rPr>
              <w:t>Key main reasons of the decline in profitability of the hotel</w:t>
            </w:r>
            <w:r w:rsidR="005F61A7" w:rsidRPr="005F61A7">
              <w:rPr>
                <w:rFonts w:ascii="Calibri" w:hAnsi="Calibri"/>
                <w:b w:val="0"/>
                <w:bCs w:val="0"/>
                <w:i w:val="0"/>
                <w:iCs w:val="0"/>
                <w:noProof/>
                <w:webHidden/>
              </w:rPr>
              <w:tab/>
            </w:r>
            <w:r w:rsidR="005F61A7" w:rsidRPr="005F61A7">
              <w:rPr>
                <w:rFonts w:ascii="Calibri" w:hAnsi="Calibri"/>
                <w:b w:val="0"/>
                <w:bCs w:val="0"/>
                <w:i w:val="0"/>
                <w:iCs w:val="0"/>
                <w:noProof/>
                <w:webHidden/>
              </w:rPr>
              <w:fldChar w:fldCharType="begin"/>
            </w:r>
            <w:r w:rsidR="005F61A7" w:rsidRPr="005F61A7">
              <w:rPr>
                <w:rFonts w:ascii="Calibri" w:hAnsi="Calibri"/>
                <w:b w:val="0"/>
                <w:bCs w:val="0"/>
                <w:i w:val="0"/>
                <w:iCs w:val="0"/>
                <w:noProof/>
                <w:webHidden/>
              </w:rPr>
              <w:instrText xml:space="preserve"> PAGEREF _Toc168605163 \h </w:instrText>
            </w:r>
            <w:r w:rsidR="005F61A7" w:rsidRPr="005F61A7">
              <w:rPr>
                <w:rFonts w:ascii="Calibri" w:hAnsi="Calibri"/>
                <w:b w:val="0"/>
                <w:bCs w:val="0"/>
                <w:i w:val="0"/>
                <w:iCs w:val="0"/>
                <w:noProof/>
                <w:webHidden/>
              </w:rPr>
            </w:r>
            <w:r w:rsidR="005F61A7" w:rsidRPr="005F61A7">
              <w:rPr>
                <w:rFonts w:ascii="Calibri" w:hAnsi="Calibri"/>
                <w:b w:val="0"/>
                <w:bCs w:val="0"/>
                <w:i w:val="0"/>
                <w:iCs w:val="0"/>
                <w:noProof/>
                <w:webHidden/>
              </w:rPr>
              <w:fldChar w:fldCharType="separate"/>
            </w:r>
            <w:r w:rsidR="005F61A7" w:rsidRPr="005F61A7">
              <w:rPr>
                <w:rFonts w:ascii="Calibri" w:hAnsi="Calibri"/>
                <w:b w:val="0"/>
                <w:bCs w:val="0"/>
                <w:i w:val="0"/>
                <w:iCs w:val="0"/>
                <w:noProof/>
                <w:webHidden/>
              </w:rPr>
              <w:t>6</w:t>
            </w:r>
            <w:r w:rsidR="005F61A7" w:rsidRPr="005F61A7">
              <w:rPr>
                <w:rFonts w:ascii="Calibri" w:hAnsi="Calibri"/>
                <w:b w:val="0"/>
                <w:bCs w:val="0"/>
                <w:i w:val="0"/>
                <w:iCs w:val="0"/>
                <w:noProof/>
                <w:webHidden/>
              </w:rPr>
              <w:fldChar w:fldCharType="end"/>
            </w:r>
          </w:hyperlink>
        </w:p>
        <w:p w14:paraId="7637A899" w14:textId="433DA920" w:rsidR="005F61A7" w:rsidRPr="005F61A7" w:rsidRDefault="002F5B2E" w:rsidP="005F61A7">
          <w:pPr>
            <w:pStyle w:val="TOC1"/>
            <w:tabs>
              <w:tab w:val="right" w:leader="dot" w:pos="13948"/>
            </w:tabs>
            <w:rPr>
              <w:rFonts w:ascii="Calibri" w:hAnsi="Calibri"/>
              <w:b w:val="0"/>
              <w:bCs w:val="0"/>
              <w:i w:val="0"/>
              <w:iCs w:val="0"/>
              <w:noProof/>
            </w:rPr>
          </w:pPr>
          <w:hyperlink w:anchor="_Toc168605164" w:history="1">
            <w:r w:rsidR="005F61A7" w:rsidRPr="005F61A7">
              <w:rPr>
                <w:rStyle w:val="Hyperlink"/>
                <w:rFonts w:ascii="Calibri" w:hAnsi="Calibri"/>
                <w:b w:val="0"/>
                <w:bCs w:val="0"/>
                <w:i w:val="0"/>
                <w:iCs w:val="0"/>
                <w:noProof/>
              </w:rPr>
              <w:t>Development of turnaround strategy for the hotel revitalisation</w:t>
            </w:r>
            <w:r w:rsidR="005F61A7" w:rsidRPr="005F61A7">
              <w:rPr>
                <w:rFonts w:ascii="Calibri" w:hAnsi="Calibri"/>
                <w:b w:val="0"/>
                <w:bCs w:val="0"/>
                <w:i w:val="0"/>
                <w:iCs w:val="0"/>
                <w:noProof/>
                <w:webHidden/>
              </w:rPr>
              <w:tab/>
            </w:r>
            <w:r w:rsidR="005F61A7" w:rsidRPr="005F61A7">
              <w:rPr>
                <w:rFonts w:ascii="Calibri" w:hAnsi="Calibri"/>
                <w:b w:val="0"/>
                <w:bCs w:val="0"/>
                <w:i w:val="0"/>
                <w:iCs w:val="0"/>
                <w:noProof/>
                <w:webHidden/>
              </w:rPr>
              <w:fldChar w:fldCharType="begin"/>
            </w:r>
            <w:r w:rsidR="005F61A7" w:rsidRPr="005F61A7">
              <w:rPr>
                <w:rFonts w:ascii="Calibri" w:hAnsi="Calibri"/>
                <w:b w:val="0"/>
                <w:bCs w:val="0"/>
                <w:i w:val="0"/>
                <w:iCs w:val="0"/>
                <w:noProof/>
                <w:webHidden/>
              </w:rPr>
              <w:instrText xml:space="preserve"> PAGEREF _Toc168605164 \h </w:instrText>
            </w:r>
            <w:r w:rsidR="005F61A7" w:rsidRPr="005F61A7">
              <w:rPr>
                <w:rFonts w:ascii="Calibri" w:hAnsi="Calibri"/>
                <w:b w:val="0"/>
                <w:bCs w:val="0"/>
                <w:i w:val="0"/>
                <w:iCs w:val="0"/>
                <w:noProof/>
                <w:webHidden/>
              </w:rPr>
            </w:r>
            <w:r w:rsidR="005F61A7" w:rsidRPr="005F61A7">
              <w:rPr>
                <w:rFonts w:ascii="Calibri" w:hAnsi="Calibri"/>
                <w:b w:val="0"/>
                <w:bCs w:val="0"/>
                <w:i w:val="0"/>
                <w:iCs w:val="0"/>
                <w:noProof/>
                <w:webHidden/>
              </w:rPr>
              <w:fldChar w:fldCharType="separate"/>
            </w:r>
            <w:r w:rsidR="005F61A7" w:rsidRPr="005F61A7">
              <w:rPr>
                <w:rFonts w:ascii="Calibri" w:hAnsi="Calibri"/>
                <w:b w:val="0"/>
                <w:bCs w:val="0"/>
                <w:i w:val="0"/>
                <w:iCs w:val="0"/>
                <w:noProof/>
                <w:webHidden/>
              </w:rPr>
              <w:t>8</w:t>
            </w:r>
            <w:r w:rsidR="005F61A7" w:rsidRPr="005F61A7">
              <w:rPr>
                <w:rFonts w:ascii="Calibri" w:hAnsi="Calibri"/>
                <w:b w:val="0"/>
                <w:bCs w:val="0"/>
                <w:i w:val="0"/>
                <w:iCs w:val="0"/>
                <w:noProof/>
                <w:webHidden/>
              </w:rPr>
              <w:fldChar w:fldCharType="end"/>
            </w:r>
          </w:hyperlink>
        </w:p>
        <w:p w14:paraId="504BEE24" w14:textId="6CB1F43B" w:rsidR="005F61A7" w:rsidRPr="005F61A7" w:rsidRDefault="002F5B2E" w:rsidP="005F61A7">
          <w:pPr>
            <w:pStyle w:val="TOC1"/>
            <w:tabs>
              <w:tab w:val="right" w:leader="dot" w:pos="13948"/>
            </w:tabs>
            <w:rPr>
              <w:rFonts w:ascii="Calibri" w:hAnsi="Calibri"/>
              <w:b w:val="0"/>
              <w:bCs w:val="0"/>
              <w:i w:val="0"/>
              <w:iCs w:val="0"/>
              <w:noProof/>
            </w:rPr>
          </w:pPr>
          <w:hyperlink w:anchor="_Toc168605165" w:history="1">
            <w:r w:rsidR="005F61A7" w:rsidRPr="005F61A7">
              <w:rPr>
                <w:rStyle w:val="Hyperlink"/>
                <w:rFonts w:ascii="Calibri" w:hAnsi="Calibri"/>
                <w:b w:val="0"/>
                <w:bCs w:val="0"/>
                <w:i w:val="0"/>
                <w:iCs w:val="0"/>
                <w:noProof/>
              </w:rPr>
              <w:t>Conclusion</w:t>
            </w:r>
            <w:r w:rsidR="005F61A7" w:rsidRPr="005F61A7">
              <w:rPr>
                <w:rFonts w:ascii="Calibri" w:hAnsi="Calibri"/>
                <w:b w:val="0"/>
                <w:bCs w:val="0"/>
                <w:i w:val="0"/>
                <w:iCs w:val="0"/>
                <w:noProof/>
                <w:webHidden/>
              </w:rPr>
              <w:tab/>
            </w:r>
            <w:r w:rsidR="005F61A7" w:rsidRPr="005F61A7">
              <w:rPr>
                <w:rFonts w:ascii="Calibri" w:hAnsi="Calibri"/>
                <w:b w:val="0"/>
                <w:bCs w:val="0"/>
                <w:i w:val="0"/>
                <w:iCs w:val="0"/>
                <w:noProof/>
                <w:webHidden/>
              </w:rPr>
              <w:fldChar w:fldCharType="begin"/>
            </w:r>
            <w:r w:rsidR="005F61A7" w:rsidRPr="005F61A7">
              <w:rPr>
                <w:rFonts w:ascii="Calibri" w:hAnsi="Calibri"/>
                <w:b w:val="0"/>
                <w:bCs w:val="0"/>
                <w:i w:val="0"/>
                <w:iCs w:val="0"/>
                <w:noProof/>
                <w:webHidden/>
              </w:rPr>
              <w:instrText xml:space="preserve"> PAGEREF _Toc168605165 \h </w:instrText>
            </w:r>
            <w:r w:rsidR="005F61A7" w:rsidRPr="005F61A7">
              <w:rPr>
                <w:rFonts w:ascii="Calibri" w:hAnsi="Calibri"/>
                <w:b w:val="0"/>
                <w:bCs w:val="0"/>
                <w:i w:val="0"/>
                <w:iCs w:val="0"/>
                <w:noProof/>
                <w:webHidden/>
              </w:rPr>
            </w:r>
            <w:r w:rsidR="005F61A7" w:rsidRPr="005F61A7">
              <w:rPr>
                <w:rFonts w:ascii="Calibri" w:hAnsi="Calibri"/>
                <w:b w:val="0"/>
                <w:bCs w:val="0"/>
                <w:i w:val="0"/>
                <w:iCs w:val="0"/>
                <w:noProof/>
                <w:webHidden/>
              </w:rPr>
              <w:fldChar w:fldCharType="separate"/>
            </w:r>
            <w:r w:rsidR="005F61A7" w:rsidRPr="005F61A7">
              <w:rPr>
                <w:rFonts w:ascii="Calibri" w:hAnsi="Calibri"/>
                <w:b w:val="0"/>
                <w:bCs w:val="0"/>
                <w:i w:val="0"/>
                <w:iCs w:val="0"/>
                <w:noProof/>
                <w:webHidden/>
              </w:rPr>
              <w:t>10</w:t>
            </w:r>
            <w:r w:rsidR="005F61A7" w:rsidRPr="005F61A7">
              <w:rPr>
                <w:rFonts w:ascii="Calibri" w:hAnsi="Calibri"/>
                <w:b w:val="0"/>
                <w:bCs w:val="0"/>
                <w:i w:val="0"/>
                <w:iCs w:val="0"/>
                <w:noProof/>
                <w:webHidden/>
              </w:rPr>
              <w:fldChar w:fldCharType="end"/>
            </w:r>
          </w:hyperlink>
        </w:p>
        <w:p w14:paraId="0BFBBEF6" w14:textId="00979A49" w:rsidR="005F61A7" w:rsidRPr="005F61A7" w:rsidRDefault="002F5B2E" w:rsidP="005F61A7">
          <w:pPr>
            <w:pStyle w:val="TOC1"/>
            <w:tabs>
              <w:tab w:val="right" w:leader="dot" w:pos="13948"/>
            </w:tabs>
            <w:rPr>
              <w:rFonts w:ascii="Calibri" w:hAnsi="Calibri"/>
              <w:b w:val="0"/>
              <w:bCs w:val="0"/>
              <w:i w:val="0"/>
              <w:iCs w:val="0"/>
              <w:noProof/>
            </w:rPr>
          </w:pPr>
          <w:hyperlink w:anchor="_Toc168605166" w:history="1">
            <w:r w:rsidR="005F61A7" w:rsidRPr="005F61A7">
              <w:rPr>
                <w:rStyle w:val="Hyperlink"/>
                <w:rFonts w:ascii="Calibri" w:hAnsi="Calibri"/>
                <w:b w:val="0"/>
                <w:bCs w:val="0"/>
                <w:i w:val="0"/>
                <w:iCs w:val="0"/>
                <w:noProof/>
              </w:rPr>
              <w:t>References</w:t>
            </w:r>
            <w:r w:rsidR="005F61A7" w:rsidRPr="005F61A7">
              <w:rPr>
                <w:rFonts w:ascii="Calibri" w:hAnsi="Calibri"/>
                <w:b w:val="0"/>
                <w:bCs w:val="0"/>
                <w:i w:val="0"/>
                <w:iCs w:val="0"/>
                <w:noProof/>
                <w:webHidden/>
              </w:rPr>
              <w:tab/>
            </w:r>
            <w:r w:rsidR="005F61A7" w:rsidRPr="005F61A7">
              <w:rPr>
                <w:rFonts w:ascii="Calibri" w:hAnsi="Calibri"/>
                <w:b w:val="0"/>
                <w:bCs w:val="0"/>
                <w:i w:val="0"/>
                <w:iCs w:val="0"/>
                <w:noProof/>
                <w:webHidden/>
              </w:rPr>
              <w:fldChar w:fldCharType="begin"/>
            </w:r>
            <w:r w:rsidR="005F61A7" w:rsidRPr="005F61A7">
              <w:rPr>
                <w:rFonts w:ascii="Calibri" w:hAnsi="Calibri"/>
                <w:b w:val="0"/>
                <w:bCs w:val="0"/>
                <w:i w:val="0"/>
                <w:iCs w:val="0"/>
                <w:noProof/>
                <w:webHidden/>
              </w:rPr>
              <w:instrText xml:space="preserve"> PAGEREF _Toc168605166 \h </w:instrText>
            </w:r>
            <w:r w:rsidR="005F61A7" w:rsidRPr="005F61A7">
              <w:rPr>
                <w:rFonts w:ascii="Calibri" w:hAnsi="Calibri"/>
                <w:b w:val="0"/>
                <w:bCs w:val="0"/>
                <w:i w:val="0"/>
                <w:iCs w:val="0"/>
                <w:noProof/>
                <w:webHidden/>
              </w:rPr>
            </w:r>
            <w:r w:rsidR="005F61A7" w:rsidRPr="005F61A7">
              <w:rPr>
                <w:rFonts w:ascii="Calibri" w:hAnsi="Calibri"/>
                <w:b w:val="0"/>
                <w:bCs w:val="0"/>
                <w:i w:val="0"/>
                <w:iCs w:val="0"/>
                <w:noProof/>
                <w:webHidden/>
              </w:rPr>
              <w:fldChar w:fldCharType="separate"/>
            </w:r>
            <w:r w:rsidR="005F61A7" w:rsidRPr="005F61A7">
              <w:rPr>
                <w:rFonts w:ascii="Calibri" w:hAnsi="Calibri"/>
                <w:b w:val="0"/>
                <w:bCs w:val="0"/>
                <w:i w:val="0"/>
                <w:iCs w:val="0"/>
                <w:noProof/>
                <w:webHidden/>
              </w:rPr>
              <w:t>11</w:t>
            </w:r>
            <w:r w:rsidR="005F61A7" w:rsidRPr="005F61A7">
              <w:rPr>
                <w:rFonts w:ascii="Calibri" w:hAnsi="Calibri"/>
                <w:b w:val="0"/>
                <w:bCs w:val="0"/>
                <w:i w:val="0"/>
                <w:iCs w:val="0"/>
                <w:noProof/>
                <w:webHidden/>
              </w:rPr>
              <w:fldChar w:fldCharType="end"/>
            </w:r>
          </w:hyperlink>
        </w:p>
        <w:p w14:paraId="6664B41F" w14:textId="53068B81" w:rsidR="005F61A7" w:rsidRDefault="005F61A7" w:rsidP="005F61A7">
          <w:r w:rsidRPr="005F61A7">
            <w:rPr>
              <w:noProof/>
            </w:rPr>
            <w:fldChar w:fldCharType="end"/>
          </w:r>
        </w:p>
      </w:sdtContent>
    </w:sdt>
    <w:p w14:paraId="0A876258" w14:textId="77777777" w:rsidR="005F61A7" w:rsidRDefault="005F61A7">
      <w:pPr>
        <w:spacing w:line="278" w:lineRule="auto"/>
        <w:rPr>
          <w:rFonts w:eastAsiaTheme="majorEastAsia"/>
          <w:color w:val="0F4761" w:themeColor="accent1" w:themeShade="BF"/>
          <w:sz w:val="40"/>
          <w:szCs w:val="40"/>
        </w:rPr>
      </w:pPr>
      <w:r>
        <w:br w:type="page"/>
      </w:r>
    </w:p>
    <w:p w14:paraId="3D3E195A" w14:textId="4BB8C5C1" w:rsidR="007F7807" w:rsidRDefault="007F7807" w:rsidP="007F7807">
      <w:pPr>
        <w:pStyle w:val="Heading1"/>
      </w:pPr>
      <w:bookmarkStart w:id="1" w:name="_Toc168605160"/>
      <w:r>
        <w:lastRenderedPageBreak/>
        <w:t>Introduction</w:t>
      </w:r>
      <w:bookmarkEnd w:id="1"/>
    </w:p>
    <w:p w14:paraId="520C0272" w14:textId="683F2E41" w:rsidR="007F7807" w:rsidRDefault="00B071A4" w:rsidP="00B071A4">
      <w:r>
        <w:t xml:space="preserve">The financial performance of the Urban Heights Hotel in the three-year period 2a021-2023 thus presented notable changes, thus reflecting the challenges and opportunities that the hospitality industry is facing. Initially, the hotel experienced constant increases in income, determined by the strong demand on the market but also by more effective pricing strategies. However, this period also saw a significant increase in operating expenses, such as higher costs for goods, </w:t>
      </w:r>
      <w:r w:rsidR="005F61A7">
        <w:t>labour</w:t>
      </w:r>
      <w:r>
        <w:t xml:space="preserve"> and utilities, which thus exceeded the increase in income. In addition to this, the profitability of the assets and of the hotel's own capital fell suddenly, thus </w:t>
      </w:r>
      <w:r w:rsidR="005F61A7">
        <w:t>signalling</w:t>
      </w:r>
      <w:r>
        <w:t xml:space="preserve"> a deterioration of the financial health. This analysis explores the reasons behind these financial trends and the key factors that contribute to the decrease in profitability. the report analyzes the financial performance of the Urban Heights Hotel, thus examining the trends of these revenues and expenses, profitability fluctuations as well as the key reasons for the decrease in ROA and ROE from the year 2021 to the year 2023. It thus explores the impact of the increase in operating costs of the increased competition but also of the Covid-19 pandemic. It also proposes a comprehensive recovery strategy to restore the hotel's financial health and competitiveness</w:t>
      </w:r>
    </w:p>
    <w:p w14:paraId="7F690FB1" w14:textId="77777777" w:rsidR="007F7807" w:rsidRDefault="007F7807" w:rsidP="007F7807">
      <w:r>
        <w:br w:type="page"/>
      </w:r>
    </w:p>
    <w:p w14:paraId="066E210F" w14:textId="77777777" w:rsidR="007F7807" w:rsidRPr="007F7807" w:rsidRDefault="007F7807" w:rsidP="007F7807">
      <w:pPr>
        <w:pStyle w:val="Heading1"/>
      </w:pPr>
      <w:bookmarkStart w:id="2" w:name="_Toc168479820"/>
      <w:bookmarkStart w:id="3" w:name="_Toc168605161"/>
      <w:bookmarkStart w:id="4" w:name="_Toc168437335"/>
      <w:r w:rsidRPr="007F7807">
        <w:lastRenderedPageBreak/>
        <w:t>Evaluation of the patterns and trends in Urban Heights Hotel</w:t>
      </w:r>
      <w:bookmarkEnd w:id="2"/>
      <w:bookmarkEnd w:id="3"/>
      <w:r w:rsidRPr="007F7807">
        <w:t xml:space="preserve"> </w:t>
      </w:r>
      <w:bookmarkEnd w:id="4"/>
    </w:p>
    <w:tbl>
      <w:tblPr>
        <w:tblStyle w:val="ListTable7Colorful-Accent5"/>
        <w:tblW w:w="15448" w:type="dxa"/>
        <w:tblInd w:w="-731" w:type="dxa"/>
        <w:tblLook w:val="04A0" w:firstRow="1" w:lastRow="0" w:firstColumn="1" w:lastColumn="0" w:noHBand="0" w:noVBand="1"/>
      </w:tblPr>
      <w:tblGrid>
        <w:gridCol w:w="2893"/>
        <w:gridCol w:w="4242"/>
        <w:gridCol w:w="4242"/>
        <w:gridCol w:w="4071"/>
      </w:tblGrid>
      <w:tr w:rsidR="007F7807" w:rsidRPr="007F7807" w14:paraId="41C6F74F" w14:textId="77777777" w:rsidTr="007F7807">
        <w:trPr>
          <w:cnfStyle w:val="100000000000" w:firstRow="1" w:lastRow="0" w:firstColumn="0" w:lastColumn="0" w:oddVBand="0" w:evenVBand="0" w:oddHBand="0" w:evenHBand="0" w:firstRowFirstColumn="0" w:firstRowLastColumn="0" w:lastRowFirstColumn="0" w:lastRowLastColumn="0"/>
          <w:trHeight w:val="630"/>
        </w:trPr>
        <w:tc>
          <w:tcPr>
            <w:cnfStyle w:val="001000000100" w:firstRow="0" w:lastRow="0" w:firstColumn="1" w:lastColumn="0" w:oddVBand="0" w:evenVBand="0" w:oddHBand="0" w:evenHBand="0" w:firstRowFirstColumn="1" w:firstRowLastColumn="0" w:lastRowFirstColumn="0" w:lastRowLastColumn="0"/>
            <w:tcW w:w="2893" w:type="dxa"/>
          </w:tcPr>
          <w:p w14:paraId="49F6DE64" w14:textId="77777777" w:rsidR="007F7807" w:rsidRPr="007F7807" w:rsidRDefault="007F7807" w:rsidP="007F7807">
            <w:r w:rsidRPr="007F7807">
              <w:t>RATIO</w:t>
            </w:r>
          </w:p>
        </w:tc>
        <w:tc>
          <w:tcPr>
            <w:tcW w:w="4242" w:type="dxa"/>
          </w:tcPr>
          <w:p w14:paraId="0E4F1C8B" w14:textId="77777777" w:rsidR="007F7807" w:rsidRPr="007F7807" w:rsidRDefault="007F7807" w:rsidP="007F7807">
            <w:pPr>
              <w:cnfStyle w:val="100000000000" w:firstRow="1" w:lastRow="0" w:firstColumn="0" w:lastColumn="0" w:oddVBand="0" w:evenVBand="0" w:oddHBand="0" w:evenHBand="0" w:firstRowFirstColumn="0" w:firstRowLastColumn="0" w:lastRowFirstColumn="0" w:lastRowLastColumn="0"/>
            </w:pPr>
            <w:r w:rsidRPr="007F7807">
              <w:t>2021</w:t>
            </w:r>
          </w:p>
        </w:tc>
        <w:tc>
          <w:tcPr>
            <w:tcW w:w="4242" w:type="dxa"/>
          </w:tcPr>
          <w:p w14:paraId="0C06C3C9" w14:textId="77777777" w:rsidR="007F7807" w:rsidRPr="007F7807" w:rsidRDefault="007F7807" w:rsidP="007F7807">
            <w:pPr>
              <w:cnfStyle w:val="100000000000" w:firstRow="1" w:lastRow="0" w:firstColumn="0" w:lastColumn="0" w:oddVBand="0" w:evenVBand="0" w:oddHBand="0" w:evenHBand="0" w:firstRowFirstColumn="0" w:firstRowLastColumn="0" w:lastRowFirstColumn="0" w:lastRowLastColumn="0"/>
            </w:pPr>
            <w:r w:rsidRPr="007F7807">
              <w:t>2022</w:t>
            </w:r>
          </w:p>
        </w:tc>
        <w:tc>
          <w:tcPr>
            <w:tcW w:w="4071" w:type="dxa"/>
          </w:tcPr>
          <w:p w14:paraId="7A91ADD6" w14:textId="77777777" w:rsidR="007F7807" w:rsidRPr="007F7807" w:rsidRDefault="007F7807" w:rsidP="007F7807">
            <w:pPr>
              <w:cnfStyle w:val="100000000000" w:firstRow="1" w:lastRow="0" w:firstColumn="0" w:lastColumn="0" w:oddVBand="0" w:evenVBand="0" w:oddHBand="0" w:evenHBand="0" w:firstRowFirstColumn="0" w:firstRowLastColumn="0" w:lastRowFirstColumn="0" w:lastRowLastColumn="0"/>
            </w:pPr>
            <w:r w:rsidRPr="007F7807">
              <w:t>2023</w:t>
            </w:r>
          </w:p>
        </w:tc>
      </w:tr>
      <w:tr w:rsidR="007F7807" w:rsidRPr="007F7807" w14:paraId="6184DD41" w14:textId="77777777" w:rsidTr="007F7807">
        <w:trPr>
          <w:cnfStyle w:val="000000100000" w:firstRow="0" w:lastRow="0" w:firstColumn="0" w:lastColumn="0" w:oddVBand="0" w:evenVBand="0" w:oddHBand="1" w:evenHBand="0" w:firstRowFirstColumn="0" w:firstRowLastColumn="0" w:lastRowFirstColumn="0" w:lastRowLastColumn="0"/>
          <w:trHeight w:val="1004"/>
        </w:trPr>
        <w:tc>
          <w:tcPr>
            <w:cnfStyle w:val="001000000000" w:firstRow="0" w:lastRow="0" w:firstColumn="1" w:lastColumn="0" w:oddVBand="0" w:evenVBand="0" w:oddHBand="0" w:evenHBand="0" w:firstRowFirstColumn="0" w:firstRowLastColumn="0" w:lastRowFirstColumn="0" w:lastRowLastColumn="0"/>
            <w:tcW w:w="2893" w:type="dxa"/>
          </w:tcPr>
          <w:p w14:paraId="256ACF88" w14:textId="77777777" w:rsidR="007F7807" w:rsidRDefault="007F7807" w:rsidP="007F7807">
            <w:pPr>
              <w:rPr>
                <w:rFonts w:asciiTheme="majorHAnsi" w:hAnsiTheme="majorHAnsi" w:cstheme="majorBidi"/>
                <w:i w:val="0"/>
                <w:iCs w:val="0"/>
              </w:rPr>
            </w:pPr>
            <w:r w:rsidRPr="007F7807">
              <w:t>Current ratio</w:t>
            </w:r>
          </w:p>
          <w:p w14:paraId="090A6240" w14:textId="41C021C3" w:rsidR="007F7807" w:rsidRPr="007F7807" w:rsidRDefault="007F7807" w:rsidP="007F7807">
            <w:pPr>
              <w:rPr>
                <w:color w:val="auto"/>
              </w:rPr>
            </w:pPr>
            <w:r w:rsidRPr="007F7807">
              <w:t>Current assets / current liabilities</w:t>
            </w:r>
          </w:p>
        </w:tc>
        <w:tc>
          <w:tcPr>
            <w:tcW w:w="4242" w:type="dxa"/>
          </w:tcPr>
          <w:p w14:paraId="244293C9" w14:textId="19116837"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300</w:t>
            </w:r>
            <w:r>
              <w:t>,</w:t>
            </w:r>
            <w:r w:rsidRPr="007F7807">
              <w:t xml:space="preserve">000 + </w:t>
            </w:r>
            <w:r>
              <w:t>£</w:t>
            </w:r>
            <w:r w:rsidRPr="007F7807">
              <w:t>150</w:t>
            </w:r>
            <w:r>
              <w:t>,</w:t>
            </w:r>
            <w:r w:rsidRPr="007F7807">
              <w:t xml:space="preserve">000 / </w:t>
            </w:r>
            <w:r>
              <w:t>£</w:t>
            </w:r>
            <w:r w:rsidRPr="007F7807">
              <w:t>250</w:t>
            </w:r>
            <w:r>
              <w:t>,</w:t>
            </w:r>
            <w:r w:rsidRPr="007F7807">
              <w:t>000 = 1.8</w:t>
            </w:r>
          </w:p>
        </w:tc>
        <w:tc>
          <w:tcPr>
            <w:tcW w:w="4242" w:type="dxa"/>
          </w:tcPr>
          <w:p w14:paraId="292C4C3B" w14:textId="168FD375"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200</w:t>
            </w:r>
            <w:r>
              <w:t>,</w:t>
            </w:r>
            <w:r w:rsidRPr="007F7807">
              <w:t xml:space="preserve">000 + </w:t>
            </w:r>
            <w:r>
              <w:t>£</w:t>
            </w:r>
            <w:r w:rsidRPr="007F7807">
              <w:t>100</w:t>
            </w:r>
            <w:r>
              <w:t>,</w:t>
            </w:r>
            <w:r w:rsidRPr="007F7807">
              <w:t xml:space="preserve">000 / </w:t>
            </w:r>
            <w:r>
              <w:t>£</w:t>
            </w:r>
            <w:r w:rsidRPr="007F7807">
              <w:t>270</w:t>
            </w:r>
            <w:r>
              <w:t>,</w:t>
            </w:r>
            <w:r w:rsidRPr="007F7807">
              <w:t>000 = 1.1</w:t>
            </w:r>
          </w:p>
        </w:tc>
        <w:tc>
          <w:tcPr>
            <w:tcW w:w="4071" w:type="dxa"/>
          </w:tcPr>
          <w:p w14:paraId="23752E7B" w14:textId="3703BF02"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100</w:t>
            </w:r>
            <w:r>
              <w:t>,</w:t>
            </w:r>
            <w:r w:rsidRPr="007F7807">
              <w:t xml:space="preserve">000 + </w:t>
            </w:r>
            <w:r>
              <w:t>£</w:t>
            </w:r>
            <w:r w:rsidRPr="007F7807">
              <w:t>80</w:t>
            </w:r>
            <w:r>
              <w:t>,</w:t>
            </w:r>
            <w:r w:rsidRPr="007F7807">
              <w:t>000 / 300</w:t>
            </w:r>
            <w:r>
              <w:t>,</w:t>
            </w:r>
            <w:r w:rsidRPr="007F7807">
              <w:t>000 = 0.6</w:t>
            </w:r>
          </w:p>
        </w:tc>
      </w:tr>
      <w:tr w:rsidR="007F7807" w:rsidRPr="007F7807" w14:paraId="4C405E9F" w14:textId="77777777" w:rsidTr="007F7807">
        <w:trPr>
          <w:trHeight w:val="805"/>
        </w:trPr>
        <w:tc>
          <w:tcPr>
            <w:cnfStyle w:val="001000000000" w:firstRow="0" w:lastRow="0" w:firstColumn="1" w:lastColumn="0" w:oddVBand="0" w:evenVBand="0" w:oddHBand="0" w:evenHBand="0" w:firstRowFirstColumn="0" w:firstRowLastColumn="0" w:lastRowFirstColumn="0" w:lastRowLastColumn="0"/>
            <w:tcW w:w="2893" w:type="dxa"/>
          </w:tcPr>
          <w:p w14:paraId="68F70BB4" w14:textId="77777777" w:rsidR="007F7807" w:rsidRDefault="007F7807" w:rsidP="007F7807">
            <w:pPr>
              <w:rPr>
                <w:rFonts w:asciiTheme="majorHAnsi" w:hAnsiTheme="majorHAnsi" w:cstheme="majorBidi"/>
                <w:i w:val="0"/>
                <w:iCs w:val="0"/>
              </w:rPr>
            </w:pPr>
            <w:r w:rsidRPr="007F7807">
              <w:t>Debt to equity ratio</w:t>
            </w:r>
          </w:p>
          <w:p w14:paraId="4128E5C6" w14:textId="6888F4EB" w:rsidR="007F7807" w:rsidRPr="007F7807" w:rsidRDefault="007F7807" w:rsidP="007F7807">
            <w:pPr>
              <w:rPr>
                <w:color w:val="auto"/>
              </w:rPr>
            </w:pPr>
            <w:r w:rsidRPr="007F7807">
              <w:t>Total liabilities / equity</w:t>
            </w:r>
          </w:p>
        </w:tc>
        <w:tc>
          <w:tcPr>
            <w:tcW w:w="4242" w:type="dxa"/>
          </w:tcPr>
          <w:p w14:paraId="7CB5CA30" w14:textId="3075D312" w:rsidR="007F7807" w:rsidRPr="007F7807" w:rsidRDefault="007F7807" w:rsidP="007F7807">
            <w:pPr>
              <w:cnfStyle w:val="000000000000" w:firstRow="0" w:lastRow="0" w:firstColumn="0" w:lastColumn="0" w:oddVBand="0" w:evenVBand="0" w:oddHBand="0" w:evenHBand="0" w:firstRowFirstColumn="0" w:firstRowLastColumn="0" w:lastRowFirstColumn="0" w:lastRowLastColumn="0"/>
            </w:pPr>
            <w:r>
              <w:t>£</w:t>
            </w:r>
            <w:r w:rsidRPr="007F7807">
              <w:t>325</w:t>
            </w:r>
            <w:r>
              <w:t>,</w:t>
            </w:r>
            <w:r w:rsidRPr="007F7807">
              <w:t xml:space="preserve">0000 / </w:t>
            </w:r>
            <w:r>
              <w:t>£</w:t>
            </w:r>
            <w:r w:rsidRPr="007F7807">
              <w:t>2</w:t>
            </w:r>
            <w:r>
              <w:t>,</w:t>
            </w:r>
            <w:r w:rsidRPr="007F7807">
              <w:t>200</w:t>
            </w:r>
            <w:r>
              <w:t>,</w:t>
            </w:r>
            <w:r w:rsidRPr="007F7807">
              <w:t>000 =1.48</w:t>
            </w:r>
          </w:p>
        </w:tc>
        <w:tc>
          <w:tcPr>
            <w:tcW w:w="4242" w:type="dxa"/>
          </w:tcPr>
          <w:p w14:paraId="651A7C43" w14:textId="67876CFB" w:rsidR="007F7807" w:rsidRPr="007F7807" w:rsidRDefault="007F7807" w:rsidP="007F7807">
            <w:pPr>
              <w:cnfStyle w:val="000000000000" w:firstRow="0" w:lastRow="0" w:firstColumn="0" w:lastColumn="0" w:oddVBand="0" w:evenVBand="0" w:oddHBand="0" w:evenHBand="0" w:firstRowFirstColumn="0" w:firstRowLastColumn="0" w:lastRowFirstColumn="0" w:lastRowLastColumn="0"/>
            </w:pPr>
            <w:r>
              <w:t>£</w:t>
            </w:r>
            <w:r w:rsidRPr="007F7807">
              <w:t>327</w:t>
            </w:r>
            <w:r>
              <w:t>,</w:t>
            </w:r>
            <w:r w:rsidRPr="007F7807">
              <w:t xml:space="preserve">000 / </w:t>
            </w:r>
            <w:r>
              <w:t>£</w:t>
            </w:r>
            <w:r w:rsidRPr="007F7807">
              <w:t>1</w:t>
            </w:r>
            <w:r>
              <w:t>,</w:t>
            </w:r>
            <w:r w:rsidRPr="007F7807">
              <w:t>830</w:t>
            </w:r>
            <w:r>
              <w:t>,</w:t>
            </w:r>
            <w:r w:rsidRPr="007F7807">
              <w:t>000 = 1.79</w:t>
            </w:r>
          </w:p>
        </w:tc>
        <w:tc>
          <w:tcPr>
            <w:tcW w:w="4071" w:type="dxa"/>
          </w:tcPr>
          <w:p w14:paraId="441DF4AD" w14:textId="592DF519" w:rsidR="007F7807" w:rsidRPr="007F7807" w:rsidRDefault="007F7807" w:rsidP="007F7807">
            <w:pPr>
              <w:cnfStyle w:val="000000000000" w:firstRow="0" w:lastRow="0" w:firstColumn="0" w:lastColumn="0" w:oddVBand="0" w:evenVBand="0" w:oddHBand="0" w:evenHBand="0" w:firstRowFirstColumn="0" w:firstRowLastColumn="0" w:lastRowFirstColumn="0" w:lastRowLastColumn="0"/>
            </w:pPr>
            <w:r>
              <w:t>£</w:t>
            </w:r>
            <w:r w:rsidRPr="007F7807">
              <w:t>3</w:t>
            </w:r>
            <w:r>
              <w:t>,</w:t>
            </w:r>
            <w:r w:rsidRPr="007F7807">
              <w:t>300</w:t>
            </w:r>
            <w:r>
              <w:t>,</w:t>
            </w:r>
            <w:r w:rsidRPr="007F7807">
              <w:t xml:space="preserve">000 / </w:t>
            </w:r>
            <w:r>
              <w:t>£</w:t>
            </w:r>
            <w:r w:rsidRPr="007F7807">
              <w:t>1</w:t>
            </w:r>
            <w:r>
              <w:t>,</w:t>
            </w:r>
            <w:r w:rsidRPr="007F7807">
              <w:t>380</w:t>
            </w:r>
            <w:r>
              <w:t>,</w:t>
            </w:r>
            <w:r w:rsidRPr="007F7807">
              <w:t>000 = 2.39</w:t>
            </w:r>
          </w:p>
        </w:tc>
      </w:tr>
      <w:tr w:rsidR="007F7807" w:rsidRPr="007F7807" w14:paraId="28760475" w14:textId="77777777" w:rsidTr="007F7807">
        <w:trPr>
          <w:cnfStyle w:val="000000100000" w:firstRow="0" w:lastRow="0" w:firstColumn="0" w:lastColumn="0" w:oddVBand="0" w:evenVBand="0" w:oddHBand="1" w:evenHBand="0" w:firstRowFirstColumn="0" w:firstRowLastColumn="0" w:lastRowFirstColumn="0" w:lastRowLastColumn="0"/>
          <w:trHeight w:val="908"/>
        </w:trPr>
        <w:tc>
          <w:tcPr>
            <w:cnfStyle w:val="001000000000" w:firstRow="0" w:lastRow="0" w:firstColumn="1" w:lastColumn="0" w:oddVBand="0" w:evenVBand="0" w:oddHBand="0" w:evenHBand="0" w:firstRowFirstColumn="0" w:firstRowLastColumn="0" w:lastRowFirstColumn="0" w:lastRowLastColumn="0"/>
            <w:tcW w:w="2893" w:type="dxa"/>
          </w:tcPr>
          <w:p w14:paraId="632E0798" w14:textId="77777777" w:rsidR="007F7807" w:rsidRDefault="007F7807" w:rsidP="007F7807">
            <w:pPr>
              <w:rPr>
                <w:rFonts w:asciiTheme="majorHAnsi" w:hAnsiTheme="majorHAnsi" w:cstheme="majorBidi"/>
                <w:i w:val="0"/>
                <w:iCs w:val="0"/>
              </w:rPr>
            </w:pPr>
            <w:r w:rsidRPr="007F7807">
              <w:t>Quick ratio</w:t>
            </w:r>
          </w:p>
          <w:p w14:paraId="5C7AE86E" w14:textId="77E64096" w:rsidR="007F7807" w:rsidRPr="007F7807" w:rsidRDefault="007F7807" w:rsidP="007F7807">
            <w:pPr>
              <w:rPr>
                <w:color w:val="auto"/>
              </w:rPr>
            </w:pPr>
            <w:r w:rsidRPr="007F7807">
              <w:t>inventory / current liabilities</w:t>
            </w:r>
          </w:p>
        </w:tc>
        <w:tc>
          <w:tcPr>
            <w:tcW w:w="4242" w:type="dxa"/>
          </w:tcPr>
          <w:p w14:paraId="42DA6064" w14:textId="7009A89F"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rsidRPr="007F7807">
              <w:t>3</w:t>
            </w:r>
            <w:r>
              <w:t>£</w:t>
            </w:r>
            <w:r w:rsidRPr="007F7807">
              <w:t>00</w:t>
            </w:r>
            <w:r>
              <w:t>,</w:t>
            </w:r>
            <w:r w:rsidRPr="007F7807">
              <w:t xml:space="preserve">000 + </w:t>
            </w:r>
            <w:r>
              <w:t>£</w:t>
            </w:r>
            <w:r w:rsidRPr="007F7807">
              <w:t>150</w:t>
            </w:r>
            <w:r>
              <w:t>,</w:t>
            </w:r>
            <w:r w:rsidRPr="007F7807">
              <w:t xml:space="preserve">000 / </w:t>
            </w:r>
            <w:r>
              <w:t>£</w:t>
            </w:r>
            <w:r w:rsidRPr="007F7807">
              <w:t>250</w:t>
            </w:r>
            <w:r>
              <w:t>,</w:t>
            </w:r>
            <w:r w:rsidRPr="007F7807">
              <w:t>000 = 1.8</w:t>
            </w:r>
          </w:p>
        </w:tc>
        <w:tc>
          <w:tcPr>
            <w:tcW w:w="4242" w:type="dxa"/>
          </w:tcPr>
          <w:p w14:paraId="4EB0C60D" w14:textId="213F28BB"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200</w:t>
            </w:r>
            <w:r>
              <w:t>,</w:t>
            </w:r>
            <w:r w:rsidRPr="007F7807">
              <w:t xml:space="preserve">000 + </w:t>
            </w:r>
            <w:r>
              <w:t>£</w:t>
            </w:r>
            <w:r w:rsidRPr="007F7807">
              <w:t>100</w:t>
            </w:r>
            <w:r>
              <w:t>,</w:t>
            </w:r>
            <w:r w:rsidRPr="007F7807">
              <w:t xml:space="preserve">000 / </w:t>
            </w:r>
            <w:r>
              <w:t>£</w:t>
            </w:r>
            <w:r w:rsidRPr="007F7807">
              <w:t>270</w:t>
            </w:r>
            <w:r>
              <w:t>,</w:t>
            </w:r>
            <w:r w:rsidRPr="007F7807">
              <w:t>000 = 1.1</w:t>
            </w:r>
          </w:p>
        </w:tc>
        <w:tc>
          <w:tcPr>
            <w:tcW w:w="4071" w:type="dxa"/>
          </w:tcPr>
          <w:p w14:paraId="6EAAC5E0" w14:textId="25561D8E"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100</w:t>
            </w:r>
            <w:r>
              <w:t>,</w:t>
            </w:r>
            <w:r w:rsidRPr="007F7807">
              <w:t xml:space="preserve">000 + </w:t>
            </w:r>
            <w:r>
              <w:t>£</w:t>
            </w:r>
            <w:r w:rsidRPr="007F7807">
              <w:t>80</w:t>
            </w:r>
            <w:r>
              <w:t>,</w:t>
            </w:r>
            <w:r w:rsidRPr="007F7807">
              <w:t>000 / 300</w:t>
            </w:r>
            <w:r>
              <w:t>,</w:t>
            </w:r>
            <w:r w:rsidRPr="007F7807">
              <w:t>000 = 0.6</w:t>
            </w:r>
          </w:p>
        </w:tc>
      </w:tr>
      <w:tr w:rsidR="007F7807" w:rsidRPr="007F7807" w14:paraId="04292D84" w14:textId="77777777" w:rsidTr="007F7807">
        <w:trPr>
          <w:trHeight w:val="912"/>
        </w:trPr>
        <w:tc>
          <w:tcPr>
            <w:cnfStyle w:val="001000000000" w:firstRow="0" w:lastRow="0" w:firstColumn="1" w:lastColumn="0" w:oddVBand="0" w:evenVBand="0" w:oddHBand="0" w:evenHBand="0" w:firstRowFirstColumn="0" w:firstRowLastColumn="0" w:lastRowFirstColumn="0" w:lastRowLastColumn="0"/>
            <w:tcW w:w="2893" w:type="dxa"/>
          </w:tcPr>
          <w:p w14:paraId="6C33CD28" w14:textId="77777777" w:rsidR="007F7807" w:rsidRDefault="007F7807" w:rsidP="007F7807">
            <w:pPr>
              <w:rPr>
                <w:rFonts w:asciiTheme="majorHAnsi" w:hAnsiTheme="majorHAnsi" w:cstheme="majorBidi"/>
                <w:i w:val="0"/>
                <w:iCs w:val="0"/>
              </w:rPr>
            </w:pPr>
            <w:r w:rsidRPr="007F7807">
              <w:t>Return on assets (ROA)</w:t>
            </w:r>
          </w:p>
          <w:p w14:paraId="5295CD80" w14:textId="1A5261EF" w:rsidR="007F7807" w:rsidRPr="007F7807" w:rsidRDefault="007F7807" w:rsidP="007F7807">
            <w:pPr>
              <w:rPr>
                <w:color w:val="auto"/>
              </w:rPr>
            </w:pPr>
            <w:r w:rsidRPr="007F7807">
              <w:t>Net income / total assets</w:t>
            </w:r>
          </w:p>
        </w:tc>
        <w:tc>
          <w:tcPr>
            <w:tcW w:w="4242" w:type="dxa"/>
          </w:tcPr>
          <w:p w14:paraId="1BEC00DF" w14:textId="5D901AC6" w:rsidR="007F7807" w:rsidRPr="007F7807" w:rsidRDefault="007F7807" w:rsidP="007F7807">
            <w:pPr>
              <w:cnfStyle w:val="000000000000" w:firstRow="0" w:lastRow="0" w:firstColumn="0" w:lastColumn="0" w:oddVBand="0" w:evenVBand="0" w:oddHBand="0" w:evenHBand="0" w:firstRowFirstColumn="0" w:firstRowLastColumn="0" w:lastRowFirstColumn="0" w:lastRowLastColumn="0"/>
            </w:pPr>
            <w:r>
              <w:t>£</w:t>
            </w:r>
            <w:r w:rsidRPr="007F7807">
              <w:t>700</w:t>
            </w:r>
            <w:r>
              <w:t>,</w:t>
            </w:r>
            <w:r w:rsidRPr="007F7807">
              <w:t xml:space="preserve">000 / </w:t>
            </w:r>
            <w:r>
              <w:t>£</w:t>
            </w:r>
            <w:r w:rsidRPr="007F7807">
              <w:t>5</w:t>
            </w:r>
            <w:r>
              <w:t>,</w:t>
            </w:r>
            <w:r w:rsidRPr="007F7807">
              <w:t>450</w:t>
            </w:r>
            <w:r>
              <w:t>,</w:t>
            </w:r>
            <w:r w:rsidRPr="007F7807">
              <w:t>000 = 12.84%</w:t>
            </w:r>
          </w:p>
        </w:tc>
        <w:tc>
          <w:tcPr>
            <w:tcW w:w="4242" w:type="dxa"/>
          </w:tcPr>
          <w:p w14:paraId="47EA3364" w14:textId="185980DC" w:rsidR="007F7807" w:rsidRPr="007F7807" w:rsidRDefault="007F7807" w:rsidP="007F7807">
            <w:pPr>
              <w:cnfStyle w:val="000000000000" w:firstRow="0" w:lastRow="0" w:firstColumn="0" w:lastColumn="0" w:oddVBand="0" w:evenVBand="0" w:oddHBand="0" w:evenHBand="0" w:firstRowFirstColumn="0" w:firstRowLastColumn="0" w:lastRowFirstColumn="0" w:lastRowLastColumn="0"/>
            </w:pPr>
            <w:r>
              <w:t>£</w:t>
            </w:r>
            <w:r w:rsidRPr="007F7807">
              <w:t>200</w:t>
            </w:r>
            <w:r>
              <w:t>,</w:t>
            </w:r>
            <w:r w:rsidRPr="007F7807">
              <w:t xml:space="preserve">000 / </w:t>
            </w:r>
            <w:r>
              <w:t>£</w:t>
            </w:r>
            <w:r w:rsidRPr="007F7807">
              <w:t>5</w:t>
            </w:r>
            <w:r>
              <w:t>,</w:t>
            </w:r>
            <w:r w:rsidRPr="007F7807">
              <w:t>100</w:t>
            </w:r>
            <w:r>
              <w:t>,</w:t>
            </w:r>
            <w:r w:rsidRPr="007F7807">
              <w:t>000 = 3.92%</w:t>
            </w:r>
          </w:p>
        </w:tc>
        <w:tc>
          <w:tcPr>
            <w:tcW w:w="4071" w:type="dxa"/>
          </w:tcPr>
          <w:p w14:paraId="7EC26EFF" w14:textId="49324C0B" w:rsidR="007F7807" w:rsidRPr="007F7807" w:rsidRDefault="007F7807" w:rsidP="007F7807">
            <w:pPr>
              <w:cnfStyle w:val="000000000000" w:firstRow="0" w:lastRow="0" w:firstColumn="0" w:lastColumn="0" w:oddVBand="0" w:evenVBand="0" w:oddHBand="0" w:evenHBand="0" w:firstRowFirstColumn="0" w:firstRowLastColumn="0" w:lastRowFirstColumn="0" w:lastRowLastColumn="0"/>
            </w:pPr>
            <w:r w:rsidRPr="007F7807">
              <w:t>-</w:t>
            </w:r>
            <w:r>
              <w:t xml:space="preserve"> £</w:t>
            </w:r>
            <w:r w:rsidRPr="007F7807">
              <w:t>500</w:t>
            </w:r>
            <w:r>
              <w:t>,</w:t>
            </w:r>
            <w:r w:rsidRPr="007F7807">
              <w:t xml:space="preserve">000 / </w:t>
            </w:r>
            <w:r>
              <w:t>£</w:t>
            </w:r>
            <w:r w:rsidRPr="007F7807">
              <w:t>4</w:t>
            </w:r>
            <w:r>
              <w:t>,</w:t>
            </w:r>
            <w:r w:rsidRPr="007F7807">
              <w:t>680</w:t>
            </w:r>
            <w:r>
              <w:t>,</w:t>
            </w:r>
            <w:r w:rsidRPr="007F7807">
              <w:t>000 = -10.68%</w:t>
            </w:r>
          </w:p>
        </w:tc>
      </w:tr>
      <w:tr w:rsidR="007F7807" w:rsidRPr="007F7807" w14:paraId="7BB4DAA1" w14:textId="77777777" w:rsidTr="007F7807">
        <w:trPr>
          <w:cnfStyle w:val="000000100000" w:firstRow="0" w:lastRow="0" w:firstColumn="0" w:lastColumn="0" w:oddVBand="0" w:evenVBand="0" w:oddHBand="1" w:evenHBand="0" w:firstRowFirstColumn="0" w:firstRowLastColumn="0" w:lastRowFirstColumn="0" w:lastRowLastColumn="0"/>
          <w:trHeight w:val="989"/>
        </w:trPr>
        <w:tc>
          <w:tcPr>
            <w:cnfStyle w:val="001000000000" w:firstRow="0" w:lastRow="0" w:firstColumn="1" w:lastColumn="0" w:oddVBand="0" w:evenVBand="0" w:oddHBand="0" w:evenHBand="0" w:firstRowFirstColumn="0" w:firstRowLastColumn="0" w:lastRowFirstColumn="0" w:lastRowLastColumn="0"/>
            <w:tcW w:w="2893" w:type="dxa"/>
          </w:tcPr>
          <w:p w14:paraId="1D2CD048" w14:textId="77777777" w:rsidR="007F7807" w:rsidRDefault="007F7807" w:rsidP="007F7807">
            <w:pPr>
              <w:rPr>
                <w:rFonts w:asciiTheme="majorHAnsi" w:hAnsiTheme="majorHAnsi" w:cstheme="majorBidi"/>
                <w:i w:val="0"/>
                <w:iCs w:val="0"/>
              </w:rPr>
            </w:pPr>
            <w:r w:rsidRPr="007F7807">
              <w:t>Return on equity (ROE)</w:t>
            </w:r>
          </w:p>
          <w:p w14:paraId="3AC3E49D" w14:textId="5B3F0CA8" w:rsidR="007F7807" w:rsidRPr="007F7807" w:rsidRDefault="007F7807" w:rsidP="007F7807">
            <w:pPr>
              <w:rPr>
                <w:color w:val="auto"/>
              </w:rPr>
            </w:pPr>
            <w:r w:rsidRPr="007F7807">
              <w:t>Net income / equity</w:t>
            </w:r>
          </w:p>
        </w:tc>
        <w:tc>
          <w:tcPr>
            <w:tcW w:w="4242" w:type="dxa"/>
          </w:tcPr>
          <w:p w14:paraId="3CE6E5A0" w14:textId="0BFB4C59"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700</w:t>
            </w:r>
            <w:r>
              <w:t>,</w:t>
            </w:r>
            <w:r w:rsidRPr="007F7807">
              <w:t xml:space="preserve">000 / </w:t>
            </w:r>
            <w:r>
              <w:t>£</w:t>
            </w:r>
            <w:r w:rsidRPr="007F7807">
              <w:t>220</w:t>
            </w:r>
            <w:r>
              <w:t>,</w:t>
            </w:r>
            <w:r w:rsidRPr="007F7807">
              <w:t>000 = 31.82%</w:t>
            </w:r>
          </w:p>
        </w:tc>
        <w:tc>
          <w:tcPr>
            <w:tcW w:w="4242" w:type="dxa"/>
          </w:tcPr>
          <w:p w14:paraId="0103FD8D" w14:textId="77F9AA43"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t>£</w:t>
            </w:r>
            <w:r w:rsidRPr="007F7807">
              <w:t>200</w:t>
            </w:r>
            <w:r>
              <w:t>,</w:t>
            </w:r>
            <w:r w:rsidRPr="007F7807">
              <w:t xml:space="preserve">000 / </w:t>
            </w:r>
            <w:r>
              <w:t>£</w:t>
            </w:r>
            <w:r w:rsidRPr="007F7807">
              <w:t>1</w:t>
            </w:r>
            <w:r>
              <w:t>,</w:t>
            </w:r>
            <w:r w:rsidRPr="007F7807">
              <w:t>830</w:t>
            </w:r>
            <w:r>
              <w:t>,</w:t>
            </w:r>
            <w:r w:rsidRPr="007F7807">
              <w:t>000 = 10.93%</w:t>
            </w:r>
          </w:p>
        </w:tc>
        <w:tc>
          <w:tcPr>
            <w:tcW w:w="4071" w:type="dxa"/>
          </w:tcPr>
          <w:p w14:paraId="1122B635" w14:textId="1FA5D922" w:rsidR="007F7807" w:rsidRPr="007F7807" w:rsidRDefault="007F7807" w:rsidP="007F7807">
            <w:pPr>
              <w:cnfStyle w:val="000000100000" w:firstRow="0" w:lastRow="0" w:firstColumn="0" w:lastColumn="0" w:oddVBand="0" w:evenVBand="0" w:oddHBand="1" w:evenHBand="0" w:firstRowFirstColumn="0" w:firstRowLastColumn="0" w:lastRowFirstColumn="0" w:lastRowLastColumn="0"/>
            </w:pPr>
            <w:r w:rsidRPr="007F7807">
              <w:t>-</w:t>
            </w:r>
            <w:r>
              <w:t xml:space="preserve"> £</w:t>
            </w:r>
            <w:r w:rsidRPr="007F7807">
              <w:t>500</w:t>
            </w:r>
            <w:r>
              <w:t>,</w:t>
            </w:r>
            <w:r w:rsidRPr="007F7807">
              <w:t xml:space="preserve">000 / </w:t>
            </w:r>
            <w:r>
              <w:t>£</w:t>
            </w:r>
            <w:r w:rsidRPr="007F7807">
              <w:t>1</w:t>
            </w:r>
            <w:r>
              <w:t>,</w:t>
            </w:r>
            <w:r w:rsidRPr="007F7807">
              <w:t>380</w:t>
            </w:r>
            <w:r>
              <w:t>,</w:t>
            </w:r>
            <w:r w:rsidRPr="007F7807">
              <w:t>000 = -36.83%</w:t>
            </w:r>
          </w:p>
        </w:tc>
      </w:tr>
    </w:tbl>
    <w:p w14:paraId="643453DA" w14:textId="77777777" w:rsidR="007F7807" w:rsidRPr="007F7807" w:rsidRDefault="007F7807" w:rsidP="007F7807">
      <w:r w:rsidRPr="007F7807">
        <w:br w:type="page"/>
      </w:r>
    </w:p>
    <w:p w14:paraId="6999C75E" w14:textId="6D9B3962" w:rsidR="007F7807" w:rsidRPr="007F7807" w:rsidRDefault="007F7807" w:rsidP="007F7807">
      <w:pPr>
        <w:pStyle w:val="Heading1"/>
      </w:pPr>
      <w:bookmarkStart w:id="5" w:name="_Toc168479821"/>
      <w:bookmarkStart w:id="6" w:name="_Toc168605162"/>
      <w:r w:rsidRPr="007F7807">
        <w:lastRenderedPageBreak/>
        <w:t xml:space="preserve">Financial Performance </w:t>
      </w:r>
      <w:bookmarkEnd w:id="5"/>
      <w:r>
        <w:t>of Urban Heights Hotel over 3 years period</w:t>
      </w:r>
      <w:bookmarkEnd w:id="6"/>
    </w:p>
    <w:p w14:paraId="0ED51B25" w14:textId="77777777" w:rsidR="00E863D0" w:rsidRPr="00E863D0" w:rsidRDefault="00E863D0" w:rsidP="00E863D0">
      <w:pPr>
        <w:rPr>
          <w:b/>
          <w:bCs/>
        </w:rPr>
      </w:pPr>
      <w:r w:rsidRPr="00E863D0">
        <w:rPr>
          <w:b/>
          <w:bCs/>
        </w:rPr>
        <w:t>Income and expense analysis of Urban Heights Hotel</w:t>
      </w:r>
    </w:p>
    <w:p w14:paraId="4593CFDA" w14:textId="0F9E6C98" w:rsidR="00E863D0" w:rsidRDefault="00E863D0" w:rsidP="00E863D0">
      <w:r>
        <w:t>On three-year courses such as 2021 to 2023, the hotel experienced notable changes in its financial values. Initially, the revenues thus showed a constant growth trend with annual increases thus reflecting the robust demand on the market but also the effective pricing strategies. However, in addition to these income surveys, there was thus a significant increase in operational expenses. This increase in all expenses can thus be attributed to several factors, including even higher costs of goods sold, but also increased labo</w:t>
      </w:r>
      <w:r w:rsidR="005F61A7">
        <w:t>u</w:t>
      </w:r>
      <w:r>
        <w:t>r costs and higher utility expenses. Despite the cost management attempts, all operating expenses of the hotel thus increased at an alarming rate, having a major impact on the general financial health.</w:t>
      </w:r>
    </w:p>
    <w:p w14:paraId="69FE087C" w14:textId="0079EDFE" w:rsidR="00E863D0" w:rsidRPr="00E863D0" w:rsidRDefault="00E863D0" w:rsidP="00E863D0">
      <w:pPr>
        <w:rPr>
          <w:b/>
          <w:bCs/>
        </w:rPr>
      </w:pPr>
      <w:r w:rsidRPr="00E863D0">
        <w:rPr>
          <w:b/>
          <w:bCs/>
        </w:rPr>
        <w:t>Financial performance in decline due to significant reductions in ROA and ROE.</w:t>
      </w:r>
    </w:p>
    <w:p w14:paraId="6535084A" w14:textId="6BBF9E71" w:rsidR="00E863D0" w:rsidRDefault="00E863D0" w:rsidP="00E863D0">
      <w:r>
        <w:t xml:space="preserve">One of the most alarming indicators of the hotel's declining financial performance is thus the significant reduction in return on assets (ROA) as well as equity (ROE) from 2021 to 2023. In 2021, both ROA and ROE they were thus at healthy levels reflecting the efficient use of assets and strong profits. But until 2023, these values ​​suddenly decreased, </w:t>
      </w:r>
      <w:r w:rsidR="007438C1">
        <w:t>signalling</w:t>
      </w:r>
      <w:r>
        <w:t xml:space="preserve"> the deterioration of financial health. The reduction in ROA indicated that the company's assets do not generate sufficient profits, while the decrease in ROE suggests, on the other hand, a decrease in shareholder values. This decrease may be related to the increase in operating expenses, but also to much lower profitability, which thus underlines the urgent need for strategic interventions to improve the use of assets and restore financial performance.</w:t>
      </w:r>
    </w:p>
    <w:p w14:paraId="3E0EEC96" w14:textId="77777777" w:rsidR="007438C1" w:rsidRPr="007438C1" w:rsidRDefault="007438C1" w:rsidP="007438C1">
      <w:pPr>
        <w:rPr>
          <w:b/>
          <w:bCs/>
        </w:rPr>
      </w:pPr>
      <w:r w:rsidRPr="007438C1">
        <w:rPr>
          <w:b/>
          <w:bCs/>
        </w:rPr>
        <w:t>Analysis of profitability but also of net income fluctuations</w:t>
      </w:r>
    </w:p>
    <w:p w14:paraId="59FF4AFB" w14:textId="5D970816" w:rsidR="007438C1" w:rsidRPr="007F7807" w:rsidRDefault="007438C1" w:rsidP="007438C1">
      <w:r>
        <w:t xml:space="preserve">The profitability of the Urban Heights Hotel thus experienced significant fluctuations over time. In 2021, the hotel thus recorded a healthy net income, which was thus determined by stronger occupancy rates and controlled costs. However, until 2022, the net income thus began to show </w:t>
      </w:r>
      <w:r>
        <w:lastRenderedPageBreak/>
        <w:t>signs of pressure because the operational expenses have greatly exceeded the increase in income. This trend continued in 2023, culminating in major decreases in net income. Net income fluctuations thus reflect the hotel's struggle to balance the increase in operating costs with revenue generation, thus indicating the need for stricter cost management practices and effective improvements to restore profitability.</w:t>
      </w:r>
    </w:p>
    <w:p w14:paraId="2A6DA14D" w14:textId="0509BFFE" w:rsidR="00E863D0" w:rsidRDefault="00E863D0">
      <w:pPr>
        <w:spacing w:line="278" w:lineRule="auto"/>
        <w:rPr>
          <w:rFonts w:eastAsiaTheme="majorEastAsia"/>
          <w:color w:val="0F4761" w:themeColor="accent1" w:themeShade="BF"/>
          <w:sz w:val="40"/>
          <w:szCs w:val="40"/>
        </w:rPr>
      </w:pPr>
      <w:bookmarkStart w:id="7" w:name="_Toc168479822"/>
      <w:r>
        <w:br w:type="page"/>
      </w:r>
    </w:p>
    <w:p w14:paraId="3044808E" w14:textId="7D791D80" w:rsidR="007F7807" w:rsidRPr="007F7807" w:rsidRDefault="007F7807" w:rsidP="007F7807">
      <w:pPr>
        <w:pStyle w:val="Heading1"/>
      </w:pPr>
      <w:bookmarkStart w:id="8" w:name="_Toc168605163"/>
      <w:r>
        <w:lastRenderedPageBreak/>
        <w:t>Key main r</w:t>
      </w:r>
      <w:r w:rsidRPr="007F7807">
        <w:t xml:space="preserve">easons of the decline in profitability of the </w:t>
      </w:r>
      <w:bookmarkEnd w:id="7"/>
      <w:r>
        <w:t>hotel</w:t>
      </w:r>
      <w:bookmarkEnd w:id="8"/>
      <w:r w:rsidRPr="007F7807">
        <w:t xml:space="preserve"> </w:t>
      </w:r>
    </w:p>
    <w:p w14:paraId="10B12EA5" w14:textId="77777777" w:rsidR="00660989" w:rsidRDefault="00660989" w:rsidP="007F7807">
      <w:r w:rsidRPr="00660989">
        <w:t>Urban Heights, once a beacon of its financial stability but also of profitability, thus recorded a marked decrease in its financial performance in recent years. Several key factors have contributed greatly to this downward trajectory. The analysis of these reasons thus offers a perspective on the hotel's operational challenges, but also on the external pressures that the company thus faces.</w:t>
      </w:r>
    </w:p>
    <w:p w14:paraId="74CA9E10" w14:textId="63B69082" w:rsidR="00660989" w:rsidRPr="00660989" w:rsidRDefault="00660989" w:rsidP="00660989">
      <w:pPr>
        <w:rPr>
          <w:b/>
          <w:bCs/>
        </w:rPr>
      </w:pPr>
      <w:r w:rsidRPr="00660989">
        <w:rPr>
          <w:b/>
          <w:bCs/>
        </w:rPr>
        <w:t>Increase in operating expenses</w:t>
      </w:r>
    </w:p>
    <w:p w14:paraId="40A739F7" w14:textId="7776CA59" w:rsidR="00660989" w:rsidRDefault="00660989" w:rsidP="00660989">
      <w:r>
        <w:t>One of the most significant factors affecting the profitability of the Urban Heights Hotel is the sudden increase in operating expenses. Throughout these three-year periods, the costs that were associated with utility but also supplies and maintenance have increased significantly. In addition to this, the hotel thus faced the increase in labour costs due to inflationary pressures and increased competition for qualified workers in the hospitality industry. As a result, the hotel's salary expenses increased significantly, eroding the profit margin. Despite all the attempts to streamline operations and to implement cost-saving measures, this tireless increase in operating expenses has greatly exceeded the increase in income, thus having a significant impact on profit</w:t>
      </w:r>
      <w:r w:rsidR="00DD43EE">
        <w:t xml:space="preserve"> </w:t>
      </w:r>
      <w:r w:rsidR="00DD43EE" w:rsidRPr="00DD43EE">
        <w:t>(</w:t>
      </w:r>
      <w:r w:rsidR="00DD43EE">
        <w:t>Murphy C. B.</w:t>
      </w:r>
      <w:r w:rsidR="00DD43EE" w:rsidRPr="00DD43EE">
        <w:t>, 2024)</w:t>
      </w:r>
    </w:p>
    <w:p w14:paraId="2143284E" w14:textId="77777777" w:rsidR="00660989" w:rsidRPr="00660989" w:rsidRDefault="00660989" w:rsidP="00660989">
      <w:pPr>
        <w:rPr>
          <w:b/>
          <w:bCs/>
        </w:rPr>
      </w:pPr>
      <w:r w:rsidRPr="00660989">
        <w:rPr>
          <w:b/>
          <w:bCs/>
        </w:rPr>
        <w:t>Increasing competition and market saturation</w:t>
      </w:r>
    </w:p>
    <w:p w14:paraId="7A2D207E" w14:textId="57E926D7" w:rsidR="007F7807" w:rsidRDefault="00660989" w:rsidP="00660989">
      <w:r>
        <w:t>The hotel industry in urban areas has thus become increasingly saturated with numerous new market entrants thus competing for a market share (</w:t>
      </w:r>
      <w:proofErr w:type="spellStart"/>
      <w:r>
        <w:t>Litvin</w:t>
      </w:r>
      <w:proofErr w:type="spellEnd"/>
      <w:r>
        <w:t>, 2019). The Urban Heights Hotel thus faced a very fierce competition from the small luxury hotels and accommodation spaces. This saturation not only diluted the market share but also forced the existing hotels, including Urban Heights, to continuously invest in renovations in order to remain competitive. These capital expenditures, although very necessary in order to maintain the position on the market, imposed a major pressure on the hotel's resources without being able to guarantee a corresponding increase in income</w:t>
      </w:r>
      <w:r w:rsidR="00DD43EE">
        <w:t xml:space="preserve"> </w:t>
      </w:r>
      <w:r w:rsidR="007F7807">
        <w:br w:type="page"/>
      </w:r>
    </w:p>
    <w:p w14:paraId="4B23DF3C" w14:textId="115E292A" w:rsidR="00DD43EE" w:rsidRPr="00DD43EE" w:rsidRDefault="00DD43EE" w:rsidP="00DD43EE">
      <w:pPr>
        <w:rPr>
          <w:b/>
          <w:bCs/>
        </w:rPr>
      </w:pPr>
      <w:bookmarkStart w:id="9" w:name="_Toc168437339"/>
      <w:bookmarkStart w:id="10" w:name="_Toc168479823"/>
      <w:r w:rsidRPr="00DD43EE">
        <w:rPr>
          <w:b/>
          <w:bCs/>
        </w:rPr>
        <w:lastRenderedPageBreak/>
        <w:t>Inefficient Cost Management</w:t>
      </w:r>
    </w:p>
    <w:p w14:paraId="2E9C6EC0" w14:textId="6812BC1A" w:rsidR="00DD43EE" w:rsidRDefault="00DD43EE" w:rsidP="00DD43EE">
      <w:r w:rsidRPr="00DD43EE">
        <w:t>A closer examination of the hotel's internal operations thus reveals inefficiencies in cost management. While all external factors such as the increase in labour costs and utilities have thus played an important role. The procurement processes could thus not be as efficient as they could be, which leads to higher costs than necessary for services and goods. Also, energy consumption can be better managed in this way by implementing more efficient energy saving initiatives. Also, addressing these internal inefficiencies is thus very important, even essential in improving the general financial performance</w:t>
      </w:r>
      <w:r>
        <w:t xml:space="preserve"> </w:t>
      </w:r>
      <w:r w:rsidRPr="00DD43EE">
        <w:t>(Ali, 2023)</w:t>
      </w:r>
      <w:r>
        <w:t>.</w:t>
      </w:r>
    </w:p>
    <w:p w14:paraId="309CA917" w14:textId="3A6E68F1" w:rsidR="0049002E" w:rsidRPr="0049002E" w:rsidRDefault="0049002E" w:rsidP="00DD43EE">
      <w:pPr>
        <w:rPr>
          <w:b/>
          <w:bCs/>
        </w:rPr>
      </w:pPr>
      <w:r w:rsidRPr="0049002E">
        <w:rPr>
          <w:b/>
          <w:bCs/>
        </w:rPr>
        <w:t>Impact of COVID-19 on Urban Heights Hotel</w:t>
      </w:r>
    </w:p>
    <w:p w14:paraId="5E6D6DD3" w14:textId="7760E1CF" w:rsidR="00DD43EE" w:rsidRDefault="00DD43EE" w:rsidP="00DD43EE">
      <w:r>
        <w:t>The Covid-19 pandemic has significantly disrupted the financial performance of the Urban Heights Hotel, primarily through drastic reductions in occupancy rates but also in average daily rates</w:t>
      </w:r>
      <w:r w:rsidR="0049002E">
        <w:t xml:space="preserve"> </w:t>
      </w:r>
      <w:r w:rsidR="0049002E" w:rsidRPr="0049002E">
        <w:t xml:space="preserve">(Singh and </w:t>
      </w:r>
      <w:proofErr w:type="spellStart"/>
      <w:r w:rsidR="0049002E" w:rsidRPr="0049002E">
        <w:t>Corsun</w:t>
      </w:r>
      <w:proofErr w:type="spellEnd"/>
      <w:r w:rsidR="0049002E" w:rsidRPr="0049002E">
        <w:t>, 2023)</w:t>
      </w:r>
      <w:r w:rsidR="0049002E">
        <w:t xml:space="preserve">. </w:t>
      </w:r>
      <w:r>
        <w:t>Travel restrictions and widespread health concerns thus lead to a huge drop in travel worldwide, which has thus determined the drop in the occupancy rate.</w:t>
      </w:r>
      <w:r w:rsidR="0049002E">
        <w:t xml:space="preserve"> </w:t>
      </w:r>
      <w:r>
        <w:t>The pandemic also required substantial investments in health and safety measures such as improved cleaning protocols and contactless services that increased operating expenses. These combined factors have severely affected the profitability of the hotel thus highlighting the profound effect of the pandemic on the hospitality industry</w:t>
      </w:r>
      <w:r w:rsidR="0049002E">
        <w:t xml:space="preserve"> </w:t>
      </w:r>
      <w:r w:rsidR="0049002E" w:rsidRPr="0049002E">
        <w:t>(Rathore et al., 2023)</w:t>
      </w:r>
      <w:r w:rsidR="0049002E">
        <w:t xml:space="preserve">. </w:t>
      </w:r>
    </w:p>
    <w:p w14:paraId="5D4C00D4" w14:textId="172B7D4E" w:rsidR="00261570" w:rsidRPr="00261570" w:rsidRDefault="00261570" w:rsidP="00261570">
      <w:pPr>
        <w:rPr>
          <w:b/>
          <w:bCs/>
        </w:rPr>
      </w:pPr>
      <w:r w:rsidRPr="00261570">
        <w:rPr>
          <w:b/>
          <w:bCs/>
        </w:rPr>
        <w:t>Technological investments</w:t>
      </w:r>
    </w:p>
    <w:p w14:paraId="5BD4F6D2" w14:textId="7A910442" w:rsidR="00DD43EE" w:rsidRPr="00261570" w:rsidRDefault="00261570" w:rsidP="00DD43EE">
      <w:r w:rsidRPr="00261570">
        <w:t>Although technological advances are very necessary to remain competitive, they come with substantial initial costs but also ongoing maintenance costs. Urban Heights has invested in modernizing its reservation systems to improve its digital presence as well as in modernizing the technologies in the room in order to meet the expectations of the guests. These investments are thus very essential for competitiveness in the long term or added to the financial burden in the short term</w:t>
      </w:r>
      <w:r>
        <w:t xml:space="preserve"> </w:t>
      </w:r>
      <w:r w:rsidRPr="00261570">
        <w:t xml:space="preserve">(Ilya </w:t>
      </w:r>
      <w:proofErr w:type="spellStart"/>
      <w:r w:rsidRPr="00261570">
        <w:t>Lipovich</w:t>
      </w:r>
      <w:proofErr w:type="spellEnd"/>
      <w:r w:rsidRPr="00261570">
        <w:t>, 2022)</w:t>
      </w:r>
      <w:r>
        <w:t>.</w:t>
      </w:r>
    </w:p>
    <w:p w14:paraId="4E93CA19" w14:textId="31D1E1EC" w:rsidR="007F7807" w:rsidRPr="007F7807" w:rsidRDefault="007F7807" w:rsidP="007F7807">
      <w:pPr>
        <w:pStyle w:val="Heading1"/>
      </w:pPr>
      <w:bookmarkStart w:id="11" w:name="_Toc168605164"/>
      <w:r>
        <w:lastRenderedPageBreak/>
        <w:t>Development of t</w:t>
      </w:r>
      <w:r w:rsidRPr="007F7807">
        <w:t xml:space="preserve">urnaround strategy for </w:t>
      </w:r>
      <w:r>
        <w:t xml:space="preserve">the </w:t>
      </w:r>
      <w:r w:rsidRPr="007F7807">
        <w:t>hotel revitalisation</w:t>
      </w:r>
      <w:bookmarkEnd w:id="9"/>
      <w:bookmarkEnd w:id="10"/>
      <w:bookmarkEnd w:id="11"/>
    </w:p>
    <w:p w14:paraId="0C582B89" w14:textId="77777777" w:rsidR="00261570" w:rsidRPr="00133201" w:rsidRDefault="00261570" w:rsidP="00261570">
      <w:pPr>
        <w:rPr>
          <w:b/>
          <w:bCs/>
        </w:rPr>
      </w:pPr>
      <w:r w:rsidRPr="00133201">
        <w:rPr>
          <w:b/>
          <w:bCs/>
        </w:rPr>
        <w:t>Cost management and operational efficiency</w:t>
      </w:r>
    </w:p>
    <w:p w14:paraId="42061E84" w14:textId="24BE5688" w:rsidR="00261570" w:rsidRDefault="00261570" w:rsidP="00261570">
      <w:r>
        <w:t>A key aspect of the hotel's revitalization involves rigorous cost management but also increasing operational efficiency. In order to achieve this, a thorough audit of all operational processes must be carried out in order to identify the inefficiencies as well as the potential areas for cost reduction. The implementation of technology-based solutions, such as automatic registrations, but also intelligent energy management systems and integrated property management systems, significantly reducing labour and utility costs (</w:t>
      </w:r>
      <w:r w:rsidRPr="00261570">
        <w:t>Zhang, J., &amp; Huang, X.</w:t>
      </w:r>
      <w:r>
        <w:t xml:space="preserve">, </w:t>
      </w:r>
      <w:r w:rsidRPr="00261570">
        <w:t>2023).</w:t>
      </w:r>
    </w:p>
    <w:p w14:paraId="5CE15CE1" w14:textId="77777777" w:rsidR="00133201" w:rsidRDefault="00261570" w:rsidP="00261570">
      <w:r>
        <w:t>Optimizing purchases by reviewing and renegotiating contracts with suppliers thus helps to ensure better prices and conditions. A centralized purchasing system can thus continue to achieve economies of scale, but it can also reduce waste, thus ensuring that resources are used more efficiently</w:t>
      </w:r>
      <w:r w:rsidR="00133201">
        <w:t xml:space="preserve"> (</w:t>
      </w:r>
      <w:r w:rsidR="00133201" w:rsidRPr="00133201">
        <w:t>McCue, C. P., &amp; Pitzer, J. T.</w:t>
      </w:r>
      <w:r w:rsidR="00133201">
        <w:t xml:space="preserve">, </w:t>
      </w:r>
      <w:r w:rsidR="00133201" w:rsidRPr="00133201">
        <w:t xml:space="preserve">2000). </w:t>
      </w:r>
    </w:p>
    <w:p w14:paraId="15539FCB" w14:textId="77777777" w:rsidR="00133201" w:rsidRPr="00133201" w:rsidRDefault="00133201" w:rsidP="00133201">
      <w:pPr>
        <w:rPr>
          <w:b/>
          <w:bCs/>
        </w:rPr>
      </w:pPr>
      <w:r w:rsidRPr="00133201">
        <w:rPr>
          <w:b/>
          <w:bCs/>
        </w:rPr>
        <w:t>Increase and diversification of incomes</w:t>
      </w:r>
    </w:p>
    <w:p w14:paraId="6B77F0A9" w14:textId="77777777" w:rsidR="00133201" w:rsidRDefault="00133201" w:rsidP="00133201">
      <w:r>
        <w:t>The increase in income streams is therefore very crucial for the diversification of offers in order to attract a wider clientele. The development of attractive packages for local stays but also remote work facilities as well as longer-term stays thus helps the hotel in accessing the market segment. Improving the hotel's food and beverage services by introducing themed culinary experiences and partnerships with local chefs, as well as offering delivery services, can increase revenue. In addition to this, the use of digital marketing strategies to increase direct bookings through the hotel's website as well as reducing dependence on online travel agencies, helping to maintain more income but also to build stronger relationships with customers.</w:t>
      </w:r>
    </w:p>
    <w:p w14:paraId="05CE9F8C" w14:textId="77777777" w:rsidR="00133201" w:rsidRDefault="00133201" w:rsidP="00133201">
      <w:pPr>
        <w:rPr>
          <w:b/>
          <w:bCs/>
        </w:rPr>
      </w:pPr>
    </w:p>
    <w:p w14:paraId="2D42D1A7" w14:textId="62CB7B39" w:rsidR="00133201" w:rsidRPr="00133201" w:rsidRDefault="00133201" w:rsidP="00133201">
      <w:pPr>
        <w:rPr>
          <w:b/>
          <w:bCs/>
        </w:rPr>
      </w:pPr>
      <w:r w:rsidRPr="00133201">
        <w:rPr>
          <w:b/>
          <w:bCs/>
        </w:rPr>
        <w:lastRenderedPageBreak/>
        <w:t>The marketing and branding initiative</w:t>
      </w:r>
    </w:p>
    <w:p w14:paraId="7771B60D" w14:textId="77777777" w:rsidR="00133201" w:rsidRDefault="00133201" w:rsidP="00133201">
      <w:r>
        <w:t>The revitalization of the hotel's brand image is thus essential in regaining market share and attracting guests. Thus, a more comprehensive marketing strategy should be developed to highlight the characteristics but also the unique experience offered by the hotel.</w:t>
      </w:r>
    </w:p>
    <w:p w14:paraId="0056EDAD" w14:textId="77777777" w:rsidR="00133201" w:rsidRDefault="00133201" w:rsidP="00133201">
      <w:r>
        <w:t xml:space="preserve">Investing in a solid digital marketing campaign including involvement in social networks but also optimization for search engines and targeted advertising can grow and attract new guests. Collaborating with influencers but also with travel bloggers to present such offers to the hotel can thus increase the online presence. In addition to that, rebranding efforts such as updating the hotel's website, improving the visual continuity and refreshing the logo and design elements can create a modern and attractive image </w:t>
      </w:r>
      <w:r w:rsidRPr="00133201">
        <w:t>(Jones, 2024)</w:t>
      </w:r>
      <w:r>
        <w:t>.</w:t>
      </w:r>
    </w:p>
    <w:p w14:paraId="2CE1527C" w14:textId="62C340C2" w:rsidR="00133201" w:rsidRDefault="00133201" w:rsidP="00133201">
      <w:r>
        <w:t>Partnerships and strategic alliances</w:t>
      </w:r>
    </w:p>
    <w:p w14:paraId="677321A1" w14:textId="0AA64806" w:rsidR="007F7807" w:rsidRDefault="00133201" w:rsidP="00133201">
      <w:r>
        <w:t>The formation of partnerships and strategic alliances can provide support and additional resources for the revitalization of the hotel. Partnerships with local companies, tourism offices and event organizers can create synergies that attract more guests. Collaboration with airlines and travel agencies can offer combined packages to increase the visibility and attractiveness of the hotel. Establishing loyalty programs with other businesses such as restaurants and entertainment venues can offer guests added value and can also encourage repeat visits</w:t>
      </w:r>
      <w:r w:rsidR="00B071A4">
        <w:t xml:space="preserve"> </w:t>
      </w:r>
      <w:r w:rsidR="00B071A4" w:rsidRPr="00EF6545">
        <w:t>‌</w:t>
      </w:r>
      <w:r w:rsidR="00B071A4" w:rsidRPr="00B071A4">
        <w:t xml:space="preserve"> </w:t>
      </w:r>
      <w:r w:rsidR="00B071A4">
        <w:t>(</w:t>
      </w:r>
      <w:proofErr w:type="spellStart"/>
      <w:r w:rsidR="00B071A4" w:rsidRPr="00B071A4">
        <w:t>IšoraItė</w:t>
      </w:r>
      <w:proofErr w:type="spellEnd"/>
      <w:r w:rsidR="00B071A4" w:rsidRPr="00B071A4">
        <w:t>, M.</w:t>
      </w:r>
      <w:r w:rsidR="00B071A4">
        <w:t xml:space="preserve">, </w:t>
      </w:r>
      <w:r w:rsidR="00B071A4" w:rsidRPr="00B071A4">
        <w:t xml:space="preserve">2009). </w:t>
      </w:r>
      <w:r w:rsidR="007F7807">
        <w:br w:type="page"/>
      </w:r>
    </w:p>
    <w:p w14:paraId="24D4ED49" w14:textId="77777777" w:rsidR="007F7807" w:rsidRPr="007F7807" w:rsidRDefault="007F7807" w:rsidP="007F7807">
      <w:pPr>
        <w:pStyle w:val="Heading1"/>
      </w:pPr>
      <w:bookmarkStart w:id="12" w:name="_Toc168479827"/>
      <w:bookmarkStart w:id="13" w:name="_Toc168605165"/>
      <w:r w:rsidRPr="007F7807">
        <w:lastRenderedPageBreak/>
        <w:t>Conclusion</w:t>
      </w:r>
      <w:bookmarkEnd w:id="12"/>
      <w:bookmarkEnd w:id="13"/>
    </w:p>
    <w:p w14:paraId="471251B2" w14:textId="654E1869" w:rsidR="007F7807" w:rsidRDefault="00B071A4" w:rsidP="007F7807">
      <w:r w:rsidRPr="00B071A4">
        <w:t>The financial performance of the hotel from 2021 to 2023 thus highlights significant challenges, including the increase in operating expenses, the increase in competition and the inefficiency of cost management. The Covid-19 pandemic has thus exacerbated all these problems by drastically reducing employment rates, thus necessitating substantial investments in health and safety. In revitalizing its financial health, Urban Heights must implement a comprehensive recovery strategy that focuses on asset management, as well as income diversification and improving the guest experience. Strategic partnerships and technological advances will thus be crucial for long-term competitiveness. Addressing all these areas, the Urban Heights Hotel can face its current challenges and work for sustainable growth and profitability.</w:t>
      </w:r>
      <w:r w:rsidR="007F7807">
        <w:br w:type="page"/>
      </w:r>
    </w:p>
    <w:p w14:paraId="1A27C44B" w14:textId="386F93C1" w:rsidR="007F7807" w:rsidRPr="007F7807" w:rsidRDefault="007F7807" w:rsidP="007F7807">
      <w:pPr>
        <w:pStyle w:val="Heading1"/>
      </w:pPr>
      <w:bookmarkStart w:id="14" w:name="_Toc168605166"/>
      <w:r>
        <w:lastRenderedPageBreak/>
        <w:t>References</w:t>
      </w:r>
      <w:bookmarkEnd w:id="14"/>
    </w:p>
    <w:p w14:paraId="5EF12C92" w14:textId="77777777" w:rsidR="005F61A7" w:rsidRPr="005F61A7" w:rsidRDefault="005F61A7" w:rsidP="005F61A7">
      <w:r w:rsidRPr="005F61A7">
        <w:t xml:space="preserve">Ali, R. (2023). How to Improve Your Business’s Financial Performance. [online] Oracle NetSuite. Available at: </w:t>
      </w:r>
      <w:hyperlink r:id="rId8" w:tgtFrame="_new" w:history="1">
        <w:r w:rsidRPr="005F61A7">
          <w:rPr>
            <w:rStyle w:val="Hyperlink"/>
          </w:rPr>
          <w:t>https://www.netsuite.com/portal/resource/articles/financial-management/improve-financial-performance.shtml</w:t>
        </w:r>
      </w:hyperlink>
      <w:r w:rsidRPr="005F61A7">
        <w:t xml:space="preserve"> [Accessed 6 Jun. 2024].</w:t>
      </w:r>
    </w:p>
    <w:p w14:paraId="6547D0A7" w14:textId="77777777" w:rsidR="005F61A7" w:rsidRPr="005F61A7" w:rsidRDefault="005F61A7" w:rsidP="005F61A7">
      <w:r w:rsidRPr="005F61A7">
        <w:t xml:space="preserve">Ilya </w:t>
      </w:r>
      <w:proofErr w:type="spellStart"/>
      <w:r w:rsidRPr="005F61A7">
        <w:t>Lipovich</w:t>
      </w:r>
      <w:proofErr w:type="spellEnd"/>
      <w:r w:rsidRPr="005F61A7">
        <w:t xml:space="preserve"> (2022). Council Post: How </w:t>
      </w:r>
      <w:proofErr w:type="gramStart"/>
      <w:r w:rsidRPr="005F61A7">
        <w:t>To</w:t>
      </w:r>
      <w:proofErr w:type="gramEnd"/>
      <w:r w:rsidRPr="005F61A7">
        <w:t xml:space="preserve"> Use Technology To Gain A Sustainable Competitive Advantage. Forbes. [online] 12 Oct. Available at: </w:t>
      </w:r>
      <w:hyperlink r:id="rId9" w:tgtFrame="_new" w:history="1">
        <w:r w:rsidRPr="005F61A7">
          <w:rPr>
            <w:rStyle w:val="Hyperlink"/>
          </w:rPr>
          <w:t>https://www.forbes.com/sites/forbesbusinesscouncil/2020/10/06/how-to-use-technology-to-gain-a-sustainable-competitive-advantage/?sh=5e85aa05328c</w:t>
        </w:r>
      </w:hyperlink>
      <w:r w:rsidRPr="005F61A7">
        <w:t xml:space="preserve"> [Accessed 6 Jun. 2024].</w:t>
      </w:r>
    </w:p>
    <w:p w14:paraId="0F1C7AED" w14:textId="77777777" w:rsidR="005F61A7" w:rsidRPr="005F61A7" w:rsidRDefault="005F61A7" w:rsidP="005F61A7">
      <w:r w:rsidRPr="005F61A7">
        <w:t xml:space="preserve">Investopedia. (2024). Operating Costs Definition: Formula, Types, and Real-World Examples. [online] Available at: </w:t>
      </w:r>
      <w:hyperlink r:id="rId10" w:anchor=":~:text=Operating%20costs%20that%20are%20high,goods%20that%20meet%20consumer%20demands" w:tgtFrame="_new" w:history="1">
        <w:r w:rsidRPr="005F61A7">
          <w:rPr>
            <w:rStyle w:val="Hyperlink"/>
          </w:rPr>
          <w:t>https://www.investopedia.com/terms/o/operating-cost.asp#:~:text=Operating%20costs%20that%20are%20high,goods%20that%20meet%20consumer%20demands</w:t>
        </w:r>
      </w:hyperlink>
      <w:r w:rsidRPr="005F61A7">
        <w:t>. [Accessed 6 Jun. 2024].</w:t>
      </w:r>
    </w:p>
    <w:p w14:paraId="52A48AEC" w14:textId="77777777" w:rsidR="005F61A7" w:rsidRPr="005F61A7" w:rsidRDefault="005F61A7" w:rsidP="005F61A7">
      <w:proofErr w:type="spellStart"/>
      <w:r w:rsidRPr="005F61A7">
        <w:t>IšoraItė</w:t>
      </w:r>
      <w:proofErr w:type="spellEnd"/>
      <w:r w:rsidRPr="005F61A7">
        <w:t xml:space="preserve">, M. (2009). Importance of strategic alliances in company’s activity. </w:t>
      </w:r>
      <w:proofErr w:type="spellStart"/>
      <w:r w:rsidRPr="005F61A7">
        <w:t>Intelektinė</w:t>
      </w:r>
      <w:proofErr w:type="spellEnd"/>
      <w:r w:rsidRPr="005F61A7">
        <w:t xml:space="preserve"> </w:t>
      </w:r>
      <w:proofErr w:type="spellStart"/>
      <w:r w:rsidRPr="005F61A7">
        <w:t>ekonomika</w:t>
      </w:r>
      <w:proofErr w:type="spellEnd"/>
      <w:r w:rsidRPr="005F61A7">
        <w:t xml:space="preserve">= Intellectual economics: </w:t>
      </w:r>
      <w:proofErr w:type="spellStart"/>
      <w:r w:rsidRPr="005F61A7">
        <w:t>mokslo</w:t>
      </w:r>
      <w:proofErr w:type="spellEnd"/>
      <w:r w:rsidRPr="005F61A7">
        <w:t xml:space="preserve"> </w:t>
      </w:r>
      <w:proofErr w:type="spellStart"/>
      <w:r w:rsidRPr="005F61A7">
        <w:t>darbų</w:t>
      </w:r>
      <w:proofErr w:type="spellEnd"/>
      <w:r w:rsidRPr="005F61A7">
        <w:t xml:space="preserve"> </w:t>
      </w:r>
      <w:proofErr w:type="spellStart"/>
      <w:r w:rsidRPr="005F61A7">
        <w:t>žurnalas</w:t>
      </w:r>
      <w:proofErr w:type="spellEnd"/>
      <w:r w:rsidRPr="005F61A7">
        <w:t xml:space="preserve">. Vilnius: </w:t>
      </w:r>
      <w:proofErr w:type="spellStart"/>
      <w:r w:rsidRPr="005F61A7">
        <w:t>Mykolo</w:t>
      </w:r>
      <w:proofErr w:type="spellEnd"/>
      <w:r w:rsidRPr="005F61A7">
        <w:t xml:space="preserve"> </w:t>
      </w:r>
      <w:proofErr w:type="spellStart"/>
      <w:r w:rsidRPr="005F61A7">
        <w:t>Romerio</w:t>
      </w:r>
      <w:proofErr w:type="spellEnd"/>
      <w:r w:rsidRPr="005F61A7">
        <w:t xml:space="preserve"> </w:t>
      </w:r>
      <w:proofErr w:type="spellStart"/>
      <w:r w:rsidRPr="005F61A7">
        <w:t>universitetas</w:t>
      </w:r>
      <w:proofErr w:type="spellEnd"/>
      <w:r w:rsidRPr="005F61A7">
        <w:t>, 2009, Nr. 1 (5).</w:t>
      </w:r>
    </w:p>
    <w:p w14:paraId="0D725BC0" w14:textId="77777777" w:rsidR="005F61A7" w:rsidRPr="005F61A7" w:rsidRDefault="005F61A7" w:rsidP="005F61A7">
      <w:r w:rsidRPr="005F61A7">
        <w:t xml:space="preserve">Jones, K. (2024). Council Post: The Importance </w:t>
      </w:r>
      <w:proofErr w:type="gramStart"/>
      <w:r w:rsidRPr="005F61A7">
        <w:t>Of</w:t>
      </w:r>
      <w:proofErr w:type="gramEnd"/>
      <w:r w:rsidRPr="005F61A7">
        <w:t xml:space="preserve"> Branding In Business. Forbes. [online] 20 Feb. Available at: </w:t>
      </w:r>
      <w:hyperlink r:id="rId11" w:tgtFrame="_new" w:history="1">
        <w:r w:rsidRPr="005F61A7">
          <w:rPr>
            <w:rStyle w:val="Hyperlink"/>
          </w:rPr>
          <w:t>https://www.forbes.com/sites/forbesagencycouncil/2021/03/24/the-importance-of-branding-in-business/?sh=25f478df67f7</w:t>
        </w:r>
      </w:hyperlink>
      <w:r w:rsidRPr="005F61A7">
        <w:t xml:space="preserve"> [Accessed 6 Jun. 2024].</w:t>
      </w:r>
    </w:p>
    <w:p w14:paraId="77368A52" w14:textId="77777777" w:rsidR="005F61A7" w:rsidRPr="005F61A7" w:rsidRDefault="005F61A7" w:rsidP="005F61A7">
      <w:proofErr w:type="spellStart"/>
      <w:r w:rsidRPr="005F61A7">
        <w:t>Litvin</w:t>
      </w:r>
      <w:proofErr w:type="spellEnd"/>
      <w:r w:rsidRPr="005F61A7">
        <w:t xml:space="preserve">, S.W. (2019). Hotel saturation and its impact upon destination marketing - Stephen W </w:t>
      </w:r>
      <w:proofErr w:type="spellStart"/>
      <w:r w:rsidRPr="005F61A7">
        <w:t>Litvin</w:t>
      </w:r>
      <w:proofErr w:type="spellEnd"/>
      <w:r w:rsidRPr="005F61A7">
        <w:t xml:space="preserve">, Sara L </w:t>
      </w:r>
      <w:proofErr w:type="spellStart"/>
      <w:r w:rsidRPr="005F61A7">
        <w:t>Romo</w:t>
      </w:r>
      <w:proofErr w:type="spellEnd"/>
      <w:r w:rsidRPr="005F61A7">
        <w:t xml:space="preserve">, 2019. [online] Journal of Vacation Marketing. Available at: </w:t>
      </w:r>
      <w:hyperlink r:id="rId12" w:tgtFrame="_new" w:history="1">
        <w:r w:rsidRPr="005F61A7">
          <w:rPr>
            <w:rStyle w:val="Hyperlink"/>
          </w:rPr>
          <w:t>https://journals.sagepub.com/doi/10.1177/1356766718763703?icid=int.sj-abstract.similar-articles.9</w:t>
        </w:r>
      </w:hyperlink>
      <w:r w:rsidRPr="005F61A7">
        <w:t xml:space="preserve"> [Accessed 6 Jun. 2024].</w:t>
      </w:r>
    </w:p>
    <w:p w14:paraId="02656720" w14:textId="77777777" w:rsidR="005F61A7" w:rsidRPr="005F61A7" w:rsidRDefault="005F61A7" w:rsidP="005F61A7">
      <w:r w:rsidRPr="005F61A7">
        <w:lastRenderedPageBreak/>
        <w:t>McCue, C. P., &amp; Pitzer, J. T. (2000). Centralized vs. decentralized purchasing: Current trends in governmental procurement practices. Journal of Public Budgeting, Accounting &amp; Financial Management, 12(3), 400-420.</w:t>
      </w:r>
    </w:p>
    <w:p w14:paraId="0731E95B" w14:textId="77777777" w:rsidR="005F61A7" w:rsidRPr="005F61A7" w:rsidRDefault="005F61A7" w:rsidP="005F61A7">
      <w:r w:rsidRPr="005F61A7">
        <w:t xml:space="preserve">Rathore, V., Sangma, S.J., S, V.C. and Ashiq Hussain </w:t>
      </w:r>
      <w:proofErr w:type="spellStart"/>
      <w:r w:rsidRPr="005F61A7">
        <w:t>Magrey</w:t>
      </w:r>
      <w:proofErr w:type="spellEnd"/>
      <w:r w:rsidRPr="005F61A7">
        <w:t xml:space="preserve"> (2023). Effect of COVID-19 on the Profitability of the Hospitality Industry. [online] ResearchGate. Available at: </w:t>
      </w:r>
      <w:hyperlink r:id="rId13" w:tgtFrame="_new" w:history="1">
        <w:r w:rsidRPr="005F61A7">
          <w:rPr>
            <w:rStyle w:val="Hyperlink"/>
          </w:rPr>
          <w:t>https://www.researchgate.net/publication/376318358_Effect_of_COVID-19_on_the_Profitability_of_the_Hospitality_Industry</w:t>
        </w:r>
      </w:hyperlink>
      <w:r w:rsidRPr="005F61A7">
        <w:t xml:space="preserve"> [Accessed 6 Jun. 2024].</w:t>
      </w:r>
    </w:p>
    <w:p w14:paraId="20D1FA6A" w14:textId="77777777" w:rsidR="005F61A7" w:rsidRPr="005F61A7" w:rsidRDefault="005F61A7" w:rsidP="005F61A7">
      <w:r w:rsidRPr="005F61A7">
        <w:t xml:space="preserve">Singh, A. and </w:t>
      </w:r>
      <w:proofErr w:type="spellStart"/>
      <w:r w:rsidRPr="005F61A7">
        <w:t>Corsun</w:t>
      </w:r>
      <w:proofErr w:type="spellEnd"/>
      <w:r w:rsidRPr="005F61A7">
        <w:t xml:space="preserve">, D.L. (2023). Price elasticity of demand and its impact on hotel revenue performance during the COVID-19 pandemic. Cornell hospitality quarterly, [online] 64(4), pp.415–435. </w:t>
      </w:r>
      <w:proofErr w:type="spellStart"/>
      <w:r w:rsidRPr="005F61A7">
        <w:t>doi:</w:t>
      </w:r>
      <w:hyperlink r:id="rId14" w:tgtFrame="_new" w:history="1">
        <w:r w:rsidRPr="005F61A7">
          <w:rPr>
            <w:rStyle w:val="Hyperlink"/>
          </w:rPr>
          <w:t>https</w:t>
        </w:r>
        <w:proofErr w:type="spellEnd"/>
        <w:r w:rsidRPr="005F61A7">
          <w:rPr>
            <w:rStyle w:val="Hyperlink"/>
          </w:rPr>
          <w:t>://doi.org/10.1177/19389655231184475</w:t>
        </w:r>
      </w:hyperlink>
      <w:r w:rsidRPr="005F61A7">
        <w:t>.</w:t>
      </w:r>
    </w:p>
    <w:p w14:paraId="5DDBF257" w14:textId="1A230222" w:rsidR="007F7807" w:rsidRDefault="005F61A7" w:rsidP="007F7807">
      <w:r w:rsidRPr="005F61A7">
        <w:t>Zhang, J., &amp; Huang, X. (2023). Investigation on the Application of Cost Management in Operational Efficiency and Performance Evaluation. Manufacturing and Service Operations Management, 4(5), 12-20</w:t>
      </w:r>
      <w:r>
        <w:t>.</w:t>
      </w:r>
    </w:p>
    <w:sectPr w:rsidR="007F7807" w:rsidSect="007F7807">
      <w:footerReference w:type="even" r:id="rId15"/>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978FC6" w14:textId="77777777" w:rsidR="002F5B2E" w:rsidRDefault="002F5B2E" w:rsidP="00AF2A40">
      <w:pPr>
        <w:spacing w:after="0" w:line="240" w:lineRule="auto"/>
      </w:pPr>
      <w:r>
        <w:separator/>
      </w:r>
    </w:p>
  </w:endnote>
  <w:endnote w:type="continuationSeparator" w:id="0">
    <w:p w14:paraId="72559B26" w14:textId="77777777" w:rsidR="002F5B2E" w:rsidRDefault="002F5B2E" w:rsidP="00AF2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18415138"/>
      <w:docPartObj>
        <w:docPartGallery w:val="Page Numbers (Bottom of Page)"/>
        <w:docPartUnique/>
      </w:docPartObj>
    </w:sdtPr>
    <w:sdtEndPr>
      <w:rPr>
        <w:rStyle w:val="PageNumber"/>
      </w:rPr>
    </w:sdtEndPr>
    <w:sdtContent>
      <w:p w14:paraId="5D5B54BA" w14:textId="6DF66A32" w:rsidR="00AF2A40" w:rsidRDefault="00AF2A40" w:rsidP="006603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15DA10" w14:textId="77777777" w:rsidR="00AF2A40" w:rsidRDefault="00AF2A40" w:rsidP="00AF2A40">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0899937"/>
      <w:docPartObj>
        <w:docPartGallery w:val="Page Numbers (Bottom of Page)"/>
        <w:docPartUnique/>
      </w:docPartObj>
    </w:sdtPr>
    <w:sdtEndPr>
      <w:rPr>
        <w:rStyle w:val="PageNumber"/>
      </w:rPr>
    </w:sdtEndPr>
    <w:sdtContent>
      <w:p w14:paraId="1F604CDD" w14:textId="11A9DB0D" w:rsidR="00AF2A40" w:rsidRDefault="00AF2A40" w:rsidP="006603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66707">
          <w:rPr>
            <w:rStyle w:val="PageNumber"/>
            <w:noProof/>
          </w:rPr>
          <w:t>13</w:t>
        </w:r>
        <w:r>
          <w:rPr>
            <w:rStyle w:val="PageNumber"/>
          </w:rPr>
          <w:fldChar w:fldCharType="end"/>
        </w:r>
      </w:p>
    </w:sdtContent>
  </w:sdt>
  <w:p w14:paraId="209215F0" w14:textId="77777777" w:rsidR="00AF2A40" w:rsidRDefault="00AF2A40" w:rsidP="00AF2A40">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E3DCE3" w14:textId="77777777" w:rsidR="002F5B2E" w:rsidRDefault="002F5B2E" w:rsidP="00AF2A40">
      <w:pPr>
        <w:spacing w:after="0" w:line="240" w:lineRule="auto"/>
      </w:pPr>
      <w:r>
        <w:separator/>
      </w:r>
    </w:p>
  </w:footnote>
  <w:footnote w:type="continuationSeparator" w:id="0">
    <w:p w14:paraId="1D35AF30" w14:textId="77777777" w:rsidR="002F5B2E" w:rsidRDefault="002F5B2E" w:rsidP="00AF2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C05498"/>
    <w:multiLevelType w:val="multilevel"/>
    <w:tmpl w:val="3224F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7807"/>
    <w:rsid w:val="00066707"/>
    <w:rsid w:val="00133201"/>
    <w:rsid w:val="00261570"/>
    <w:rsid w:val="002F5B2E"/>
    <w:rsid w:val="0049002E"/>
    <w:rsid w:val="005F61A7"/>
    <w:rsid w:val="00660989"/>
    <w:rsid w:val="00716E19"/>
    <w:rsid w:val="007438C1"/>
    <w:rsid w:val="007F7807"/>
    <w:rsid w:val="00AF2A40"/>
    <w:rsid w:val="00B071A4"/>
    <w:rsid w:val="00DD43EE"/>
    <w:rsid w:val="00E86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E10333"/>
  <w15:chartTrackingRefBased/>
  <w15:docId w15:val="{66C0E200-D1CC-1D4D-8DFA-B08F0EBB5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7807"/>
    <w:pPr>
      <w:spacing w:line="360" w:lineRule="auto"/>
    </w:pPr>
    <w:rPr>
      <w:rFonts w:ascii="Calibri" w:hAnsi="Calibri" w:cs="Calibri"/>
    </w:rPr>
  </w:style>
  <w:style w:type="paragraph" w:styleId="Heading1">
    <w:name w:val="heading 1"/>
    <w:basedOn w:val="Normal"/>
    <w:next w:val="Normal"/>
    <w:link w:val="Heading1Char"/>
    <w:uiPriority w:val="9"/>
    <w:qFormat/>
    <w:rsid w:val="007F7807"/>
    <w:pPr>
      <w:keepNext/>
      <w:keepLines/>
      <w:spacing w:before="360" w:after="80"/>
      <w:outlineLvl w:val="0"/>
    </w:pPr>
    <w:rPr>
      <w:rFonts w:eastAsiaTheme="majorEastAsia"/>
      <w:color w:val="0F4761" w:themeColor="accent1" w:themeShade="BF"/>
      <w:sz w:val="40"/>
      <w:szCs w:val="40"/>
    </w:rPr>
  </w:style>
  <w:style w:type="paragraph" w:styleId="Heading2">
    <w:name w:val="heading 2"/>
    <w:basedOn w:val="Normal"/>
    <w:next w:val="Normal"/>
    <w:link w:val="Heading2Char"/>
    <w:uiPriority w:val="9"/>
    <w:semiHidden/>
    <w:unhideWhenUsed/>
    <w:qFormat/>
    <w:rsid w:val="007F78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8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8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8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8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8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8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8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807"/>
    <w:rPr>
      <w:rFonts w:ascii="Calibri" w:eastAsiaTheme="majorEastAsia" w:hAnsi="Calibri" w:cs="Calibri"/>
      <w:color w:val="0F4761" w:themeColor="accent1" w:themeShade="BF"/>
      <w:sz w:val="40"/>
      <w:szCs w:val="40"/>
    </w:rPr>
  </w:style>
  <w:style w:type="character" w:customStyle="1" w:styleId="Heading2Char">
    <w:name w:val="Heading 2 Char"/>
    <w:basedOn w:val="DefaultParagraphFont"/>
    <w:link w:val="Heading2"/>
    <w:uiPriority w:val="9"/>
    <w:semiHidden/>
    <w:rsid w:val="007F78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8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8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8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8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8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8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807"/>
    <w:rPr>
      <w:rFonts w:eastAsiaTheme="majorEastAsia" w:cstheme="majorBidi"/>
      <w:color w:val="272727" w:themeColor="text1" w:themeTint="D8"/>
    </w:rPr>
  </w:style>
  <w:style w:type="paragraph" w:styleId="Title">
    <w:name w:val="Title"/>
    <w:basedOn w:val="Normal"/>
    <w:next w:val="Normal"/>
    <w:link w:val="TitleChar"/>
    <w:uiPriority w:val="10"/>
    <w:qFormat/>
    <w:rsid w:val="007F78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8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8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8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807"/>
    <w:pPr>
      <w:spacing w:before="160"/>
      <w:jc w:val="center"/>
    </w:pPr>
    <w:rPr>
      <w:i/>
      <w:iCs/>
      <w:color w:val="404040" w:themeColor="text1" w:themeTint="BF"/>
    </w:rPr>
  </w:style>
  <w:style w:type="character" w:customStyle="1" w:styleId="QuoteChar">
    <w:name w:val="Quote Char"/>
    <w:basedOn w:val="DefaultParagraphFont"/>
    <w:link w:val="Quote"/>
    <w:uiPriority w:val="29"/>
    <w:rsid w:val="007F7807"/>
    <w:rPr>
      <w:i/>
      <w:iCs/>
      <w:color w:val="404040" w:themeColor="text1" w:themeTint="BF"/>
    </w:rPr>
  </w:style>
  <w:style w:type="paragraph" w:styleId="ListParagraph">
    <w:name w:val="List Paragraph"/>
    <w:basedOn w:val="Normal"/>
    <w:uiPriority w:val="34"/>
    <w:qFormat/>
    <w:rsid w:val="007F7807"/>
    <w:pPr>
      <w:ind w:left="720"/>
      <w:contextualSpacing/>
    </w:pPr>
  </w:style>
  <w:style w:type="character" w:styleId="IntenseEmphasis">
    <w:name w:val="Intense Emphasis"/>
    <w:basedOn w:val="DefaultParagraphFont"/>
    <w:uiPriority w:val="21"/>
    <w:qFormat/>
    <w:rsid w:val="007F7807"/>
    <w:rPr>
      <w:i/>
      <w:iCs/>
      <w:color w:val="0F4761" w:themeColor="accent1" w:themeShade="BF"/>
    </w:rPr>
  </w:style>
  <w:style w:type="paragraph" w:styleId="IntenseQuote">
    <w:name w:val="Intense Quote"/>
    <w:basedOn w:val="Normal"/>
    <w:next w:val="Normal"/>
    <w:link w:val="IntenseQuoteChar"/>
    <w:uiPriority w:val="30"/>
    <w:qFormat/>
    <w:rsid w:val="007F78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807"/>
    <w:rPr>
      <w:i/>
      <w:iCs/>
      <w:color w:val="0F4761" w:themeColor="accent1" w:themeShade="BF"/>
    </w:rPr>
  </w:style>
  <w:style w:type="character" w:styleId="IntenseReference">
    <w:name w:val="Intense Reference"/>
    <w:basedOn w:val="DefaultParagraphFont"/>
    <w:uiPriority w:val="32"/>
    <w:qFormat/>
    <w:rsid w:val="007F7807"/>
    <w:rPr>
      <w:b/>
      <w:bCs/>
      <w:smallCaps/>
      <w:color w:val="0F4761" w:themeColor="accent1" w:themeShade="BF"/>
      <w:spacing w:val="5"/>
    </w:rPr>
  </w:style>
  <w:style w:type="table" w:styleId="ListTable6Colorful-Accent1">
    <w:name w:val="List Table 6 Colorful Accent 1"/>
    <w:basedOn w:val="TableNormal"/>
    <w:uiPriority w:val="51"/>
    <w:rsid w:val="007F7807"/>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Accent4">
    <w:name w:val="List Table 5 Dark Accent 4"/>
    <w:basedOn w:val="TableNormal"/>
    <w:uiPriority w:val="50"/>
    <w:rsid w:val="007F7807"/>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7F780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6">
    <w:name w:val="List Table 4 Accent 6"/>
    <w:basedOn w:val="TableNormal"/>
    <w:uiPriority w:val="49"/>
    <w:rsid w:val="007F780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tcBorders>
        <w:shd w:val="clear" w:color="auto" w:fill="4EA72E" w:themeFill="accent6"/>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4-Accent5">
    <w:name w:val="List Table 4 Accent 5"/>
    <w:basedOn w:val="TableNormal"/>
    <w:uiPriority w:val="49"/>
    <w:rsid w:val="007F780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7Colorful-Accent5">
    <w:name w:val="List Table 7 Colorful Accent 5"/>
    <w:basedOn w:val="TableNormal"/>
    <w:uiPriority w:val="52"/>
    <w:rsid w:val="007F7807"/>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5F61A7"/>
    <w:rPr>
      <w:color w:val="467886" w:themeColor="hyperlink"/>
      <w:u w:val="single"/>
    </w:rPr>
  </w:style>
  <w:style w:type="character" w:customStyle="1" w:styleId="UnresolvedMention">
    <w:name w:val="Unresolved Mention"/>
    <w:basedOn w:val="DefaultParagraphFont"/>
    <w:uiPriority w:val="99"/>
    <w:semiHidden/>
    <w:unhideWhenUsed/>
    <w:rsid w:val="005F61A7"/>
    <w:rPr>
      <w:color w:val="605E5C"/>
      <w:shd w:val="clear" w:color="auto" w:fill="E1DFDD"/>
    </w:rPr>
  </w:style>
  <w:style w:type="paragraph" w:styleId="TOCHeading">
    <w:name w:val="TOC Heading"/>
    <w:basedOn w:val="Heading1"/>
    <w:next w:val="Normal"/>
    <w:uiPriority w:val="39"/>
    <w:unhideWhenUsed/>
    <w:qFormat/>
    <w:rsid w:val="005F61A7"/>
    <w:pPr>
      <w:spacing w:before="480" w:after="0" w:line="276" w:lineRule="auto"/>
      <w:outlineLvl w:val="9"/>
    </w:pPr>
    <w:rPr>
      <w:rFonts w:asciiTheme="majorHAnsi" w:hAnsiTheme="majorHAnsi" w:cstheme="majorBidi"/>
      <w:b/>
      <w:bCs/>
      <w:kern w:val="0"/>
      <w:sz w:val="28"/>
      <w:szCs w:val="28"/>
      <w:lang w:val="en-US"/>
      <w14:ligatures w14:val="none"/>
    </w:rPr>
  </w:style>
  <w:style w:type="paragraph" w:styleId="TOC1">
    <w:name w:val="toc 1"/>
    <w:basedOn w:val="Normal"/>
    <w:next w:val="Normal"/>
    <w:autoRedefine/>
    <w:uiPriority w:val="39"/>
    <w:unhideWhenUsed/>
    <w:rsid w:val="005F61A7"/>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5F61A7"/>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5F61A7"/>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5F61A7"/>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5F61A7"/>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5F61A7"/>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5F61A7"/>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5F61A7"/>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5F61A7"/>
    <w:pPr>
      <w:spacing w:after="0"/>
      <w:ind w:left="1920"/>
    </w:pPr>
    <w:rPr>
      <w:rFonts w:asciiTheme="minorHAnsi" w:hAnsiTheme="minorHAnsi"/>
      <w:sz w:val="20"/>
      <w:szCs w:val="20"/>
    </w:rPr>
  </w:style>
  <w:style w:type="paragraph" w:styleId="Footer">
    <w:name w:val="footer"/>
    <w:basedOn w:val="Normal"/>
    <w:link w:val="FooterChar"/>
    <w:uiPriority w:val="99"/>
    <w:unhideWhenUsed/>
    <w:rsid w:val="00AF2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A40"/>
    <w:rPr>
      <w:rFonts w:ascii="Calibri" w:hAnsi="Calibri" w:cs="Calibri"/>
    </w:rPr>
  </w:style>
  <w:style w:type="character" w:styleId="PageNumber">
    <w:name w:val="page number"/>
    <w:basedOn w:val="DefaultParagraphFont"/>
    <w:uiPriority w:val="99"/>
    <w:semiHidden/>
    <w:unhideWhenUsed/>
    <w:rsid w:val="00AF2A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958206">
      <w:bodyDiv w:val="1"/>
      <w:marLeft w:val="0"/>
      <w:marRight w:val="0"/>
      <w:marTop w:val="0"/>
      <w:marBottom w:val="0"/>
      <w:divBdr>
        <w:top w:val="none" w:sz="0" w:space="0" w:color="auto"/>
        <w:left w:val="none" w:sz="0" w:space="0" w:color="auto"/>
        <w:bottom w:val="none" w:sz="0" w:space="0" w:color="auto"/>
        <w:right w:val="none" w:sz="0" w:space="0" w:color="auto"/>
      </w:divBdr>
      <w:divsChild>
        <w:div w:id="2002155981">
          <w:marLeft w:val="0"/>
          <w:marRight w:val="0"/>
          <w:marTop w:val="0"/>
          <w:marBottom w:val="0"/>
          <w:divBdr>
            <w:top w:val="none" w:sz="0" w:space="0" w:color="auto"/>
            <w:left w:val="none" w:sz="0" w:space="0" w:color="auto"/>
            <w:bottom w:val="none" w:sz="0" w:space="0" w:color="auto"/>
            <w:right w:val="none" w:sz="0" w:space="0" w:color="auto"/>
          </w:divBdr>
          <w:divsChild>
            <w:div w:id="2039116087">
              <w:marLeft w:val="0"/>
              <w:marRight w:val="0"/>
              <w:marTop w:val="0"/>
              <w:marBottom w:val="0"/>
              <w:divBdr>
                <w:top w:val="none" w:sz="0" w:space="0" w:color="auto"/>
                <w:left w:val="none" w:sz="0" w:space="0" w:color="auto"/>
                <w:bottom w:val="none" w:sz="0" w:space="0" w:color="auto"/>
                <w:right w:val="none" w:sz="0" w:space="0" w:color="auto"/>
              </w:divBdr>
              <w:divsChild>
                <w:div w:id="1013730449">
                  <w:marLeft w:val="0"/>
                  <w:marRight w:val="0"/>
                  <w:marTop w:val="0"/>
                  <w:marBottom w:val="0"/>
                  <w:divBdr>
                    <w:top w:val="none" w:sz="0" w:space="0" w:color="auto"/>
                    <w:left w:val="none" w:sz="0" w:space="0" w:color="auto"/>
                    <w:bottom w:val="none" w:sz="0" w:space="0" w:color="auto"/>
                    <w:right w:val="none" w:sz="0" w:space="0" w:color="auto"/>
                  </w:divBdr>
                  <w:divsChild>
                    <w:div w:id="19288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89180">
          <w:marLeft w:val="0"/>
          <w:marRight w:val="0"/>
          <w:marTop w:val="0"/>
          <w:marBottom w:val="0"/>
          <w:divBdr>
            <w:top w:val="none" w:sz="0" w:space="0" w:color="auto"/>
            <w:left w:val="none" w:sz="0" w:space="0" w:color="auto"/>
            <w:bottom w:val="none" w:sz="0" w:space="0" w:color="auto"/>
            <w:right w:val="none" w:sz="0" w:space="0" w:color="auto"/>
          </w:divBdr>
          <w:divsChild>
            <w:div w:id="28147456">
              <w:marLeft w:val="0"/>
              <w:marRight w:val="0"/>
              <w:marTop w:val="0"/>
              <w:marBottom w:val="0"/>
              <w:divBdr>
                <w:top w:val="none" w:sz="0" w:space="0" w:color="auto"/>
                <w:left w:val="none" w:sz="0" w:space="0" w:color="auto"/>
                <w:bottom w:val="none" w:sz="0" w:space="0" w:color="auto"/>
                <w:right w:val="none" w:sz="0" w:space="0" w:color="auto"/>
              </w:divBdr>
              <w:divsChild>
                <w:div w:id="1184713450">
                  <w:marLeft w:val="0"/>
                  <w:marRight w:val="0"/>
                  <w:marTop w:val="0"/>
                  <w:marBottom w:val="0"/>
                  <w:divBdr>
                    <w:top w:val="none" w:sz="0" w:space="0" w:color="auto"/>
                    <w:left w:val="none" w:sz="0" w:space="0" w:color="auto"/>
                    <w:bottom w:val="none" w:sz="0" w:space="0" w:color="auto"/>
                    <w:right w:val="none" w:sz="0" w:space="0" w:color="auto"/>
                  </w:divBdr>
                  <w:divsChild>
                    <w:div w:id="141081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suite.com/portal/resource/articles/financial-management/improve-financial-performance.shtml" TargetMode="External"/><Relationship Id="rId13" Type="http://schemas.openxmlformats.org/officeDocument/2006/relationships/hyperlink" Target="https://www.researchgate.net/publication/376318358_Effect_of_COVID-19_on_the_Profitability_of_the_Hospitality_Indust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10.1177/1356766718763703?icid=int.sj-abstract.similar-articles.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forbesagencycouncil/2021/03/24/the-importance-of-branding-in-business/?sh=25f478df67f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investopedia.com/terms/o/operating-cost.asp" TargetMode="External"/><Relationship Id="rId4" Type="http://schemas.openxmlformats.org/officeDocument/2006/relationships/settings" Target="settings.xml"/><Relationship Id="rId9" Type="http://schemas.openxmlformats.org/officeDocument/2006/relationships/hyperlink" Target="https://www.forbes.com/sites/forbesbusinesscouncil/2020/10/06/how-to-use-technology-to-gain-a-sustainable-competitive-advantage/?sh=5e85aa05328c" TargetMode="External"/><Relationship Id="rId14" Type="http://schemas.openxmlformats.org/officeDocument/2006/relationships/hyperlink" Target="https://doi.org/10.1177/193896552311844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3BBEF-AC00-4D17-BC39-33F8D30C8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2227</Words>
  <Characters>13512</Characters>
  <Application>Microsoft Office Word</Application>
  <DocSecurity>0</DocSecurity>
  <Lines>182</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Acer</cp:lastModifiedBy>
  <cp:revision>3</cp:revision>
  <dcterms:created xsi:type="dcterms:W3CDTF">2024-06-06T19:43:00Z</dcterms:created>
  <dcterms:modified xsi:type="dcterms:W3CDTF">2024-06-08T06:56:00Z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7ca69a4d0bc0d66acc0c38571eef0f5712566235f97f979269bf6ca848ad9e53</vt:lpwstr>
  </property>
</Properties>
</file>