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60294" w14:textId="33BBCB38" w:rsidR="005D5571" w:rsidRPr="005D5571" w:rsidRDefault="005D5571" w:rsidP="3DFC2CA0">
      <w:pPr>
        <w:pStyle w:val="Heading2"/>
        <w:jc w:val="center"/>
        <w:rPr>
          <w:b/>
          <w:bCs/>
          <w:color w:val="000000" w:themeColor="text1"/>
        </w:rPr>
      </w:pPr>
      <w:bookmarkStart w:id="0" w:name="_Toc1690184689"/>
      <w:r w:rsidRPr="3DFC2CA0">
        <w:rPr>
          <w:b/>
          <w:bCs/>
          <w:color w:val="000000" w:themeColor="text1"/>
        </w:rPr>
        <w:t>Strategic Growth Report</w:t>
      </w:r>
      <w:bookmarkEnd w:id="0"/>
    </w:p>
    <w:p w14:paraId="0AFE0DE2" w14:textId="1521180B" w:rsidR="38411643" w:rsidRDefault="38411643" w:rsidP="3DFC2CA0">
      <w:pPr>
        <w:pStyle w:val="Heading2"/>
        <w:jc w:val="center"/>
        <w:rPr>
          <w:b/>
          <w:bCs/>
          <w:color w:val="000000" w:themeColor="text1"/>
        </w:rPr>
      </w:pPr>
      <w:r w:rsidRPr="3DFC2CA0">
        <w:rPr>
          <w:b/>
          <w:bCs/>
          <w:color w:val="000000" w:themeColor="text1"/>
        </w:rPr>
        <w:t xml:space="preserve">Individual assessment on innocent drinks </w:t>
      </w:r>
    </w:p>
    <w:p w14:paraId="10327938" w14:textId="0F9EEC48" w:rsidR="38411643" w:rsidRDefault="38411643" w:rsidP="3DFC2CA0">
      <w:pPr>
        <w:pStyle w:val="Heading2"/>
        <w:jc w:val="center"/>
        <w:rPr>
          <w:b/>
          <w:bCs/>
          <w:color w:val="000000" w:themeColor="text1"/>
        </w:rPr>
      </w:pPr>
      <w:r w:rsidRPr="3DFC2CA0">
        <w:rPr>
          <w:b/>
          <w:bCs/>
          <w:color w:val="000000" w:themeColor="text1"/>
        </w:rPr>
        <w:t xml:space="preserve">Md Ashikul Khan </w:t>
      </w:r>
    </w:p>
    <w:p w14:paraId="60995DAD" w14:textId="0341E352" w:rsidR="38411643" w:rsidRDefault="38411643" w:rsidP="3DFC2CA0">
      <w:pPr>
        <w:pStyle w:val="Heading2"/>
        <w:jc w:val="center"/>
        <w:rPr>
          <w:b/>
          <w:bCs/>
          <w:color w:val="000000" w:themeColor="text1"/>
        </w:rPr>
      </w:pPr>
      <w:r w:rsidRPr="3DFC2CA0">
        <w:rPr>
          <w:b/>
          <w:bCs/>
          <w:color w:val="000000" w:themeColor="text1"/>
        </w:rPr>
        <w:t>By Ioana Alexia Cantaragiu</w:t>
      </w:r>
    </w:p>
    <w:p w14:paraId="683DD8AE" w14:textId="77777777" w:rsidR="005D5571" w:rsidRPr="005D5571" w:rsidRDefault="005D5571" w:rsidP="0C2D6D4F">
      <w:pPr>
        <w:spacing w:line="360" w:lineRule="auto"/>
        <w:rPr>
          <w:rFonts w:ascii="Arial" w:eastAsia="Arial" w:hAnsi="Arial" w:cs="Arial"/>
          <w:sz w:val="22"/>
          <w:szCs w:val="22"/>
        </w:rPr>
      </w:pPr>
    </w:p>
    <w:p w14:paraId="0AE40033" w14:textId="35045358" w:rsidR="3DFC2CA0" w:rsidRDefault="3DFC2CA0" w:rsidP="3DFC2CA0">
      <w:pPr>
        <w:spacing w:line="360" w:lineRule="auto"/>
        <w:rPr>
          <w:rFonts w:ascii="Arial" w:eastAsia="Arial" w:hAnsi="Arial" w:cs="Arial"/>
          <w:sz w:val="22"/>
          <w:szCs w:val="22"/>
        </w:rPr>
      </w:pPr>
    </w:p>
    <w:p w14:paraId="13C37EDF" w14:textId="08EBEE5C" w:rsidR="3DFC2CA0" w:rsidRDefault="3DFC2CA0" w:rsidP="3DFC2CA0">
      <w:pPr>
        <w:spacing w:line="360" w:lineRule="auto"/>
        <w:rPr>
          <w:rFonts w:ascii="Arial" w:eastAsia="Arial" w:hAnsi="Arial" w:cs="Arial"/>
          <w:sz w:val="22"/>
          <w:szCs w:val="22"/>
        </w:rPr>
      </w:pPr>
    </w:p>
    <w:p w14:paraId="737FC2A7" w14:textId="329EBC89" w:rsidR="3DFC2CA0" w:rsidRDefault="3DFC2CA0" w:rsidP="3DFC2CA0">
      <w:pPr>
        <w:spacing w:line="360" w:lineRule="auto"/>
        <w:rPr>
          <w:rFonts w:ascii="Arial" w:eastAsia="Arial" w:hAnsi="Arial" w:cs="Arial"/>
          <w:sz w:val="22"/>
          <w:szCs w:val="22"/>
        </w:rPr>
      </w:pPr>
    </w:p>
    <w:p w14:paraId="20A79FCE" w14:textId="5DA6A73B" w:rsidR="3DFC2CA0" w:rsidRDefault="3DFC2CA0" w:rsidP="3DFC2CA0">
      <w:pPr>
        <w:spacing w:line="360" w:lineRule="auto"/>
        <w:rPr>
          <w:rFonts w:ascii="Arial" w:eastAsia="Arial" w:hAnsi="Arial" w:cs="Arial"/>
          <w:sz w:val="22"/>
          <w:szCs w:val="22"/>
        </w:rPr>
      </w:pPr>
    </w:p>
    <w:p w14:paraId="04FCF800" w14:textId="7CC21329" w:rsidR="3DFC2CA0" w:rsidRDefault="3DFC2CA0" w:rsidP="3DFC2CA0">
      <w:pPr>
        <w:spacing w:line="360" w:lineRule="auto"/>
        <w:rPr>
          <w:rFonts w:ascii="Arial" w:eastAsia="Arial" w:hAnsi="Arial" w:cs="Arial"/>
          <w:sz w:val="22"/>
          <w:szCs w:val="22"/>
        </w:rPr>
      </w:pPr>
    </w:p>
    <w:p w14:paraId="6E1E7DBE" w14:textId="4A4E2E4B" w:rsidR="3DFC2CA0" w:rsidRDefault="3DFC2CA0" w:rsidP="3DFC2CA0">
      <w:pPr>
        <w:spacing w:line="360" w:lineRule="auto"/>
        <w:rPr>
          <w:rFonts w:ascii="Arial" w:eastAsia="Arial" w:hAnsi="Arial" w:cs="Arial"/>
          <w:sz w:val="22"/>
          <w:szCs w:val="22"/>
        </w:rPr>
      </w:pPr>
    </w:p>
    <w:p w14:paraId="15E1D7E4" w14:textId="0EAE53F0" w:rsidR="3DFC2CA0" w:rsidRDefault="3DFC2CA0" w:rsidP="3DFC2CA0">
      <w:pPr>
        <w:spacing w:line="360" w:lineRule="auto"/>
        <w:rPr>
          <w:rFonts w:ascii="Arial" w:eastAsia="Arial" w:hAnsi="Arial" w:cs="Arial"/>
          <w:sz w:val="22"/>
          <w:szCs w:val="22"/>
        </w:rPr>
      </w:pPr>
    </w:p>
    <w:p w14:paraId="1B8E3C9D" w14:textId="0B16A00B" w:rsidR="3DFC2CA0" w:rsidRDefault="3DFC2CA0" w:rsidP="3DFC2CA0">
      <w:pPr>
        <w:spacing w:line="360" w:lineRule="auto"/>
        <w:rPr>
          <w:rFonts w:ascii="Arial" w:eastAsia="Arial" w:hAnsi="Arial" w:cs="Arial"/>
          <w:sz w:val="22"/>
          <w:szCs w:val="22"/>
        </w:rPr>
      </w:pPr>
    </w:p>
    <w:p w14:paraId="2B3C2DD4" w14:textId="559D06B6" w:rsidR="3DFC2CA0" w:rsidRDefault="3DFC2CA0" w:rsidP="3DFC2CA0">
      <w:pPr>
        <w:spacing w:line="360" w:lineRule="auto"/>
        <w:rPr>
          <w:rFonts w:ascii="Arial" w:eastAsia="Arial" w:hAnsi="Arial" w:cs="Arial"/>
          <w:sz w:val="22"/>
          <w:szCs w:val="22"/>
        </w:rPr>
      </w:pPr>
    </w:p>
    <w:p w14:paraId="4BE93486" w14:textId="6E319B9D" w:rsidR="3DFC2CA0" w:rsidRDefault="3DFC2CA0" w:rsidP="3DFC2CA0">
      <w:pPr>
        <w:spacing w:line="360" w:lineRule="auto"/>
        <w:rPr>
          <w:rFonts w:ascii="Arial" w:eastAsia="Arial" w:hAnsi="Arial" w:cs="Arial"/>
          <w:sz w:val="22"/>
          <w:szCs w:val="22"/>
        </w:rPr>
      </w:pPr>
    </w:p>
    <w:p w14:paraId="7DFEECE6" w14:textId="729E16E0" w:rsidR="3DFC2CA0" w:rsidRDefault="3DFC2CA0" w:rsidP="3DFC2CA0">
      <w:pPr>
        <w:spacing w:line="360" w:lineRule="auto"/>
        <w:rPr>
          <w:rFonts w:ascii="Arial" w:eastAsia="Arial" w:hAnsi="Arial" w:cs="Arial"/>
          <w:sz w:val="22"/>
          <w:szCs w:val="22"/>
        </w:rPr>
      </w:pPr>
    </w:p>
    <w:p w14:paraId="6FEE6213" w14:textId="5AC00B5C" w:rsidR="3DFC2CA0" w:rsidRDefault="3DFC2CA0" w:rsidP="3DFC2CA0">
      <w:pPr>
        <w:spacing w:line="360" w:lineRule="auto"/>
        <w:rPr>
          <w:rFonts w:ascii="Arial" w:eastAsia="Arial" w:hAnsi="Arial" w:cs="Arial"/>
          <w:sz w:val="22"/>
          <w:szCs w:val="22"/>
        </w:rPr>
      </w:pPr>
    </w:p>
    <w:p w14:paraId="548E0340" w14:textId="6EB03730" w:rsidR="3DFC2CA0" w:rsidRDefault="3DFC2CA0" w:rsidP="3DFC2CA0">
      <w:pPr>
        <w:spacing w:line="360" w:lineRule="auto"/>
        <w:rPr>
          <w:rFonts w:ascii="Arial" w:eastAsia="Arial" w:hAnsi="Arial" w:cs="Arial"/>
          <w:sz w:val="22"/>
          <w:szCs w:val="22"/>
        </w:rPr>
      </w:pPr>
    </w:p>
    <w:p w14:paraId="5F522DCD" w14:textId="0BA10769" w:rsidR="3DFC2CA0" w:rsidRDefault="3DFC2CA0" w:rsidP="3DFC2CA0">
      <w:pPr>
        <w:spacing w:line="360" w:lineRule="auto"/>
        <w:rPr>
          <w:rFonts w:ascii="Arial" w:eastAsia="Arial" w:hAnsi="Arial" w:cs="Arial"/>
          <w:sz w:val="22"/>
          <w:szCs w:val="22"/>
        </w:rPr>
      </w:pPr>
    </w:p>
    <w:p w14:paraId="72185963" w14:textId="09FC3EE8" w:rsidR="3DFC2CA0" w:rsidRDefault="3DFC2CA0" w:rsidP="3DFC2CA0">
      <w:pPr>
        <w:spacing w:line="360" w:lineRule="auto"/>
        <w:rPr>
          <w:rFonts w:ascii="Arial" w:eastAsia="Arial" w:hAnsi="Arial" w:cs="Arial"/>
          <w:sz w:val="22"/>
          <w:szCs w:val="22"/>
        </w:rPr>
      </w:pPr>
    </w:p>
    <w:p w14:paraId="2A0DD30B" w14:textId="7709E1B5" w:rsidR="3DFC2CA0" w:rsidRDefault="3DFC2CA0" w:rsidP="3DFC2CA0">
      <w:pPr>
        <w:spacing w:line="360" w:lineRule="auto"/>
        <w:rPr>
          <w:rFonts w:ascii="Arial" w:eastAsia="Arial" w:hAnsi="Arial" w:cs="Arial"/>
          <w:sz w:val="22"/>
          <w:szCs w:val="22"/>
        </w:rPr>
      </w:pPr>
    </w:p>
    <w:p w14:paraId="7B417208" w14:textId="437C5D66" w:rsidR="3DFC2CA0" w:rsidRDefault="3DFC2CA0" w:rsidP="3DFC2CA0">
      <w:pPr>
        <w:spacing w:line="360" w:lineRule="auto"/>
        <w:rPr>
          <w:rFonts w:ascii="Arial" w:eastAsia="Arial" w:hAnsi="Arial" w:cs="Arial"/>
          <w:sz w:val="22"/>
          <w:szCs w:val="22"/>
        </w:rPr>
      </w:pPr>
    </w:p>
    <w:p w14:paraId="30858E44" w14:textId="38F35B8D" w:rsidR="3DFC2CA0" w:rsidRDefault="3DFC2CA0" w:rsidP="3DFC2CA0">
      <w:pPr>
        <w:spacing w:line="360" w:lineRule="auto"/>
        <w:rPr>
          <w:rFonts w:ascii="Arial" w:eastAsia="Arial" w:hAnsi="Arial" w:cs="Arial"/>
          <w:sz w:val="22"/>
          <w:szCs w:val="22"/>
        </w:rPr>
      </w:pPr>
    </w:p>
    <w:p w14:paraId="7F373BAA" w14:textId="1D4F6A67" w:rsidR="3DFC2CA0" w:rsidRDefault="3DFC2CA0" w:rsidP="3DFC2CA0">
      <w:pPr>
        <w:spacing w:line="360" w:lineRule="auto"/>
        <w:rPr>
          <w:rFonts w:ascii="Arial" w:eastAsia="Arial" w:hAnsi="Arial" w:cs="Arial"/>
          <w:sz w:val="22"/>
          <w:szCs w:val="22"/>
        </w:rPr>
      </w:pPr>
    </w:p>
    <w:p w14:paraId="2D3E4DAD" w14:textId="57921C0D" w:rsidR="3DFC2CA0" w:rsidRDefault="3DFC2CA0" w:rsidP="3DFC2CA0">
      <w:pPr>
        <w:spacing w:line="360" w:lineRule="auto"/>
        <w:rPr>
          <w:rFonts w:ascii="Arial" w:eastAsia="Arial" w:hAnsi="Arial" w:cs="Arial"/>
          <w:sz w:val="22"/>
          <w:szCs w:val="22"/>
        </w:rPr>
      </w:pPr>
    </w:p>
    <w:p w14:paraId="432D2E09" w14:textId="751232EA" w:rsidR="3DFC2CA0" w:rsidRDefault="3DFC2CA0" w:rsidP="3DFC2CA0">
      <w:pPr>
        <w:spacing w:line="360" w:lineRule="auto"/>
        <w:rPr>
          <w:rFonts w:ascii="Arial" w:eastAsia="Arial" w:hAnsi="Arial" w:cs="Arial"/>
          <w:sz w:val="22"/>
          <w:szCs w:val="22"/>
        </w:rPr>
      </w:pPr>
    </w:p>
    <w:p w14:paraId="6C9D64E5" w14:textId="54D738BD" w:rsidR="005D5571" w:rsidRPr="005D5571" w:rsidRDefault="47E3F99E" w:rsidP="3DC95B7A">
      <w:pPr>
        <w:pStyle w:val="Title"/>
        <w:rPr>
          <w:rFonts w:ascii="Arial" w:eastAsia="Arial" w:hAnsi="Arial" w:cs="Arial"/>
          <w:b/>
          <w:bCs/>
          <w:sz w:val="32"/>
          <w:szCs w:val="32"/>
        </w:rPr>
      </w:pPr>
      <w:r w:rsidRPr="3DC95B7A">
        <w:rPr>
          <w:b/>
          <w:bCs/>
          <w:sz w:val="32"/>
          <w:szCs w:val="32"/>
        </w:rPr>
        <w:t xml:space="preserve">Innocent drinks </w:t>
      </w:r>
    </w:p>
    <w:p w14:paraId="53A53EF9" w14:textId="4C70BECA" w:rsidR="005D5571" w:rsidRPr="005D5571" w:rsidRDefault="005D5571" w:rsidP="3DFC2CA0">
      <w:pPr>
        <w:pStyle w:val="Heading2"/>
        <w:rPr>
          <w:rFonts w:ascii="Arial" w:eastAsia="Arial" w:hAnsi="Arial" w:cs="Arial"/>
          <w:b/>
          <w:bCs/>
          <w:color w:val="auto"/>
          <w:sz w:val="28"/>
          <w:szCs w:val="28"/>
        </w:rPr>
      </w:pPr>
      <w:bookmarkStart w:id="1" w:name="_Toc2080585991"/>
      <w:r w:rsidRPr="3DFC2CA0">
        <w:rPr>
          <w:b/>
          <w:bCs/>
          <w:color w:val="auto"/>
          <w:sz w:val="28"/>
          <w:szCs w:val="28"/>
        </w:rPr>
        <w:t>Executive Summary</w:t>
      </w:r>
      <w:bookmarkEnd w:id="1"/>
    </w:p>
    <w:p w14:paraId="5E15B9C8" w14:textId="478FBFDA" w:rsidR="0C2D6D4F" w:rsidRDefault="0C2D6D4F" w:rsidP="0C2D6D4F">
      <w:pPr>
        <w:spacing w:line="360" w:lineRule="auto"/>
        <w:rPr>
          <w:rFonts w:ascii="Arial" w:eastAsia="Arial" w:hAnsi="Arial" w:cs="Arial"/>
          <w:sz w:val="22"/>
          <w:szCs w:val="22"/>
        </w:rPr>
      </w:pPr>
    </w:p>
    <w:p w14:paraId="35A9EFD4" w14:textId="1B964252" w:rsidR="005D5571" w:rsidRPr="005D5571" w:rsidRDefault="005D5571" w:rsidP="0C2D6D4F">
      <w:pPr>
        <w:spacing w:line="360" w:lineRule="auto"/>
        <w:rPr>
          <w:rFonts w:ascii="Arial" w:eastAsia="Arial" w:hAnsi="Arial" w:cs="Arial"/>
          <w:sz w:val="22"/>
          <w:szCs w:val="22"/>
        </w:rPr>
      </w:pPr>
      <w:r w:rsidRPr="0C2D6D4F">
        <w:rPr>
          <w:rFonts w:ascii="Arial" w:eastAsia="Arial" w:hAnsi="Arial" w:cs="Arial"/>
          <w:sz w:val="22"/>
          <w:szCs w:val="22"/>
        </w:rPr>
        <w:t>Innocent Drinks operates in a dynamic global beverage market shaped by regulatory intervention, increasing competition, evolving consumer health awareness, and environmental challenges. Since its founding in 1999, the company has established a strong brand identity built on natural ingredients, ethical business practices, and sustainability commitments. However, structural changes in the external environment — particularly increasing scrutiny of sugar consumption and rising competitive pressure from multinational beverage brands and niche health-focused start-ups — present significant strategic challenges.</w:t>
      </w:r>
    </w:p>
    <w:p w14:paraId="7F3018D6" w14:textId="03671C3A" w:rsidR="005D5571" w:rsidRPr="005D5571" w:rsidRDefault="005D5571" w:rsidP="0C2D6D4F">
      <w:pPr>
        <w:spacing w:line="360" w:lineRule="auto"/>
        <w:rPr>
          <w:rFonts w:ascii="Arial" w:eastAsia="Arial" w:hAnsi="Arial" w:cs="Arial"/>
          <w:sz w:val="22"/>
          <w:szCs w:val="22"/>
        </w:rPr>
      </w:pPr>
      <w:r w:rsidRPr="0C2D6D4F">
        <w:rPr>
          <w:rFonts w:ascii="Arial" w:eastAsia="Arial" w:hAnsi="Arial" w:cs="Arial"/>
          <w:sz w:val="22"/>
          <w:szCs w:val="22"/>
        </w:rPr>
        <w:t>This report critically evaluates the current market situation of Innocent Drinks using established strategic management frameworks including PESTEL analysis, SWOT analysis, and Porter’s Five Forces. The analysis demonstrates that although the organisation benefits from strong brand equity, a loyal customer base, and the financial and distribution support of The Coca-Cola Company, it is exposed to several external risks. These include tightening public health regulation, supply chain volatility caused by climate change, and the growing availability of substitute beverages such as functional drinks, flavoured water, and plant-based alternatives.</w:t>
      </w:r>
    </w:p>
    <w:p w14:paraId="6FF32D48" w14:textId="77777777" w:rsidR="005D5571" w:rsidRPr="005D5571" w:rsidRDefault="005D5571" w:rsidP="0C2D6D4F">
      <w:pPr>
        <w:spacing w:line="360" w:lineRule="auto"/>
        <w:rPr>
          <w:rFonts w:ascii="Arial" w:eastAsia="Arial" w:hAnsi="Arial" w:cs="Arial"/>
          <w:sz w:val="22"/>
          <w:szCs w:val="22"/>
        </w:rPr>
      </w:pPr>
      <w:r w:rsidRPr="0C2D6D4F">
        <w:rPr>
          <w:rFonts w:ascii="Arial" w:eastAsia="Arial" w:hAnsi="Arial" w:cs="Arial"/>
          <w:sz w:val="22"/>
          <w:szCs w:val="22"/>
        </w:rPr>
        <w:t>Strategic growth options are assessed using Ansoff’s Matrix and Porter’s Generic Strategies. Market penetration is considered limited due to the maturity of the UK smoothie market, while unrelated diversification could dilute the company’s brand identity. As a result, a combined product development and selective market development strategy is recommended. This involves expanding the product portfolio to include low-sugar functional beverages while entering selected high-growth international markets where demand for health-oriented drinks is increasing.</w:t>
      </w:r>
    </w:p>
    <w:p w14:paraId="44C45CFB" w14:textId="1DDE6708" w:rsidR="005D5571" w:rsidRPr="005D5571" w:rsidRDefault="005D5571" w:rsidP="0C2D6D4F">
      <w:pPr>
        <w:spacing w:line="360" w:lineRule="auto"/>
        <w:rPr>
          <w:rFonts w:ascii="Arial" w:eastAsia="Arial" w:hAnsi="Arial" w:cs="Arial"/>
          <w:sz w:val="22"/>
          <w:szCs w:val="22"/>
        </w:rPr>
      </w:pPr>
      <w:r w:rsidRPr="0C2D6D4F">
        <w:rPr>
          <w:rFonts w:ascii="Arial" w:eastAsia="Arial" w:hAnsi="Arial" w:cs="Arial"/>
          <w:sz w:val="22"/>
          <w:szCs w:val="22"/>
        </w:rPr>
        <w:t>The proposed strategy is evaluated using the Suitability, Feasibility and Acceptability (SFA) framework. The findings suggest that the strategy aligns with macro-environmental trends, organisational capabilities, and stakeholder expectations. Clear implementation objectives and key performance indicators are outlined to ensure effective monitoring.</w:t>
      </w:r>
    </w:p>
    <w:p w14:paraId="2C371D54" w14:textId="48C9B3D3" w:rsidR="0C2D6D4F" w:rsidRDefault="0C2D6D4F" w:rsidP="0C2D6D4F">
      <w:pPr>
        <w:spacing w:line="360" w:lineRule="auto"/>
        <w:rPr>
          <w:rFonts w:ascii="Arial" w:eastAsia="Arial" w:hAnsi="Arial" w:cs="Arial"/>
          <w:sz w:val="22"/>
          <w:szCs w:val="22"/>
        </w:rPr>
      </w:pPr>
    </w:p>
    <w:p w14:paraId="65B5A285" w14:textId="0F29DEA2" w:rsidR="0C2D6D4F" w:rsidRDefault="0C2D6D4F" w:rsidP="0C2D6D4F">
      <w:pPr>
        <w:pStyle w:val="Subtitle"/>
        <w:spacing w:line="360" w:lineRule="auto"/>
        <w:rPr>
          <w:rFonts w:ascii="Arial" w:eastAsia="Arial" w:hAnsi="Arial" w:cs="Arial"/>
          <w:b/>
          <w:bCs/>
          <w:color w:val="auto"/>
          <w:sz w:val="22"/>
          <w:szCs w:val="22"/>
        </w:rPr>
      </w:pPr>
    </w:p>
    <w:p w14:paraId="75EBE329" w14:textId="25BE6B82" w:rsidR="0C2D6D4F" w:rsidRDefault="0C2D6D4F" w:rsidP="0C2D6D4F">
      <w:pPr>
        <w:pStyle w:val="Subtitle"/>
        <w:spacing w:line="360" w:lineRule="auto"/>
        <w:rPr>
          <w:rFonts w:ascii="Arial" w:eastAsia="Arial" w:hAnsi="Arial" w:cs="Arial"/>
          <w:b/>
          <w:bCs/>
          <w:color w:val="auto"/>
          <w:sz w:val="22"/>
          <w:szCs w:val="22"/>
        </w:rPr>
      </w:pPr>
    </w:p>
    <w:p w14:paraId="598D5142" w14:textId="021BB2EA" w:rsidR="0C2D6D4F" w:rsidRDefault="0C2D6D4F" w:rsidP="0C2D6D4F">
      <w:pPr>
        <w:pStyle w:val="Subtitle"/>
        <w:spacing w:line="360" w:lineRule="auto"/>
        <w:rPr>
          <w:rFonts w:ascii="Arial" w:eastAsia="Arial" w:hAnsi="Arial" w:cs="Arial"/>
          <w:b/>
          <w:bCs/>
          <w:color w:val="auto"/>
          <w:sz w:val="22"/>
          <w:szCs w:val="22"/>
        </w:rPr>
      </w:pPr>
    </w:p>
    <w:sdt>
      <w:sdtPr>
        <w:id w:val="892335906"/>
        <w:docPartObj>
          <w:docPartGallery w:val="Table of Contents"/>
          <w:docPartUnique/>
        </w:docPartObj>
      </w:sdtPr>
      <w:sdtContent>
        <w:p w14:paraId="72D8FAC8" w14:textId="3668B6B1" w:rsidR="0C2D6D4F" w:rsidRDefault="3DC95B7A" w:rsidP="0C2D6D4F">
          <w:pPr>
            <w:pStyle w:val="TOC1"/>
            <w:tabs>
              <w:tab w:val="right" w:leader="dot" w:pos="9015"/>
            </w:tabs>
            <w:rPr>
              <w:rStyle w:val="Hyperlink"/>
            </w:rPr>
          </w:pPr>
          <w:r>
            <w:fldChar w:fldCharType="begin"/>
          </w:r>
          <w:r w:rsidR="0C2D6D4F">
            <w:instrText>TOC \o "1-9" \z \u \h</w:instrText>
          </w:r>
          <w:r>
            <w:fldChar w:fldCharType="separate"/>
          </w:r>
          <w:hyperlink w:anchor="_Toc1690184689">
            <w:r w:rsidRPr="3DC95B7A">
              <w:rPr>
                <w:rStyle w:val="Hyperlink"/>
              </w:rPr>
              <w:t>Strategic Growth Report</w:t>
            </w:r>
            <w:r w:rsidR="0C2D6D4F">
              <w:tab/>
            </w:r>
            <w:r w:rsidR="0C2D6D4F">
              <w:fldChar w:fldCharType="begin"/>
            </w:r>
            <w:r w:rsidR="0C2D6D4F">
              <w:instrText>PAGEREF _Toc1690184689 \h</w:instrText>
            </w:r>
            <w:r w:rsidR="0C2D6D4F">
              <w:fldChar w:fldCharType="separate"/>
            </w:r>
            <w:r w:rsidRPr="3DC95B7A">
              <w:rPr>
                <w:rStyle w:val="Hyperlink"/>
              </w:rPr>
              <w:t>1</w:t>
            </w:r>
            <w:r w:rsidR="0C2D6D4F">
              <w:fldChar w:fldCharType="end"/>
            </w:r>
          </w:hyperlink>
        </w:p>
        <w:p w14:paraId="26062815" w14:textId="59CD3015" w:rsidR="0C2D6D4F" w:rsidRDefault="3DC95B7A" w:rsidP="0C2D6D4F">
          <w:pPr>
            <w:pStyle w:val="TOC2"/>
            <w:tabs>
              <w:tab w:val="right" w:leader="dot" w:pos="9015"/>
            </w:tabs>
            <w:rPr>
              <w:rStyle w:val="Hyperlink"/>
            </w:rPr>
          </w:pPr>
          <w:hyperlink w:anchor="_Toc2080585991">
            <w:r w:rsidRPr="3DC95B7A">
              <w:rPr>
                <w:rStyle w:val="Hyperlink"/>
              </w:rPr>
              <w:t>Executive Summary</w:t>
            </w:r>
            <w:r w:rsidR="0C2D6D4F">
              <w:tab/>
            </w:r>
            <w:r w:rsidR="0C2D6D4F">
              <w:fldChar w:fldCharType="begin"/>
            </w:r>
            <w:r w:rsidR="0C2D6D4F">
              <w:instrText>PAGEREF _Toc2080585991 \h</w:instrText>
            </w:r>
            <w:r w:rsidR="0C2D6D4F">
              <w:fldChar w:fldCharType="separate"/>
            </w:r>
            <w:r w:rsidRPr="3DC95B7A">
              <w:rPr>
                <w:rStyle w:val="Hyperlink"/>
              </w:rPr>
              <w:t>1</w:t>
            </w:r>
            <w:r w:rsidR="0C2D6D4F">
              <w:fldChar w:fldCharType="end"/>
            </w:r>
          </w:hyperlink>
        </w:p>
        <w:p w14:paraId="33431CC9" w14:textId="05A0FC33" w:rsidR="3DC95B7A" w:rsidRDefault="3DC95B7A" w:rsidP="3DC95B7A">
          <w:pPr>
            <w:pStyle w:val="TOC2"/>
            <w:tabs>
              <w:tab w:val="right" w:leader="dot" w:pos="9015"/>
            </w:tabs>
            <w:rPr>
              <w:rStyle w:val="Hyperlink"/>
            </w:rPr>
          </w:pPr>
          <w:hyperlink w:anchor="_Toc1814117491">
            <w:r w:rsidRPr="3DC95B7A">
              <w:rPr>
                <w:rStyle w:val="Hyperlink"/>
              </w:rPr>
              <w:t>Evaluation of the Current Market Situation</w:t>
            </w:r>
            <w:r>
              <w:tab/>
            </w:r>
            <w:r>
              <w:fldChar w:fldCharType="begin"/>
            </w:r>
            <w:r>
              <w:instrText>PAGEREF _Toc1814117491 \h</w:instrText>
            </w:r>
            <w:r>
              <w:fldChar w:fldCharType="separate"/>
            </w:r>
            <w:r w:rsidRPr="3DC95B7A">
              <w:rPr>
                <w:rStyle w:val="Hyperlink"/>
              </w:rPr>
              <w:t>3</w:t>
            </w:r>
            <w:r>
              <w:fldChar w:fldCharType="end"/>
            </w:r>
          </w:hyperlink>
        </w:p>
        <w:p w14:paraId="6CD110FC" w14:textId="0E087F3D" w:rsidR="3DC95B7A" w:rsidRDefault="3DC95B7A" w:rsidP="3DC95B7A">
          <w:pPr>
            <w:pStyle w:val="TOC2"/>
            <w:tabs>
              <w:tab w:val="right" w:leader="dot" w:pos="9015"/>
            </w:tabs>
            <w:rPr>
              <w:rStyle w:val="Hyperlink"/>
            </w:rPr>
          </w:pPr>
          <w:hyperlink w:anchor="_Toc602095003">
            <w:r w:rsidRPr="3DC95B7A">
              <w:rPr>
                <w:rStyle w:val="Hyperlink"/>
              </w:rPr>
              <w:t>3.1 PESTEL Analysis</w:t>
            </w:r>
            <w:r>
              <w:tab/>
            </w:r>
            <w:r>
              <w:fldChar w:fldCharType="begin"/>
            </w:r>
            <w:r>
              <w:instrText>PAGEREF _Toc602095003 \h</w:instrText>
            </w:r>
            <w:r>
              <w:fldChar w:fldCharType="separate"/>
            </w:r>
            <w:r w:rsidRPr="3DC95B7A">
              <w:rPr>
                <w:rStyle w:val="Hyperlink"/>
              </w:rPr>
              <w:t>4</w:t>
            </w:r>
            <w:r>
              <w:fldChar w:fldCharType="end"/>
            </w:r>
          </w:hyperlink>
        </w:p>
        <w:p w14:paraId="60803F27" w14:textId="305C1DBF" w:rsidR="3DC95B7A" w:rsidRDefault="3DC95B7A" w:rsidP="3DC95B7A">
          <w:pPr>
            <w:pStyle w:val="TOC2"/>
            <w:tabs>
              <w:tab w:val="right" w:leader="dot" w:pos="9015"/>
            </w:tabs>
            <w:rPr>
              <w:rStyle w:val="Hyperlink"/>
            </w:rPr>
          </w:pPr>
          <w:hyperlink w:anchor="_Toc1957343557">
            <w:r w:rsidRPr="3DC95B7A">
              <w:rPr>
                <w:rStyle w:val="Hyperlink"/>
              </w:rPr>
              <w:t>Political Factors</w:t>
            </w:r>
            <w:r>
              <w:tab/>
            </w:r>
            <w:r>
              <w:fldChar w:fldCharType="begin"/>
            </w:r>
            <w:r>
              <w:instrText>PAGEREF _Toc1957343557 \h</w:instrText>
            </w:r>
            <w:r>
              <w:fldChar w:fldCharType="separate"/>
            </w:r>
            <w:r w:rsidRPr="3DC95B7A">
              <w:rPr>
                <w:rStyle w:val="Hyperlink"/>
              </w:rPr>
              <w:t>4</w:t>
            </w:r>
            <w:r>
              <w:fldChar w:fldCharType="end"/>
            </w:r>
          </w:hyperlink>
        </w:p>
        <w:p w14:paraId="618A598F" w14:textId="6F6BA4FD" w:rsidR="3DC95B7A" w:rsidRDefault="3DC95B7A" w:rsidP="3DC95B7A">
          <w:pPr>
            <w:pStyle w:val="TOC2"/>
            <w:tabs>
              <w:tab w:val="right" w:leader="dot" w:pos="9015"/>
            </w:tabs>
            <w:rPr>
              <w:rStyle w:val="Hyperlink"/>
            </w:rPr>
          </w:pPr>
          <w:hyperlink w:anchor="_Toc2008069293">
            <w:r w:rsidRPr="3DC95B7A">
              <w:rPr>
                <w:rStyle w:val="Hyperlink"/>
              </w:rPr>
              <w:t>Economic Factors</w:t>
            </w:r>
            <w:r>
              <w:tab/>
            </w:r>
            <w:r>
              <w:fldChar w:fldCharType="begin"/>
            </w:r>
            <w:r>
              <w:instrText>PAGEREF _Toc2008069293 \h</w:instrText>
            </w:r>
            <w:r>
              <w:fldChar w:fldCharType="separate"/>
            </w:r>
            <w:r w:rsidRPr="3DC95B7A">
              <w:rPr>
                <w:rStyle w:val="Hyperlink"/>
              </w:rPr>
              <w:t>5</w:t>
            </w:r>
            <w:r>
              <w:fldChar w:fldCharType="end"/>
            </w:r>
          </w:hyperlink>
        </w:p>
        <w:p w14:paraId="41F842AA" w14:textId="77071416" w:rsidR="3DC95B7A" w:rsidRDefault="3DC95B7A" w:rsidP="3DC95B7A">
          <w:pPr>
            <w:pStyle w:val="TOC2"/>
            <w:tabs>
              <w:tab w:val="right" w:leader="dot" w:pos="9015"/>
            </w:tabs>
            <w:rPr>
              <w:rStyle w:val="Hyperlink"/>
            </w:rPr>
          </w:pPr>
          <w:hyperlink w:anchor="_Toc567490140">
            <w:r w:rsidRPr="3DC95B7A">
              <w:rPr>
                <w:rStyle w:val="Hyperlink"/>
              </w:rPr>
              <w:t>Social Factors</w:t>
            </w:r>
            <w:r>
              <w:tab/>
            </w:r>
            <w:r>
              <w:fldChar w:fldCharType="begin"/>
            </w:r>
            <w:r>
              <w:instrText>PAGEREF _Toc567490140 \h</w:instrText>
            </w:r>
            <w:r>
              <w:fldChar w:fldCharType="separate"/>
            </w:r>
            <w:r w:rsidRPr="3DC95B7A">
              <w:rPr>
                <w:rStyle w:val="Hyperlink"/>
              </w:rPr>
              <w:t>5</w:t>
            </w:r>
            <w:r>
              <w:fldChar w:fldCharType="end"/>
            </w:r>
          </w:hyperlink>
        </w:p>
        <w:p w14:paraId="6C3CE802" w14:textId="42830DF6" w:rsidR="3DC95B7A" w:rsidRDefault="3DC95B7A" w:rsidP="3DC95B7A">
          <w:pPr>
            <w:pStyle w:val="TOC2"/>
            <w:tabs>
              <w:tab w:val="right" w:leader="dot" w:pos="9015"/>
            </w:tabs>
            <w:rPr>
              <w:rStyle w:val="Hyperlink"/>
            </w:rPr>
          </w:pPr>
          <w:hyperlink w:anchor="_Toc463770653">
            <w:r w:rsidRPr="3DC95B7A">
              <w:rPr>
                <w:rStyle w:val="Hyperlink"/>
              </w:rPr>
              <w:t>Technological Factors</w:t>
            </w:r>
            <w:r>
              <w:tab/>
            </w:r>
            <w:r>
              <w:fldChar w:fldCharType="begin"/>
            </w:r>
            <w:r>
              <w:instrText>PAGEREF _Toc463770653 \h</w:instrText>
            </w:r>
            <w:r>
              <w:fldChar w:fldCharType="separate"/>
            </w:r>
            <w:r w:rsidRPr="3DC95B7A">
              <w:rPr>
                <w:rStyle w:val="Hyperlink"/>
              </w:rPr>
              <w:t>6</w:t>
            </w:r>
            <w:r>
              <w:fldChar w:fldCharType="end"/>
            </w:r>
          </w:hyperlink>
        </w:p>
        <w:p w14:paraId="66088D98" w14:textId="15295209" w:rsidR="3DC95B7A" w:rsidRDefault="3DC95B7A" w:rsidP="3DC95B7A">
          <w:pPr>
            <w:pStyle w:val="TOC2"/>
            <w:tabs>
              <w:tab w:val="right" w:leader="dot" w:pos="9015"/>
            </w:tabs>
            <w:rPr>
              <w:rStyle w:val="Hyperlink"/>
            </w:rPr>
          </w:pPr>
          <w:hyperlink w:anchor="_Toc538300642">
            <w:r w:rsidRPr="3DC95B7A">
              <w:rPr>
                <w:rStyle w:val="Hyperlink"/>
              </w:rPr>
              <w:t>Environmental Factors</w:t>
            </w:r>
            <w:r>
              <w:tab/>
            </w:r>
            <w:r>
              <w:fldChar w:fldCharType="begin"/>
            </w:r>
            <w:r>
              <w:instrText>PAGEREF _Toc538300642 \h</w:instrText>
            </w:r>
            <w:r>
              <w:fldChar w:fldCharType="separate"/>
            </w:r>
            <w:r w:rsidRPr="3DC95B7A">
              <w:rPr>
                <w:rStyle w:val="Hyperlink"/>
              </w:rPr>
              <w:t>6</w:t>
            </w:r>
            <w:r>
              <w:fldChar w:fldCharType="end"/>
            </w:r>
          </w:hyperlink>
        </w:p>
        <w:p w14:paraId="249DA954" w14:textId="2907EFAE" w:rsidR="3DC95B7A" w:rsidRDefault="3DC95B7A" w:rsidP="3DC95B7A">
          <w:pPr>
            <w:pStyle w:val="TOC2"/>
            <w:tabs>
              <w:tab w:val="right" w:leader="dot" w:pos="9015"/>
            </w:tabs>
            <w:rPr>
              <w:rStyle w:val="Hyperlink"/>
            </w:rPr>
          </w:pPr>
          <w:hyperlink w:anchor="_Toc1640513629">
            <w:r w:rsidRPr="3DC95B7A">
              <w:rPr>
                <w:rStyle w:val="Hyperlink"/>
              </w:rPr>
              <w:t>Legal Factors</w:t>
            </w:r>
            <w:r>
              <w:tab/>
            </w:r>
            <w:r>
              <w:fldChar w:fldCharType="begin"/>
            </w:r>
            <w:r>
              <w:instrText>PAGEREF _Toc1640513629 \h</w:instrText>
            </w:r>
            <w:r>
              <w:fldChar w:fldCharType="separate"/>
            </w:r>
            <w:r w:rsidRPr="3DC95B7A">
              <w:rPr>
                <w:rStyle w:val="Hyperlink"/>
              </w:rPr>
              <w:t>7</w:t>
            </w:r>
            <w:r>
              <w:fldChar w:fldCharType="end"/>
            </w:r>
          </w:hyperlink>
        </w:p>
        <w:p w14:paraId="7AA65BE6" w14:textId="62E678A5" w:rsidR="3DC95B7A" w:rsidRDefault="3DC95B7A" w:rsidP="3DC95B7A">
          <w:pPr>
            <w:pStyle w:val="TOC2"/>
            <w:tabs>
              <w:tab w:val="right" w:leader="dot" w:pos="9015"/>
            </w:tabs>
            <w:rPr>
              <w:rStyle w:val="Hyperlink"/>
            </w:rPr>
          </w:pPr>
          <w:hyperlink w:anchor="_Toc1534583734">
            <w:r w:rsidRPr="3DC95B7A">
              <w:rPr>
                <w:rStyle w:val="Hyperlink"/>
              </w:rPr>
              <w:t>3.2 SWOT Analysis</w:t>
            </w:r>
            <w:r>
              <w:tab/>
            </w:r>
            <w:r>
              <w:fldChar w:fldCharType="begin"/>
            </w:r>
            <w:r>
              <w:instrText>PAGEREF _Toc1534583734 \h</w:instrText>
            </w:r>
            <w:r>
              <w:fldChar w:fldCharType="separate"/>
            </w:r>
            <w:r w:rsidRPr="3DC95B7A">
              <w:rPr>
                <w:rStyle w:val="Hyperlink"/>
              </w:rPr>
              <w:t>7</w:t>
            </w:r>
            <w:r>
              <w:fldChar w:fldCharType="end"/>
            </w:r>
          </w:hyperlink>
        </w:p>
        <w:p w14:paraId="4529B46A" w14:textId="2C81713D" w:rsidR="3DC95B7A" w:rsidRDefault="3DC95B7A" w:rsidP="3DC95B7A">
          <w:pPr>
            <w:pStyle w:val="TOC2"/>
            <w:tabs>
              <w:tab w:val="right" w:leader="dot" w:pos="9015"/>
            </w:tabs>
            <w:rPr>
              <w:rStyle w:val="Hyperlink"/>
            </w:rPr>
          </w:pPr>
          <w:hyperlink w:anchor="_Toc1935194243">
            <w:r w:rsidRPr="3DC95B7A">
              <w:rPr>
                <w:rStyle w:val="Hyperlink"/>
              </w:rPr>
              <w:t>3.3 Porter’s Five Forces</w:t>
            </w:r>
            <w:r>
              <w:tab/>
            </w:r>
            <w:r>
              <w:fldChar w:fldCharType="begin"/>
            </w:r>
            <w:r>
              <w:instrText>PAGEREF _Toc1935194243 \h</w:instrText>
            </w:r>
            <w:r>
              <w:fldChar w:fldCharType="separate"/>
            </w:r>
            <w:r w:rsidRPr="3DC95B7A">
              <w:rPr>
                <w:rStyle w:val="Hyperlink"/>
              </w:rPr>
              <w:t>8</w:t>
            </w:r>
            <w:r>
              <w:fldChar w:fldCharType="end"/>
            </w:r>
          </w:hyperlink>
        </w:p>
        <w:p w14:paraId="6B4596CC" w14:textId="256A8914" w:rsidR="3DC95B7A" w:rsidRDefault="3DC95B7A" w:rsidP="3DC95B7A">
          <w:pPr>
            <w:pStyle w:val="TOC2"/>
            <w:tabs>
              <w:tab w:val="right" w:leader="dot" w:pos="9015"/>
            </w:tabs>
            <w:rPr>
              <w:rStyle w:val="Hyperlink"/>
            </w:rPr>
          </w:pPr>
          <w:hyperlink w:anchor="_Toc1013939004">
            <w:r w:rsidRPr="3DC95B7A">
              <w:rPr>
                <w:rStyle w:val="Hyperlink"/>
              </w:rPr>
              <w:t>4. Strategic Growth Options</w:t>
            </w:r>
            <w:r>
              <w:tab/>
            </w:r>
            <w:r>
              <w:fldChar w:fldCharType="begin"/>
            </w:r>
            <w:r>
              <w:instrText>PAGEREF _Toc1013939004 \h</w:instrText>
            </w:r>
            <w:r>
              <w:fldChar w:fldCharType="separate"/>
            </w:r>
            <w:r w:rsidRPr="3DC95B7A">
              <w:rPr>
                <w:rStyle w:val="Hyperlink"/>
              </w:rPr>
              <w:t>9</w:t>
            </w:r>
            <w:r>
              <w:fldChar w:fldCharType="end"/>
            </w:r>
          </w:hyperlink>
        </w:p>
        <w:p w14:paraId="443A984D" w14:textId="752218A0" w:rsidR="3DC95B7A" w:rsidRDefault="3DC95B7A" w:rsidP="3DC95B7A">
          <w:pPr>
            <w:pStyle w:val="TOC2"/>
            <w:tabs>
              <w:tab w:val="right" w:leader="dot" w:pos="9015"/>
            </w:tabs>
            <w:rPr>
              <w:rStyle w:val="Hyperlink"/>
            </w:rPr>
          </w:pPr>
          <w:hyperlink w:anchor="_Toc1250913183">
            <w:r w:rsidRPr="3DC95B7A">
              <w:rPr>
                <w:rStyle w:val="Hyperlink"/>
              </w:rPr>
              <w:t>Market Penetration</w:t>
            </w:r>
            <w:r>
              <w:tab/>
            </w:r>
            <w:r>
              <w:fldChar w:fldCharType="begin"/>
            </w:r>
            <w:r>
              <w:instrText>PAGEREF _Toc1250913183 \h</w:instrText>
            </w:r>
            <w:r>
              <w:fldChar w:fldCharType="separate"/>
            </w:r>
            <w:r w:rsidRPr="3DC95B7A">
              <w:rPr>
                <w:rStyle w:val="Hyperlink"/>
              </w:rPr>
              <w:t>9</w:t>
            </w:r>
            <w:r>
              <w:fldChar w:fldCharType="end"/>
            </w:r>
          </w:hyperlink>
        </w:p>
        <w:p w14:paraId="6A9FAD52" w14:textId="2F156FDA" w:rsidR="3DC95B7A" w:rsidRDefault="3DC95B7A" w:rsidP="3DC95B7A">
          <w:pPr>
            <w:pStyle w:val="TOC2"/>
            <w:tabs>
              <w:tab w:val="right" w:leader="dot" w:pos="9015"/>
            </w:tabs>
            <w:rPr>
              <w:rStyle w:val="Hyperlink"/>
            </w:rPr>
          </w:pPr>
          <w:hyperlink w:anchor="_Toc863316603">
            <w:r w:rsidRPr="3DC95B7A">
              <w:rPr>
                <w:rStyle w:val="Hyperlink"/>
              </w:rPr>
              <w:t>Product Development</w:t>
            </w:r>
            <w:r>
              <w:tab/>
            </w:r>
            <w:r>
              <w:fldChar w:fldCharType="begin"/>
            </w:r>
            <w:r>
              <w:instrText>PAGEREF _Toc863316603 \h</w:instrText>
            </w:r>
            <w:r>
              <w:fldChar w:fldCharType="separate"/>
            </w:r>
            <w:r w:rsidRPr="3DC95B7A">
              <w:rPr>
                <w:rStyle w:val="Hyperlink"/>
              </w:rPr>
              <w:t>9</w:t>
            </w:r>
            <w:r>
              <w:fldChar w:fldCharType="end"/>
            </w:r>
          </w:hyperlink>
        </w:p>
        <w:p w14:paraId="6DB0F0F0" w14:textId="38803C98" w:rsidR="3DC95B7A" w:rsidRDefault="3DC95B7A" w:rsidP="3DC95B7A">
          <w:pPr>
            <w:pStyle w:val="TOC2"/>
            <w:tabs>
              <w:tab w:val="right" w:leader="dot" w:pos="9015"/>
            </w:tabs>
            <w:rPr>
              <w:rStyle w:val="Hyperlink"/>
            </w:rPr>
          </w:pPr>
          <w:hyperlink w:anchor="_Toc281352102">
            <w:r w:rsidRPr="3DC95B7A">
              <w:rPr>
                <w:rStyle w:val="Hyperlink"/>
              </w:rPr>
              <w:t>Market Development</w:t>
            </w:r>
            <w:r>
              <w:tab/>
            </w:r>
            <w:r>
              <w:fldChar w:fldCharType="begin"/>
            </w:r>
            <w:r>
              <w:instrText>PAGEREF _Toc281352102 \h</w:instrText>
            </w:r>
            <w:r>
              <w:fldChar w:fldCharType="separate"/>
            </w:r>
            <w:r w:rsidRPr="3DC95B7A">
              <w:rPr>
                <w:rStyle w:val="Hyperlink"/>
              </w:rPr>
              <w:t>10</w:t>
            </w:r>
            <w:r>
              <w:fldChar w:fldCharType="end"/>
            </w:r>
          </w:hyperlink>
        </w:p>
        <w:p w14:paraId="03876348" w14:textId="4FBD728A" w:rsidR="3DC95B7A" w:rsidRDefault="3DC95B7A" w:rsidP="3DC95B7A">
          <w:pPr>
            <w:pStyle w:val="TOC2"/>
            <w:tabs>
              <w:tab w:val="right" w:leader="dot" w:pos="9015"/>
            </w:tabs>
            <w:rPr>
              <w:rStyle w:val="Hyperlink"/>
            </w:rPr>
          </w:pPr>
          <w:hyperlink w:anchor="_Toc330949531">
            <w:r w:rsidRPr="3DC95B7A">
              <w:rPr>
                <w:rStyle w:val="Hyperlink"/>
              </w:rPr>
              <w:t>Diversification</w:t>
            </w:r>
            <w:r>
              <w:tab/>
            </w:r>
            <w:r>
              <w:fldChar w:fldCharType="begin"/>
            </w:r>
            <w:r>
              <w:instrText>PAGEREF _Toc330949531 \h</w:instrText>
            </w:r>
            <w:r>
              <w:fldChar w:fldCharType="separate"/>
            </w:r>
            <w:r w:rsidRPr="3DC95B7A">
              <w:rPr>
                <w:rStyle w:val="Hyperlink"/>
              </w:rPr>
              <w:t>10</w:t>
            </w:r>
            <w:r>
              <w:fldChar w:fldCharType="end"/>
            </w:r>
          </w:hyperlink>
        </w:p>
        <w:p w14:paraId="75FCFB22" w14:textId="00DC6A0A" w:rsidR="3DC95B7A" w:rsidRDefault="3DC95B7A" w:rsidP="3DC95B7A">
          <w:pPr>
            <w:pStyle w:val="TOC2"/>
            <w:tabs>
              <w:tab w:val="right" w:leader="dot" w:pos="9015"/>
            </w:tabs>
            <w:rPr>
              <w:rStyle w:val="Hyperlink"/>
            </w:rPr>
          </w:pPr>
          <w:hyperlink w:anchor="_Toc1443116739">
            <w:r w:rsidRPr="3DC95B7A">
              <w:rPr>
                <w:rStyle w:val="Hyperlink"/>
              </w:rPr>
              <w:t>5. Recommended Strategy</w:t>
            </w:r>
            <w:r>
              <w:tab/>
            </w:r>
            <w:r>
              <w:fldChar w:fldCharType="begin"/>
            </w:r>
            <w:r>
              <w:instrText>PAGEREF _Toc1443116739 \h</w:instrText>
            </w:r>
            <w:r>
              <w:fldChar w:fldCharType="separate"/>
            </w:r>
            <w:r w:rsidRPr="3DC95B7A">
              <w:rPr>
                <w:rStyle w:val="Hyperlink"/>
              </w:rPr>
              <w:t>10</w:t>
            </w:r>
            <w:r>
              <w:fldChar w:fldCharType="end"/>
            </w:r>
          </w:hyperlink>
        </w:p>
        <w:p w14:paraId="4F8146B1" w14:textId="56AD1AF0" w:rsidR="3DC95B7A" w:rsidRDefault="3DC95B7A" w:rsidP="3DC95B7A">
          <w:pPr>
            <w:pStyle w:val="TOC2"/>
            <w:tabs>
              <w:tab w:val="right" w:leader="dot" w:pos="9015"/>
            </w:tabs>
            <w:rPr>
              <w:rStyle w:val="Hyperlink"/>
            </w:rPr>
          </w:pPr>
          <w:hyperlink w:anchor="_Toc536664948">
            <w:r w:rsidRPr="3DC95B7A">
              <w:rPr>
                <w:rStyle w:val="Hyperlink"/>
              </w:rPr>
              <w:t>6. Strategy Evaluation</w:t>
            </w:r>
            <w:r>
              <w:tab/>
            </w:r>
            <w:r>
              <w:fldChar w:fldCharType="begin"/>
            </w:r>
            <w:r>
              <w:instrText>PAGEREF _Toc536664948 \h</w:instrText>
            </w:r>
            <w:r>
              <w:fldChar w:fldCharType="separate"/>
            </w:r>
            <w:r w:rsidRPr="3DC95B7A">
              <w:rPr>
                <w:rStyle w:val="Hyperlink"/>
              </w:rPr>
              <w:t>11</w:t>
            </w:r>
            <w:r>
              <w:fldChar w:fldCharType="end"/>
            </w:r>
          </w:hyperlink>
        </w:p>
        <w:p w14:paraId="090CEB00" w14:textId="519CE500" w:rsidR="3DC95B7A" w:rsidRDefault="3DC95B7A" w:rsidP="3DC95B7A">
          <w:pPr>
            <w:pStyle w:val="TOC2"/>
            <w:tabs>
              <w:tab w:val="right" w:leader="dot" w:pos="9015"/>
            </w:tabs>
            <w:rPr>
              <w:rStyle w:val="Hyperlink"/>
            </w:rPr>
          </w:pPr>
          <w:hyperlink w:anchor="_Toc589686341">
            <w:r w:rsidRPr="3DC95B7A">
              <w:rPr>
                <w:rStyle w:val="Hyperlink"/>
              </w:rPr>
              <w:t>Suitability</w:t>
            </w:r>
            <w:r>
              <w:tab/>
            </w:r>
            <w:r>
              <w:fldChar w:fldCharType="begin"/>
            </w:r>
            <w:r>
              <w:instrText>PAGEREF _Toc589686341 \h</w:instrText>
            </w:r>
            <w:r>
              <w:fldChar w:fldCharType="separate"/>
            </w:r>
            <w:r w:rsidRPr="3DC95B7A">
              <w:rPr>
                <w:rStyle w:val="Hyperlink"/>
              </w:rPr>
              <w:t>12</w:t>
            </w:r>
            <w:r>
              <w:fldChar w:fldCharType="end"/>
            </w:r>
          </w:hyperlink>
        </w:p>
        <w:p w14:paraId="661FDFC1" w14:textId="126325BF" w:rsidR="3DC95B7A" w:rsidRDefault="3DC95B7A" w:rsidP="3DC95B7A">
          <w:pPr>
            <w:pStyle w:val="TOC2"/>
            <w:tabs>
              <w:tab w:val="right" w:leader="dot" w:pos="9015"/>
            </w:tabs>
            <w:rPr>
              <w:rStyle w:val="Hyperlink"/>
            </w:rPr>
          </w:pPr>
          <w:hyperlink w:anchor="_Toc1764603175">
            <w:r w:rsidRPr="3DC95B7A">
              <w:rPr>
                <w:rStyle w:val="Hyperlink"/>
              </w:rPr>
              <w:t>Feasibility</w:t>
            </w:r>
            <w:r>
              <w:tab/>
            </w:r>
            <w:r>
              <w:fldChar w:fldCharType="begin"/>
            </w:r>
            <w:r>
              <w:instrText>PAGEREF _Toc1764603175 \h</w:instrText>
            </w:r>
            <w:r>
              <w:fldChar w:fldCharType="separate"/>
            </w:r>
            <w:r w:rsidRPr="3DC95B7A">
              <w:rPr>
                <w:rStyle w:val="Hyperlink"/>
              </w:rPr>
              <w:t>12</w:t>
            </w:r>
            <w:r>
              <w:fldChar w:fldCharType="end"/>
            </w:r>
          </w:hyperlink>
        </w:p>
        <w:p w14:paraId="07E2A4D2" w14:textId="60B9AB66" w:rsidR="3DC95B7A" w:rsidRDefault="3DC95B7A" w:rsidP="3DC95B7A">
          <w:pPr>
            <w:pStyle w:val="TOC2"/>
            <w:tabs>
              <w:tab w:val="right" w:leader="dot" w:pos="9015"/>
            </w:tabs>
            <w:rPr>
              <w:rStyle w:val="Hyperlink"/>
            </w:rPr>
          </w:pPr>
          <w:hyperlink w:anchor="_Toc1557049936">
            <w:r w:rsidRPr="3DC95B7A">
              <w:rPr>
                <w:rStyle w:val="Hyperlink"/>
              </w:rPr>
              <w:t>Acceptability</w:t>
            </w:r>
            <w:r>
              <w:tab/>
            </w:r>
            <w:r>
              <w:fldChar w:fldCharType="begin"/>
            </w:r>
            <w:r>
              <w:instrText>PAGEREF _Toc1557049936 \h</w:instrText>
            </w:r>
            <w:r>
              <w:fldChar w:fldCharType="separate"/>
            </w:r>
            <w:r w:rsidRPr="3DC95B7A">
              <w:rPr>
                <w:rStyle w:val="Hyperlink"/>
              </w:rPr>
              <w:t>13</w:t>
            </w:r>
            <w:r>
              <w:fldChar w:fldCharType="end"/>
            </w:r>
          </w:hyperlink>
        </w:p>
        <w:p w14:paraId="33CA11DD" w14:textId="1E4D113F" w:rsidR="3DC95B7A" w:rsidRDefault="3DC95B7A" w:rsidP="3DC95B7A">
          <w:pPr>
            <w:pStyle w:val="TOC2"/>
            <w:tabs>
              <w:tab w:val="right" w:leader="dot" w:pos="9015"/>
            </w:tabs>
            <w:rPr>
              <w:rStyle w:val="Hyperlink"/>
            </w:rPr>
          </w:pPr>
          <w:hyperlink w:anchor="_Toc901368163">
            <w:r w:rsidRPr="3DC95B7A">
              <w:rPr>
                <w:rStyle w:val="Hyperlink"/>
              </w:rPr>
              <w:t>7. Implementation and Monitoring</w:t>
            </w:r>
            <w:r>
              <w:tab/>
            </w:r>
            <w:r>
              <w:fldChar w:fldCharType="begin"/>
            </w:r>
            <w:r>
              <w:instrText>PAGEREF _Toc901368163 \h</w:instrText>
            </w:r>
            <w:r>
              <w:fldChar w:fldCharType="separate"/>
            </w:r>
            <w:r w:rsidRPr="3DC95B7A">
              <w:rPr>
                <w:rStyle w:val="Hyperlink"/>
              </w:rPr>
              <w:t>13</w:t>
            </w:r>
            <w:r>
              <w:fldChar w:fldCharType="end"/>
            </w:r>
          </w:hyperlink>
        </w:p>
        <w:p w14:paraId="09D02FF7" w14:textId="7A9B6E3D" w:rsidR="3DC95B7A" w:rsidRDefault="3DC95B7A" w:rsidP="3DC95B7A">
          <w:pPr>
            <w:pStyle w:val="TOC2"/>
            <w:tabs>
              <w:tab w:val="right" w:leader="dot" w:pos="9015"/>
            </w:tabs>
            <w:rPr>
              <w:rStyle w:val="Hyperlink"/>
            </w:rPr>
          </w:pPr>
          <w:hyperlink w:anchor="_Toc1640555891">
            <w:r w:rsidRPr="3DC95B7A">
              <w:rPr>
                <w:rStyle w:val="Hyperlink"/>
              </w:rPr>
              <w:t>8. Conclusion</w:t>
            </w:r>
            <w:r>
              <w:tab/>
            </w:r>
            <w:r>
              <w:fldChar w:fldCharType="begin"/>
            </w:r>
            <w:r>
              <w:instrText>PAGEREF _Toc1640555891 \h</w:instrText>
            </w:r>
            <w:r>
              <w:fldChar w:fldCharType="separate"/>
            </w:r>
            <w:r w:rsidRPr="3DC95B7A">
              <w:rPr>
                <w:rStyle w:val="Hyperlink"/>
              </w:rPr>
              <w:t>14</w:t>
            </w:r>
            <w:r>
              <w:fldChar w:fldCharType="end"/>
            </w:r>
          </w:hyperlink>
        </w:p>
        <w:p w14:paraId="24929609" w14:textId="774C4906" w:rsidR="3DC95B7A" w:rsidRDefault="3DC95B7A" w:rsidP="3DC95B7A">
          <w:pPr>
            <w:pStyle w:val="TOC2"/>
            <w:tabs>
              <w:tab w:val="right" w:leader="dot" w:pos="9015"/>
            </w:tabs>
            <w:rPr>
              <w:rStyle w:val="Hyperlink"/>
            </w:rPr>
          </w:pPr>
          <w:hyperlink w:anchor="_Toc1320283915">
            <w:r w:rsidRPr="3DC95B7A">
              <w:rPr>
                <w:rStyle w:val="Hyperlink"/>
              </w:rPr>
              <w:t>References</w:t>
            </w:r>
            <w:r>
              <w:tab/>
            </w:r>
            <w:r>
              <w:fldChar w:fldCharType="begin"/>
            </w:r>
            <w:r>
              <w:instrText>PAGEREF _Toc1320283915 \h</w:instrText>
            </w:r>
            <w:r>
              <w:fldChar w:fldCharType="separate"/>
            </w:r>
            <w:r w:rsidRPr="3DC95B7A">
              <w:rPr>
                <w:rStyle w:val="Hyperlink"/>
              </w:rPr>
              <w:t>15</w:t>
            </w:r>
            <w:r>
              <w:fldChar w:fldCharType="end"/>
            </w:r>
          </w:hyperlink>
          <w:r>
            <w:fldChar w:fldCharType="end"/>
          </w:r>
        </w:p>
      </w:sdtContent>
    </w:sdt>
    <w:p w14:paraId="2DF79EC6" w14:textId="438AB0D6" w:rsidR="0C2D6D4F" w:rsidRDefault="0C2D6D4F" w:rsidP="0C2D6D4F">
      <w:pPr>
        <w:pStyle w:val="Subtitle"/>
        <w:spacing w:line="360" w:lineRule="auto"/>
        <w:rPr>
          <w:rFonts w:ascii="Arial" w:eastAsia="Arial" w:hAnsi="Arial" w:cs="Arial"/>
          <w:b/>
          <w:bCs/>
          <w:color w:val="auto"/>
          <w:sz w:val="22"/>
          <w:szCs w:val="22"/>
        </w:rPr>
      </w:pPr>
    </w:p>
    <w:p w14:paraId="41A1BF72" w14:textId="0E22285E" w:rsidR="0C2D6D4F" w:rsidRDefault="0C2D6D4F" w:rsidP="0C2D6D4F">
      <w:pPr>
        <w:pStyle w:val="Subtitle"/>
        <w:spacing w:line="360" w:lineRule="auto"/>
        <w:rPr>
          <w:rFonts w:ascii="Arial" w:eastAsia="Arial" w:hAnsi="Arial" w:cs="Arial"/>
          <w:b/>
          <w:bCs/>
          <w:color w:val="auto"/>
          <w:sz w:val="22"/>
          <w:szCs w:val="22"/>
        </w:rPr>
      </w:pPr>
    </w:p>
    <w:p w14:paraId="074BAA76" w14:textId="1EF425E4" w:rsidR="0C2D6D4F" w:rsidRDefault="0C2D6D4F" w:rsidP="0C2D6D4F">
      <w:pPr>
        <w:pStyle w:val="Subtitle"/>
        <w:spacing w:line="360" w:lineRule="auto"/>
        <w:rPr>
          <w:rFonts w:ascii="Arial" w:eastAsia="Arial" w:hAnsi="Arial" w:cs="Arial"/>
          <w:b/>
          <w:bCs/>
          <w:color w:val="auto"/>
          <w:sz w:val="22"/>
          <w:szCs w:val="22"/>
        </w:rPr>
      </w:pPr>
    </w:p>
    <w:p w14:paraId="3F9B014A" w14:textId="476BE419" w:rsidR="0C2D6D4F" w:rsidRDefault="0C2D6D4F" w:rsidP="0C2D6D4F">
      <w:pPr>
        <w:pStyle w:val="Subtitle"/>
        <w:spacing w:line="360" w:lineRule="auto"/>
        <w:rPr>
          <w:rFonts w:ascii="Arial" w:eastAsia="Arial" w:hAnsi="Arial" w:cs="Arial"/>
          <w:b/>
          <w:bCs/>
          <w:color w:val="auto"/>
          <w:sz w:val="22"/>
          <w:szCs w:val="22"/>
        </w:rPr>
      </w:pPr>
    </w:p>
    <w:p w14:paraId="4CED0361" w14:textId="6FBFCF99" w:rsidR="0C2D6D4F" w:rsidRDefault="0C2D6D4F" w:rsidP="0C2D6D4F">
      <w:pPr>
        <w:pStyle w:val="Subtitle"/>
        <w:spacing w:line="360" w:lineRule="auto"/>
        <w:rPr>
          <w:rFonts w:ascii="Arial" w:eastAsia="Arial" w:hAnsi="Arial" w:cs="Arial"/>
          <w:b/>
          <w:bCs/>
          <w:color w:val="auto"/>
          <w:sz w:val="22"/>
          <w:szCs w:val="22"/>
        </w:rPr>
      </w:pPr>
    </w:p>
    <w:p w14:paraId="746B9015" w14:textId="0BB54EA6" w:rsidR="3DFC2CA0" w:rsidRDefault="3DFC2CA0" w:rsidP="3DFC2CA0">
      <w:pPr>
        <w:pStyle w:val="Subtitle"/>
        <w:spacing w:line="360" w:lineRule="auto"/>
        <w:rPr>
          <w:rStyle w:val="Heading2Char"/>
          <w:b/>
          <w:bCs/>
          <w:color w:val="auto"/>
        </w:rPr>
      </w:pPr>
    </w:p>
    <w:p w14:paraId="73D9FB1A" w14:textId="302EAFF2" w:rsidR="005D5571" w:rsidRPr="005D5571" w:rsidRDefault="642EA26A" w:rsidP="0C2D6D4F">
      <w:pPr>
        <w:pStyle w:val="Subtitle"/>
        <w:spacing w:line="360" w:lineRule="auto"/>
        <w:rPr>
          <w:rFonts w:ascii="Arial" w:eastAsia="Arial" w:hAnsi="Arial" w:cs="Arial"/>
          <w:b/>
          <w:bCs/>
          <w:color w:val="auto"/>
          <w:sz w:val="22"/>
          <w:szCs w:val="22"/>
        </w:rPr>
      </w:pPr>
      <w:r w:rsidRPr="3DFC2CA0">
        <w:rPr>
          <w:rStyle w:val="Heading2Char"/>
          <w:b/>
          <w:bCs/>
          <w:color w:val="auto"/>
        </w:rPr>
        <w:t xml:space="preserve"> </w:t>
      </w:r>
      <w:r w:rsidR="005D5571" w:rsidRPr="3DFC2CA0">
        <w:rPr>
          <w:rStyle w:val="Heading2Char"/>
          <w:b/>
          <w:bCs/>
          <w:color w:val="auto"/>
        </w:rPr>
        <w:t>Introduction</w:t>
      </w:r>
    </w:p>
    <w:p w14:paraId="4BEB92A9" w14:textId="28A5A93F" w:rsidR="0C2D6D4F" w:rsidRDefault="0C2D6D4F" w:rsidP="0C2D6D4F"/>
    <w:p w14:paraId="08A38839" w14:textId="19C8E059" w:rsidR="005D5571" w:rsidRPr="005D5571" w:rsidRDefault="005D5571" w:rsidP="0C2D6D4F">
      <w:pPr>
        <w:spacing w:line="360" w:lineRule="auto"/>
        <w:rPr>
          <w:rFonts w:ascii="Arial" w:eastAsia="Arial" w:hAnsi="Arial" w:cs="Arial"/>
          <w:sz w:val="22"/>
          <w:szCs w:val="22"/>
        </w:rPr>
      </w:pPr>
      <w:r w:rsidRPr="0C2D6D4F">
        <w:rPr>
          <w:rFonts w:ascii="Arial" w:eastAsia="Arial" w:hAnsi="Arial" w:cs="Arial"/>
          <w:sz w:val="22"/>
          <w:szCs w:val="22"/>
        </w:rPr>
        <w:t>Innocent Drinks was founded in London in 1999 by three entrepreneurs who sought to produce natural smoothies without artificial ingredients. The brand quickly gained popularity due to its informal communication style, transparent approach to business, and commitment to healthy living. Over time, Innocent expanded its product range to include juices, juice shots, coconut water, and plant-based beverages. The company now operates across several European markets and has established itself as one of the leading premium smoothie brands in the United Kingdom.</w:t>
      </w:r>
    </w:p>
    <w:p w14:paraId="17009167" w14:textId="2C698668" w:rsidR="005D5571" w:rsidRPr="005D5571" w:rsidRDefault="005D5571" w:rsidP="0C2D6D4F">
      <w:pPr>
        <w:spacing w:line="360" w:lineRule="auto"/>
        <w:rPr>
          <w:rFonts w:ascii="Arial" w:eastAsia="Arial" w:hAnsi="Arial" w:cs="Arial"/>
          <w:sz w:val="22"/>
          <w:szCs w:val="22"/>
        </w:rPr>
      </w:pPr>
      <w:r w:rsidRPr="0C2D6D4F">
        <w:rPr>
          <w:rFonts w:ascii="Arial" w:eastAsia="Arial" w:hAnsi="Arial" w:cs="Arial"/>
          <w:sz w:val="22"/>
          <w:szCs w:val="22"/>
        </w:rPr>
        <w:t>A major milestone in the company’s development occurred in 2013 when The Coca-Cola Company acquired a majority stake in the organisation. This partnership enabled Innocent Drinks to benefit from global distribution networks, greater financial resources, and improved supply chain capabilities. Despite the acquisition, Innocent has maintained its distinctive brand personality and ethical positioning, which remain central to its competitive strategy.</w:t>
      </w:r>
    </w:p>
    <w:p w14:paraId="4A909A43" w14:textId="2058E3B8" w:rsidR="005D5571" w:rsidRPr="005D5571" w:rsidRDefault="005D5571" w:rsidP="0C2D6D4F">
      <w:pPr>
        <w:spacing w:line="360" w:lineRule="auto"/>
        <w:rPr>
          <w:rFonts w:ascii="Arial" w:eastAsia="Arial" w:hAnsi="Arial" w:cs="Arial"/>
          <w:sz w:val="22"/>
          <w:szCs w:val="22"/>
        </w:rPr>
      </w:pPr>
      <w:r w:rsidRPr="0C2D6D4F">
        <w:rPr>
          <w:rFonts w:ascii="Arial" w:eastAsia="Arial" w:hAnsi="Arial" w:cs="Arial"/>
          <w:sz w:val="22"/>
          <w:szCs w:val="22"/>
        </w:rPr>
        <w:t>In recent years, Innocent Drinks has strengthened its sustainability commitments through initiatives such as carbon-neutral operations, recyclable packaging, and responsible sourcing of fruit ingredients. The company has also obtained B Corporation certification, demonstrating its dedication to social and environmental responsibility.</w:t>
      </w:r>
    </w:p>
    <w:p w14:paraId="09668C2F" w14:textId="77777777" w:rsidR="005D5571" w:rsidRPr="005D5571" w:rsidRDefault="005D5571" w:rsidP="0C2D6D4F">
      <w:pPr>
        <w:spacing w:line="360" w:lineRule="auto"/>
        <w:rPr>
          <w:rFonts w:ascii="Arial" w:eastAsia="Arial" w:hAnsi="Arial" w:cs="Arial"/>
          <w:sz w:val="22"/>
          <w:szCs w:val="22"/>
        </w:rPr>
      </w:pPr>
      <w:r w:rsidRPr="0C2D6D4F">
        <w:rPr>
          <w:rFonts w:ascii="Arial" w:eastAsia="Arial" w:hAnsi="Arial" w:cs="Arial"/>
          <w:sz w:val="22"/>
          <w:szCs w:val="22"/>
        </w:rPr>
        <w:t>However, the beverage industry is undergoing rapid transformation. Increasing consumer awareness of sugar consumption, government regulations aimed at improving public health, and economic pressures affecting consumer spending patterns have created new strategic challenges. Additionally, climate change is affecting agricultural production and increasing volatility in the supply of key ingredients.</w:t>
      </w:r>
    </w:p>
    <w:p w14:paraId="1831DF22" w14:textId="77777777" w:rsidR="005D5571" w:rsidRDefault="005D5571" w:rsidP="0C2D6D4F">
      <w:pPr>
        <w:pStyle w:val="Subtitle"/>
        <w:spacing w:line="360" w:lineRule="auto"/>
        <w:rPr>
          <w:rFonts w:ascii="Arial" w:eastAsia="Arial" w:hAnsi="Arial" w:cs="Arial"/>
          <w:b/>
          <w:bCs/>
          <w:sz w:val="22"/>
          <w:szCs w:val="22"/>
        </w:rPr>
      </w:pPr>
    </w:p>
    <w:p w14:paraId="0ADC7C84" w14:textId="54FA3469" w:rsidR="0C2D6D4F" w:rsidRDefault="0C2D6D4F" w:rsidP="0C2D6D4F">
      <w:pPr>
        <w:spacing w:line="360" w:lineRule="auto"/>
        <w:rPr>
          <w:rFonts w:ascii="Arial" w:eastAsia="Arial" w:hAnsi="Arial" w:cs="Arial"/>
          <w:sz w:val="22"/>
          <w:szCs w:val="22"/>
        </w:rPr>
      </w:pPr>
    </w:p>
    <w:p w14:paraId="5BA6F0FA" w14:textId="77777777" w:rsidR="00000566" w:rsidRPr="00000566" w:rsidRDefault="00000566" w:rsidP="0C2D6D4F">
      <w:pPr>
        <w:pStyle w:val="Heading2"/>
        <w:rPr>
          <w:b/>
          <w:bCs/>
          <w:color w:val="auto"/>
        </w:rPr>
      </w:pPr>
      <w:bookmarkStart w:id="2" w:name="_Toc1814117491"/>
      <w:r w:rsidRPr="3DC95B7A">
        <w:rPr>
          <w:b/>
          <w:bCs/>
          <w:color w:val="auto"/>
        </w:rPr>
        <w:t>Evaluation of the Current Market Situation</w:t>
      </w:r>
      <w:bookmarkEnd w:id="2"/>
      <w:r w:rsidRPr="3DC95B7A">
        <w:rPr>
          <w:b/>
          <w:bCs/>
          <w:color w:val="auto"/>
        </w:rPr>
        <w:t xml:space="preserve"> </w:t>
      </w:r>
    </w:p>
    <w:p w14:paraId="411AA949" w14:textId="7B46113F" w:rsidR="0C2D6D4F" w:rsidRDefault="0C2D6D4F" w:rsidP="0C2D6D4F"/>
    <w:p w14:paraId="0C74D28D"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 xml:space="preserve">Understanding the current market position of </w:t>
      </w:r>
      <w:hyperlink r:id="rId5" w:history="1">
        <w:r w:rsidRPr="0C2D6D4F">
          <w:rPr>
            <w:rFonts w:ascii="Arial" w:eastAsia="Arial" w:hAnsi="Arial" w:cs="Arial"/>
            <w:sz w:val="22"/>
            <w:szCs w:val="22"/>
          </w:rPr>
          <w:t>Innocent Drinks</w:t>
        </w:r>
      </w:hyperlink>
      <w:r w:rsidRPr="0C2D6D4F">
        <w:rPr>
          <w:rFonts w:ascii="Arial" w:eastAsia="Arial" w:hAnsi="Arial" w:cs="Arial"/>
          <w:sz w:val="22"/>
          <w:szCs w:val="22"/>
        </w:rPr>
        <w:t xml:space="preserve"> requires a detailed analysis of both the external macro-environment and the competitive industry structure. Strategic frameworks such as PESTEL analysis, SWOT analysis, and Porter’s Five Forces provide valuable insight into the key opportunities and threats facing the organisation. By applying these frameworks, it is possible to identify the factors influencing Innocent Drinks’ ability to maintain its competitive advantage and sustain long-term growth.</w:t>
      </w:r>
    </w:p>
    <w:p w14:paraId="61938A0E" w14:textId="7E50FB65" w:rsidR="0C2D6D4F" w:rsidRDefault="0C2D6D4F" w:rsidP="0C2D6D4F">
      <w:pPr>
        <w:spacing w:line="360" w:lineRule="auto"/>
        <w:rPr>
          <w:rFonts w:ascii="Arial" w:eastAsia="Arial" w:hAnsi="Arial" w:cs="Arial"/>
          <w:sz w:val="22"/>
          <w:szCs w:val="22"/>
        </w:rPr>
      </w:pPr>
    </w:p>
    <w:p w14:paraId="1C0D64C0" w14:textId="77777777" w:rsidR="00000566" w:rsidRPr="00000566" w:rsidRDefault="00000566" w:rsidP="0C2D6D4F">
      <w:pPr>
        <w:pStyle w:val="Heading2"/>
        <w:rPr>
          <w:rFonts w:ascii="Arial" w:eastAsia="Arial" w:hAnsi="Arial" w:cs="Arial"/>
          <w:b/>
          <w:bCs/>
          <w:color w:val="auto"/>
          <w:sz w:val="22"/>
          <w:szCs w:val="22"/>
        </w:rPr>
      </w:pPr>
      <w:bookmarkStart w:id="3" w:name="_Toc602095003"/>
      <w:r w:rsidRPr="3DC95B7A">
        <w:rPr>
          <w:b/>
          <w:bCs/>
          <w:color w:val="auto"/>
        </w:rPr>
        <w:t>3.1 PESTEL Analysis</w:t>
      </w:r>
      <w:bookmarkEnd w:id="3"/>
    </w:p>
    <w:p w14:paraId="746C76D9" w14:textId="2853E468" w:rsidR="0C2D6D4F" w:rsidRDefault="0C2D6D4F" w:rsidP="0C2D6D4F">
      <w:pPr>
        <w:spacing w:line="360" w:lineRule="auto"/>
        <w:rPr>
          <w:rFonts w:ascii="Arial" w:eastAsia="Arial" w:hAnsi="Arial" w:cs="Arial"/>
          <w:sz w:val="22"/>
          <w:szCs w:val="22"/>
        </w:rPr>
      </w:pPr>
    </w:p>
    <w:p w14:paraId="72014D80"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A PESTEL analysis evaluates the political, economic, social, technological, environmental and legal factors that shape the broader business environment. These macro-environmental forces can significantly influence organisational strategy and decision-making (Johnson, Scholes and Whittington, 2020).</w:t>
      </w:r>
    </w:p>
    <w:p w14:paraId="312BD93B" w14:textId="1D722AC0" w:rsidR="0C2D6D4F" w:rsidRDefault="0C2D6D4F" w:rsidP="0C2D6D4F">
      <w:pPr>
        <w:spacing w:line="360" w:lineRule="auto"/>
        <w:rPr>
          <w:rFonts w:ascii="Arial" w:eastAsia="Arial" w:hAnsi="Arial" w:cs="Arial"/>
          <w:sz w:val="22"/>
          <w:szCs w:val="22"/>
        </w:rPr>
      </w:pPr>
    </w:p>
    <w:p w14:paraId="1E630CF4" w14:textId="77777777" w:rsidR="00000566" w:rsidRPr="00000566" w:rsidRDefault="00000566" w:rsidP="0C2D6D4F">
      <w:pPr>
        <w:pStyle w:val="Heading2"/>
        <w:rPr>
          <w:rFonts w:ascii="Arial" w:eastAsia="Arial" w:hAnsi="Arial" w:cs="Arial"/>
          <w:b/>
          <w:bCs/>
          <w:color w:val="auto"/>
          <w:sz w:val="24"/>
          <w:szCs w:val="24"/>
        </w:rPr>
      </w:pPr>
      <w:bookmarkStart w:id="4" w:name="_Toc1957343557"/>
      <w:r w:rsidRPr="3DC95B7A">
        <w:rPr>
          <w:b/>
          <w:bCs/>
          <w:color w:val="auto"/>
        </w:rPr>
        <w:t>Political Factors</w:t>
      </w:r>
      <w:bookmarkEnd w:id="4"/>
    </w:p>
    <w:p w14:paraId="5034C8EA" w14:textId="4FD9F088" w:rsidR="0C2D6D4F" w:rsidRDefault="0C2D6D4F" w:rsidP="0C2D6D4F">
      <w:pPr>
        <w:spacing w:line="360" w:lineRule="auto"/>
        <w:rPr>
          <w:rFonts w:ascii="Arial" w:eastAsia="Arial" w:hAnsi="Arial" w:cs="Arial"/>
          <w:sz w:val="22"/>
          <w:szCs w:val="22"/>
        </w:rPr>
      </w:pPr>
    </w:p>
    <w:p w14:paraId="54C436DF"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Government policies and public health initiatives have become increasingly influential within the beverage industry. One of the most significant political developments affecting companies such as Innocent Drinks is the introduction of the UK Soft Drinks Industry Levy, commonly referred to as the sugar tax. This policy was designed to reduce sugar consumption by encouraging beverage manufacturers to reformulate products with lower sugar levels (HM Government, 2023).</w:t>
      </w:r>
    </w:p>
    <w:p w14:paraId="0E2009F0" w14:textId="3949EEB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Although Innocent’s smoothies primarily contain natural fruit sugars rather than added sugars, the policy has still influenced consumer perceptions. Many consumers now associate smoothies with high sugar content, which may affect purchasing behaviour. As a result, Innocent must continue to innovate by developing lower-sugar product alternatives and clearly communicating the nutritional benefits of its products.</w:t>
      </w:r>
    </w:p>
    <w:p w14:paraId="7E29F91A"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In addition to domestic regulation, global trade policies also influence Innocent’s operations. The company sources fruit ingredients from various countries, meaning that international trade agreements, tariffs, and political stability in supplier regions can affect supply chain reliability and cost structures.</w:t>
      </w:r>
    </w:p>
    <w:p w14:paraId="2B464E23" w14:textId="5A1B25AF" w:rsidR="00000566" w:rsidRPr="00000566" w:rsidRDefault="00000566" w:rsidP="0C2D6D4F">
      <w:pPr>
        <w:spacing w:line="360" w:lineRule="auto"/>
        <w:rPr>
          <w:rFonts w:ascii="Arial" w:eastAsia="Arial" w:hAnsi="Arial" w:cs="Arial"/>
          <w:sz w:val="22"/>
          <w:szCs w:val="22"/>
        </w:rPr>
      </w:pPr>
    </w:p>
    <w:p w14:paraId="4FA3ED5F" w14:textId="77777777" w:rsidR="00000566" w:rsidRPr="00000566" w:rsidRDefault="00000566" w:rsidP="0C2D6D4F">
      <w:pPr>
        <w:pStyle w:val="Heading2"/>
        <w:rPr>
          <w:rFonts w:ascii="Arial" w:eastAsia="Arial" w:hAnsi="Arial" w:cs="Arial"/>
          <w:b/>
          <w:bCs/>
          <w:color w:val="auto"/>
          <w:sz w:val="24"/>
          <w:szCs w:val="24"/>
        </w:rPr>
      </w:pPr>
      <w:bookmarkStart w:id="5" w:name="_Toc2008069293"/>
      <w:r w:rsidRPr="3DC95B7A">
        <w:rPr>
          <w:b/>
          <w:bCs/>
          <w:color w:val="auto"/>
        </w:rPr>
        <w:t>Economic Factors</w:t>
      </w:r>
      <w:bookmarkEnd w:id="5"/>
    </w:p>
    <w:p w14:paraId="361C7ACD" w14:textId="58F431FE" w:rsidR="0C2D6D4F" w:rsidRDefault="0C2D6D4F" w:rsidP="0C2D6D4F">
      <w:pPr>
        <w:spacing w:line="360" w:lineRule="auto"/>
        <w:rPr>
          <w:rFonts w:ascii="Arial" w:eastAsia="Arial" w:hAnsi="Arial" w:cs="Arial"/>
          <w:sz w:val="22"/>
          <w:szCs w:val="22"/>
        </w:rPr>
      </w:pPr>
    </w:p>
    <w:p w14:paraId="28109B9A" w14:textId="69BBA931"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Economic conditions play an important role in determining consumer spending patterns. In recent years, the UK economy has experienced rising inflation, increased energy costs, and pressure on household disposable income (Statista, 2024). These economic conditions may encourage consumers to prioritise lower-cost beverage alternatives, particularly during periods of financial uncertainty.</w:t>
      </w:r>
    </w:p>
    <w:p w14:paraId="250D68AA" w14:textId="4555C32A"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However, research suggests that consumers often maintain spending on products associated with health and wellbeing even during economic downturns (Mintel, 2023). Premium health-oriented brands may therefore experience less demand volatility than purely discretionary products. Innocent Drinks’ strong reputation for quality and natural ingredients helps justify its premium pricing strategy.</w:t>
      </w:r>
    </w:p>
    <w:p w14:paraId="2AD36579" w14:textId="4225BC67" w:rsidR="00000566" w:rsidRPr="00000566" w:rsidRDefault="00000566" w:rsidP="0C2D6D4F">
      <w:pPr>
        <w:spacing w:line="360" w:lineRule="auto"/>
        <w:rPr>
          <w:rFonts w:ascii="Arial" w:eastAsia="Arial" w:hAnsi="Arial" w:cs="Arial"/>
          <w:sz w:val="22"/>
          <w:szCs w:val="22"/>
        </w:rPr>
      </w:pPr>
    </w:p>
    <w:p w14:paraId="3E2A239D" w14:textId="1FA83251" w:rsidR="0C2D6D4F" w:rsidRDefault="0C2D6D4F" w:rsidP="0C2D6D4F">
      <w:pPr>
        <w:spacing w:line="360" w:lineRule="auto"/>
        <w:rPr>
          <w:rFonts w:ascii="Arial" w:eastAsia="Arial" w:hAnsi="Arial" w:cs="Arial"/>
          <w:sz w:val="22"/>
          <w:szCs w:val="22"/>
        </w:rPr>
      </w:pPr>
    </w:p>
    <w:p w14:paraId="44A80F4A" w14:textId="77777777" w:rsidR="00000566" w:rsidRPr="00000566" w:rsidRDefault="00000566" w:rsidP="0C2D6D4F">
      <w:pPr>
        <w:pStyle w:val="Heading2"/>
        <w:rPr>
          <w:rFonts w:ascii="Arial" w:eastAsia="Arial" w:hAnsi="Arial" w:cs="Arial"/>
          <w:b/>
          <w:bCs/>
          <w:color w:val="auto"/>
          <w:sz w:val="24"/>
          <w:szCs w:val="24"/>
        </w:rPr>
      </w:pPr>
      <w:bookmarkStart w:id="6" w:name="_Toc567490140"/>
      <w:r w:rsidRPr="3DC95B7A">
        <w:rPr>
          <w:b/>
          <w:bCs/>
          <w:color w:val="auto"/>
        </w:rPr>
        <w:t>Social Factors</w:t>
      </w:r>
      <w:bookmarkEnd w:id="6"/>
    </w:p>
    <w:p w14:paraId="1BB670E1" w14:textId="6F97D053" w:rsidR="00000566" w:rsidRPr="00000566" w:rsidRDefault="00000566" w:rsidP="0C2D6D4F">
      <w:pPr>
        <w:spacing w:line="360" w:lineRule="auto"/>
        <w:rPr>
          <w:rFonts w:ascii="Arial" w:eastAsia="Arial" w:hAnsi="Arial" w:cs="Arial"/>
          <w:sz w:val="22"/>
          <w:szCs w:val="22"/>
        </w:rPr>
      </w:pPr>
    </w:p>
    <w:p w14:paraId="272B870A" w14:textId="097E565C" w:rsidR="00000566" w:rsidRPr="00000566" w:rsidRDefault="00000566" w:rsidP="0C2D6D4F">
      <w:pPr>
        <w:pStyle w:val="Subtitle"/>
        <w:spacing w:line="360" w:lineRule="auto"/>
        <w:rPr>
          <w:rFonts w:ascii="Arial" w:eastAsia="Arial" w:hAnsi="Arial" w:cs="Arial"/>
          <w:color w:val="auto"/>
          <w:sz w:val="22"/>
          <w:szCs w:val="22"/>
        </w:rPr>
      </w:pPr>
      <w:r w:rsidRPr="0C2D6D4F">
        <w:rPr>
          <w:rFonts w:ascii="Arial" w:eastAsia="Arial" w:hAnsi="Arial" w:cs="Arial"/>
          <w:color w:val="auto"/>
          <w:sz w:val="22"/>
          <w:szCs w:val="22"/>
        </w:rPr>
        <w:t>Social trends are among the most significant drivers of change within the beverage industry. Consumers are increasingly concerned about their health and lifestyle choices, which has led to a growing demand for natural, organic, and plant-based products. Smoothies and fruit juices are often perceived as healthier alternatives to carbonated soft drinks, which has historically benefited Innocent Drinks.</w:t>
      </w:r>
    </w:p>
    <w:p w14:paraId="2D40C92F"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However, consumer awareness regarding sugar consumption has increased significantly in recent years. Public health campaigns have highlighted the risks associated with excessive sugar intake, leading some consumers to reconsider their consumption of fruit-based beverages. This shift in perception presents both a challenge and an opportunity for Innocent.</w:t>
      </w:r>
    </w:p>
    <w:p w14:paraId="345CF788" w14:textId="08D24CC0" w:rsidR="00000566" w:rsidRPr="00000566" w:rsidRDefault="00000566" w:rsidP="0C2D6D4F">
      <w:pPr>
        <w:spacing w:line="360" w:lineRule="auto"/>
        <w:rPr>
          <w:rFonts w:ascii="Arial" w:eastAsia="Arial" w:hAnsi="Arial" w:cs="Arial"/>
          <w:sz w:val="22"/>
          <w:szCs w:val="22"/>
        </w:rPr>
      </w:pPr>
    </w:p>
    <w:p w14:paraId="6D90EC0D" w14:textId="77777777" w:rsidR="00000566" w:rsidRPr="00000566" w:rsidRDefault="00000566" w:rsidP="0C2D6D4F">
      <w:pPr>
        <w:pStyle w:val="Heading2"/>
        <w:rPr>
          <w:rFonts w:ascii="Arial" w:eastAsia="Arial" w:hAnsi="Arial" w:cs="Arial"/>
          <w:b/>
          <w:bCs/>
          <w:color w:val="auto"/>
          <w:sz w:val="24"/>
          <w:szCs w:val="24"/>
        </w:rPr>
      </w:pPr>
      <w:bookmarkStart w:id="7" w:name="_Toc463770653"/>
      <w:r w:rsidRPr="3DC95B7A">
        <w:rPr>
          <w:b/>
          <w:bCs/>
          <w:color w:val="auto"/>
        </w:rPr>
        <w:t>Technological Factors</w:t>
      </w:r>
      <w:bookmarkEnd w:id="7"/>
    </w:p>
    <w:p w14:paraId="6BBCB225" w14:textId="77777777" w:rsidR="00000566" w:rsidRPr="00000566" w:rsidRDefault="00000566" w:rsidP="0C2D6D4F">
      <w:pPr>
        <w:spacing w:line="360" w:lineRule="auto"/>
        <w:rPr>
          <w:rFonts w:ascii="Arial" w:eastAsia="Arial" w:hAnsi="Arial" w:cs="Arial"/>
          <w:sz w:val="22"/>
          <w:szCs w:val="22"/>
        </w:rPr>
      </w:pPr>
    </w:p>
    <w:p w14:paraId="63C5A754"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Technological advancements in food production and product development offer important opportunities for innovation within the beverage sector. New processing techniques allow companies to maintain flavour while reducing sugar levels, enabling the development of healthier beverages without compromising taste.</w:t>
      </w:r>
    </w:p>
    <w:p w14:paraId="172B0FF2"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In addition, technological innovation enables the integration of functional ingredients such as probiotics, vitamins, and plant proteins. These ingredients provide additional health benefits and appeal to consumers seeking beverages that contribute to overall wellbeing.</w:t>
      </w:r>
    </w:p>
    <w:p w14:paraId="6A0F7F98"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Digital technology has also transformed the way companies engage with consumers. Social media platforms allow brands to build relationships with customers and communicate directly about product values, sustainability initiatives, and new product launches. Innocent Drinks has historically used humour and storytelling in its marketing campaigns, and digital channels provide an effective platform to reinforce this brand identity.</w:t>
      </w:r>
    </w:p>
    <w:p w14:paraId="6F9ECB66" w14:textId="70581192" w:rsidR="00000566" w:rsidRPr="00000566" w:rsidRDefault="00000566" w:rsidP="0C2D6D4F">
      <w:pPr>
        <w:spacing w:line="360" w:lineRule="auto"/>
        <w:rPr>
          <w:rFonts w:ascii="Arial" w:eastAsia="Arial" w:hAnsi="Arial" w:cs="Arial"/>
          <w:sz w:val="22"/>
          <w:szCs w:val="22"/>
        </w:rPr>
      </w:pPr>
    </w:p>
    <w:p w14:paraId="24CFEC58" w14:textId="77777777" w:rsidR="00000566" w:rsidRPr="00000566" w:rsidRDefault="00000566" w:rsidP="0C2D6D4F">
      <w:pPr>
        <w:pStyle w:val="Heading2"/>
        <w:rPr>
          <w:b/>
          <w:bCs/>
          <w:color w:val="auto"/>
        </w:rPr>
      </w:pPr>
      <w:bookmarkStart w:id="8" w:name="_Toc538300642"/>
      <w:r w:rsidRPr="3DC95B7A">
        <w:rPr>
          <w:b/>
          <w:bCs/>
          <w:color w:val="auto"/>
        </w:rPr>
        <w:t>Environmental Factors</w:t>
      </w:r>
      <w:bookmarkEnd w:id="8"/>
    </w:p>
    <w:p w14:paraId="5ECD0AC8" w14:textId="13F9192C" w:rsidR="0C2D6D4F" w:rsidRDefault="0C2D6D4F" w:rsidP="0C2D6D4F"/>
    <w:p w14:paraId="1CC6DA1C"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Environmental sustainability has become a central concern for both businesses and consumers. Climate change is increasingly affecting agricultural production, which may disrupt the availability of fruit ingredients used in smoothies and juices. Extreme weather events, changing rainfall patterns, and rising temperatures can reduce crop yields and increase price volatility.</w:t>
      </w:r>
    </w:p>
    <w:p w14:paraId="7F5CECD8"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In addition to supply chain risks, beverage companies face growing pressure to reduce plastic packaging and carbon emissions. Consumers are increasingly favouring brands that demonstrate strong environmental responsibility.</w:t>
      </w:r>
    </w:p>
    <w:p w14:paraId="2AF7161A"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Innocent Drinks has responded to these challenges by committing to carbon-neutral operations and investing in recyclable packaging solutions. These initiatives not only reduce environmental impact but also strengthen the company’s ethical brand image.</w:t>
      </w:r>
    </w:p>
    <w:p w14:paraId="6417B20B" w14:textId="76726E2F" w:rsidR="00000566" w:rsidRPr="00000566" w:rsidRDefault="00000566" w:rsidP="0C2D6D4F">
      <w:pPr>
        <w:spacing w:line="360" w:lineRule="auto"/>
        <w:rPr>
          <w:rFonts w:ascii="Arial" w:eastAsia="Arial" w:hAnsi="Arial" w:cs="Arial"/>
          <w:sz w:val="22"/>
          <w:szCs w:val="22"/>
        </w:rPr>
      </w:pPr>
    </w:p>
    <w:p w14:paraId="7C163E96" w14:textId="77777777" w:rsidR="00000566" w:rsidRPr="00000566" w:rsidRDefault="00000566" w:rsidP="0C2D6D4F">
      <w:pPr>
        <w:pStyle w:val="Heading2"/>
        <w:rPr>
          <w:rFonts w:ascii="Arial" w:eastAsia="Arial" w:hAnsi="Arial" w:cs="Arial"/>
          <w:b/>
          <w:bCs/>
          <w:color w:val="auto"/>
          <w:sz w:val="24"/>
          <w:szCs w:val="24"/>
        </w:rPr>
      </w:pPr>
      <w:bookmarkStart w:id="9" w:name="_Toc1640513629"/>
      <w:r w:rsidRPr="3DC95B7A">
        <w:rPr>
          <w:b/>
          <w:bCs/>
          <w:color w:val="auto"/>
        </w:rPr>
        <w:t>Legal Factors</w:t>
      </w:r>
      <w:bookmarkEnd w:id="9"/>
    </w:p>
    <w:p w14:paraId="7C6C0496" w14:textId="77777777" w:rsidR="00000566" w:rsidRPr="00000566" w:rsidRDefault="00000566" w:rsidP="0C2D6D4F">
      <w:pPr>
        <w:spacing w:line="360" w:lineRule="auto"/>
        <w:rPr>
          <w:rFonts w:ascii="Arial" w:eastAsia="Arial" w:hAnsi="Arial" w:cs="Arial"/>
          <w:sz w:val="22"/>
          <w:szCs w:val="22"/>
        </w:rPr>
      </w:pPr>
    </w:p>
    <w:p w14:paraId="2842E4E5"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The beverage industry is subject to strict legal regulations related to food safety, product labelling, and advertising claims. Health-related marketing claims must comply with regulatory guidelines to ensure that consumers are not misled about the benefits of specific products.</w:t>
      </w:r>
    </w:p>
    <w:p w14:paraId="4400D424" w14:textId="77777777" w:rsidR="00000566" w:rsidRPr="00000566" w:rsidRDefault="00000566" w:rsidP="0C2D6D4F">
      <w:pPr>
        <w:spacing w:line="360" w:lineRule="auto"/>
        <w:rPr>
          <w:rFonts w:ascii="Arial" w:eastAsia="Arial" w:hAnsi="Arial" w:cs="Arial"/>
          <w:sz w:val="22"/>
          <w:szCs w:val="22"/>
        </w:rPr>
      </w:pPr>
      <w:r w:rsidRPr="3DFC2CA0">
        <w:rPr>
          <w:rFonts w:ascii="Arial" w:eastAsia="Arial" w:hAnsi="Arial" w:cs="Arial"/>
          <w:sz w:val="22"/>
          <w:szCs w:val="22"/>
        </w:rPr>
        <w:t>As Innocent explores the development of functional beverages, it must ensure that any health claims are supported by scientific evidence and comply with regulatory requirements. Failure to meet these standards could lead to reputational damage and legal penalties</w:t>
      </w:r>
    </w:p>
    <w:p w14:paraId="53B6C32D" w14:textId="398A4792" w:rsidR="3DFC2CA0" w:rsidRDefault="3DFC2CA0" w:rsidP="3DFC2CA0">
      <w:pPr>
        <w:spacing w:line="360" w:lineRule="auto"/>
        <w:rPr>
          <w:rFonts w:ascii="Arial" w:eastAsia="Arial" w:hAnsi="Arial" w:cs="Arial"/>
          <w:sz w:val="22"/>
          <w:szCs w:val="22"/>
        </w:rPr>
      </w:pPr>
    </w:p>
    <w:p w14:paraId="0234C919" w14:textId="2BC64DC1" w:rsidR="55F71928" w:rsidRDefault="55F71928" w:rsidP="55F71928">
      <w:pPr>
        <w:spacing w:line="360" w:lineRule="auto"/>
        <w:rPr>
          <w:rFonts w:ascii="Arial" w:eastAsia="Arial" w:hAnsi="Arial" w:cs="Arial"/>
          <w:sz w:val="22"/>
          <w:szCs w:val="22"/>
        </w:rPr>
      </w:pPr>
    </w:p>
    <w:p w14:paraId="318A711D" w14:textId="79E1C4EB" w:rsidR="55F71928" w:rsidRDefault="55F71928" w:rsidP="55F71928">
      <w:pPr>
        <w:spacing w:line="360" w:lineRule="auto"/>
        <w:rPr>
          <w:rFonts w:ascii="Arial" w:eastAsia="Arial" w:hAnsi="Arial" w:cs="Arial"/>
          <w:sz w:val="22"/>
          <w:szCs w:val="22"/>
        </w:rPr>
      </w:pPr>
    </w:p>
    <w:p w14:paraId="7B20F0B4" w14:textId="22A7B9D6" w:rsidR="55F71928" w:rsidRDefault="55F71928" w:rsidP="55F71928">
      <w:pPr>
        <w:spacing w:line="360" w:lineRule="auto"/>
        <w:rPr>
          <w:rFonts w:ascii="Arial" w:eastAsia="Arial" w:hAnsi="Arial" w:cs="Arial"/>
          <w:sz w:val="22"/>
          <w:szCs w:val="22"/>
        </w:rPr>
      </w:pPr>
    </w:p>
    <w:p w14:paraId="67469CCC" w14:textId="613DA4B2" w:rsidR="55F71928" w:rsidRDefault="55F71928" w:rsidP="55F71928">
      <w:pPr>
        <w:spacing w:line="360" w:lineRule="auto"/>
        <w:rPr>
          <w:rFonts w:ascii="Arial" w:eastAsia="Arial" w:hAnsi="Arial" w:cs="Arial"/>
          <w:sz w:val="22"/>
          <w:szCs w:val="22"/>
        </w:rPr>
      </w:pPr>
    </w:p>
    <w:p w14:paraId="55F042D3" w14:textId="57497E5E" w:rsidR="08D7B409" w:rsidRDefault="08D7B409" w:rsidP="3DFC2CA0">
      <w:pPr>
        <w:spacing w:line="360" w:lineRule="auto"/>
        <w:rPr>
          <w:rFonts w:ascii="Arial" w:eastAsia="Arial" w:hAnsi="Arial" w:cs="Arial"/>
          <w:b/>
          <w:bCs/>
        </w:rPr>
      </w:pPr>
      <w:r w:rsidRPr="3DFC2CA0">
        <w:rPr>
          <w:rFonts w:ascii="Arial" w:eastAsia="Arial" w:hAnsi="Arial" w:cs="Arial"/>
        </w:rPr>
        <w:t xml:space="preserve"> </w:t>
      </w:r>
      <w:r w:rsidRPr="3DFC2CA0">
        <w:rPr>
          <w:rFonts w:ascii="Arial" w:eastAsia="Arial" w:hAnsi="Arial" w:cs="Arial"/>
          <w:b/>
          <w:bCs/>
        </w:rPr>
        <w:t>Pestel analysis of innocent drinks</w:t>
      </w:r>
    </w:p>
    <w:p w14:paraId="72E56153" w14:textId="689F58DC" w:rsidR="3DFC2CA0" w:rsidRDefault="3DFC2CA0" w:rsidP="3DFC2CA0">
      <w:pPr>
        <w:spacing w:line="360" w:lineRule="auto"/>
        <w:rPr>
          <w:rFonts w:ascii="Arial" w:eastAsia="Arial" w:hAnsi="Arial" w:cs="Arial"/>
          <w:b/>
          <w:bCs/>
        </w:rPr>
      </w:pPr>
    </w:p>
    <w:tbl>
      <w:tblPr>
        <w:tblStyle w:val="TableGrid"/>
        <w:tblW w:w="0" w:type="auto"/>
        <w:tblLook w:val="06A0" w:firstRow="1" w:lastRow="0" w:firstColumn="1" w:lastColumn="0" w:noHBand="1" w:noVBand="1"/>
      </w:tblPr>
      <w:tblGrid>
        <w:gridCol w:w="2970"/>
        <w:gridCol w:w="2963"/>
        <w:gridCol w:w="3083"/>
      </w:tblGrid>
      <w:tr w:rsidR="3DFC2CA0" w14:paraId="449F24F1" w14:textId="77777777" w:rsidTr="3DFC2CA0">
        <w:trPr>
          <w:trHeight w:val="300"/>
        </w:trPr>
        <w:tc>
          <w:tcPr>
            <w:tcW w:w="3005" w:type="dxa"/>
          </w:tcPr>
          <w:p w14:paraId="70600998" w14:textId="339C3F4E" w:rsidR="35C71D1E" w:rsidRDefault="35C71D1E" w:rsidP="3DFC2CA0">
            <w:pPr>
              <w:rPr>
                <w:rFonts w:ascii="Arial" w:eastAsia="Arial" w:hAnsi="Arial" w:cs="Arial"/>
                <w:b/>
                <w:bCs/>
                <w:sz w:val="22"/>
                <w:szCs w:val="22"/>
              </w:rPr>
            </w:pPr>
            <w:r w:rsidRPr="3DFC2CA0">
              <w:rPr>
                <w:rFonts w:ascii="Arial" w:eastAsia="Arial" w:hAnsi="Arial" w:cs="Arial"/>
                <w:b/>
                <w:bCs/>
                <w:sz w:val="22"/>
                <w:szCs w:val="22"/>
              </w:rPr>
              <w:t xml:space="preserve">Political </w:t>
            </w:r>
          </w:p>
          <w:p w14:paraId="5EB1B54B" w14:textId="154BEBDE" w:rsidR="35C71D1E" w:rsidRDefault="35C71D1E" w:rsidP="3DFC2CA0">
            <w:pPr>
              <w:pStyle w:val="ListParagraph"/>
              <w:numPr>
                <w:ilvl w:val="0"/>
                <w:numId w:val="11"/>
              </w:numPr>
              <w:rPr>
                <w:rFonts w:ascii="Arial" w:eastAsia="Arial" w:hAnsi="Arial" w:cs="Arial"/>
                <w:sz w:val="22"/>
                <w:szCs w:val="22"/>
              </w:rPr>
            </w:pPr>
            <w:r w:rsidRPr="3DFC2CA0">
              <w:rPr>
                <w:rFonts w:ascii="Arial" w:eastAsia="Arial" w:hAnsi="Arial" w:cs="Arial"/>
                <w:sz w:val="22"/>
                <w:szCs w:val="22"/>
              </w:rPr>
              <w:t>Sugar levy environment</w:t>
            </w:r>
          </w:p>
          <w:p w14:paraId="18622A71" w14:textId="3DE88CC8" w:rsidR="35C71D1E" w:rsidRDefault="35C71D1E" w:rsidP="3DFC2CA0">
            <w:pPr>
              <w:pStyle w:val="ListParagraph"/>
              <w:numPr>
                <w:ilvl w:val="0"/>
                <w:numId w:val="11"/>
              </w:numPr>
              <w:rPr>
                <w:rFonts w:ascii="Arial" w:eastAsia="Arial" w:hAnsi="Arial" w:cs="Arial"/>
                <w:sz w:val="22"/>
                <w:szCs w:val="22"/>
              </w:rPr>
            </w:pPr>
            <w:r w:rsidRPr="3DFC2CA0">
              <w:rPr>
                <w:rFonts w:ascii="Arial" w:eastAsia="Arial" w:hAnsi="Arial" w:cs="Arial"/>
                <w:sz w:val="22"/>
                <w:szCs w:val="22"/>
              </w:rPr>
              <w:t xml:space="preserve">Trade and sourcing issues </w:t>
            </w:r>
          </w:p>
          <w:p w14:paraId="34ECB983" w14:textId="41C8F60C" w:rsidR="35C71D1E" w:rsidRDefault="35C71D1E" w:rsidP="3DFC2CA0">
            <w:pPr>
              <w:pStyle w:val="ListParagraph"/>
              <w:numPr>
                <w:ilvl w:val="0"/>
                <w:numId w:val="11"/>
              </w:numPr>
              <w:rPr>
                <w:rFonts w:ascii="Arial" w:eastAsia="Arial" w:hAnsi="Arial" w:cs="Arial"/>
                <w:sz w:val="22"/>
                <w:szCs w:val="22"/>
              </w:rPr>
            </w:pPr>
            <w:r w:rsidRPr="3DFC2CA0">
              <w:rPr>
                <w:rFonts w:ascii="Arial" w:eastAsia="Arial" w:hAnsi="Arial" w:cs="Arial"/>
                <w:sz w:val="22"/>
                <w:szCs w:val="22"/>
              </w:rPr>
              <w:t xml:space="preserve">Public health regulation </w:t>
            </w:r>
          </w:p>
        </w:tc>
        <w:tc>
          <w:tcPr>
            <w:tcW w:w="3005" w:type="dxa"/>
          </w:tcPr>
          <w:p w14:paraId="0C79054C" w14:textId="6183E0D6" w:rsidR="35C71D1E" w:rsidRDefault="35C71D1E" w:rsidP="3DFC2CA0">
            <w:pPr>
              <w:rPr>
                <w:rFonts w:ascii="Arial" w:eastAsia="Arial" w:hAnsi="Arial" w:cs="Arial"/>
                <w:b/>
                <w:bCs/>
                <w:sz w:val="22"/>
                <w:szCs w:val="22"/>
              </w:rPr>
            </w:pPr>
            <w:r w:rsidRPr="3DFC2CA0">
              <w:rPr>
                <w:rFonts w:ascii="Arial" w:eastAsia="Arial" w:hAnsi="Arial" w:cs="Arial"/>
                <w:b/>
                <w:bCs/>
                <w:sz w:val="22"/>
                <w:szCs w:val="22"/>
              </w:rPr>
              <w:t xml:space="preserve">Economic </w:t>
            </w:r>
          </w:p>
          <w:p w14:paraId="7B55263D" w14:textId="18AC94B9" w:rsidR="35C71D1E" w:rsidRDefault="35C71D1E" w:rsidP="3DFC2CA0">
            <w:pPr>
              <w:pStyle w:val="ListParagraph"/>
              <w:numPr>
                <w:ilvl w:val="0"/>
                <w:numId w:val="10"/>
              </w:numPr>
              <w:rPr>
                <w:rFonts w:ascii="Arial" w:eastAsia="Arial" w:hAnsi="Arial" w:cs="Arial"/>
                <w:sz w:val="22"/>
                <w:szCs w:val="22"/>
              </w:rPr>
            </w:pPr>
            <w:r w:rsidRPr="3DFC2CA0">
              <w:rPr>
                <w:rFonts w:ascii="Arial" w:eastAsia="Arial" w:hAnsi="Arial" w:cs="Arial"/>
                <w:sz w:val="22"/>
                <w:szCs w:val="22"/>
              </w:rPr>
              <w:t xml:space="preserve">Inflation and cost pressure </w:t>
            </w:r>
          </w:p>
          <w:p w14:paraId="465B3B4D" w14:textId="2CB821B0" w:rsidR="35C71D1E" w:rsidRDefault="35C71D1E" w:rsidP="3DFC2CA0">
            <w:pPr>
              <w:pStyle w:val="ListParagraph"/>
              <w:numPr>
                <w:ilvl w:val="0"/>
                <w:numId w:val="10"/>
              </w:numPr>
              <w:rPr>
                <w:rFonts w:ascii="Arial" w:eastAsia="Arial" w:hAnsi="Arial" w:cs="Arial"/>
                <w:sz w:val="22"/>
                <w:szCs w:val="22"/>
              </w:rPr>
            </w:pPr>
            <w:r w:rsidRPr="3DFC2CA0">
              <w:rPr>
                <w:rFonts w:ascii="Arial" w:eastAsia="Arial" w:hAnsi="Arial" w:cs="Arial"/>
                <w:sz w:val="22"/>
                <w:szCs w:val="22"/>
              </w:rPr>
              <w:t xml:space="preserve">Premium price sensitivity </w:t>
            </w:r>
          </w:p>
          <w:p w14:paraId="773D96FE" w14:textId="5E611145" w:rsidR="35C71D1E" w:rsidRDefault="35C71D1E" w:rsidP="3DFC2CA0">
            <w:pPr>
              <w:pStyle w:val="ListParagraph"/>
              <w:numPr>
                <w:ilvl w:val="0"/>
                <w:numId w:val="10"/>
              </w:numPr>
              <w:rPr>
                <w:rFonts w:ascii="Arial" w:eastAsia="Arial" w:hAnsi="Arial" w:cs="Arial"/>
                <w:sz w:val="22"/>
                <w:szCs w:val="22"/>
              </w:rPr>
            </w:pPr>
            <w:r w:rsidRPr="3DFC2CA0">
              <w:rPr>
                <w:rFonts w:ascii="Arial" w:eastAsia="Arial" w:hAnsi="Arial" w:cs="Arial"/>
                <w:sz w:val="22"/>
                <w:szCs w:val="22"/>
              </w:rPr>
              <w:t xml:space="preserve">Rising input costs </w:t>
            </w:r>
          </w:p>
        </w:tc>
        <w:tc>
          <w:tcPr>
            <w:tcW w:w="3128" w:type="dxa"/>
          </w:tcPr>
          <w:p w14:paraId="55DE1C01" w14:textId="58AF7A72" w:rsidR="35C71D1E" w:rsidRDefault="35C71D1E" w:rsidP="3DFC2CA0">
            <w:pPr>
              <w:rPr>
                <w:rFonts w:ascii="Arial" w:eastAsia="Arial" w:hAnsi="Arial" w:cs="Arial"/>
                <w:b/>
                <w:bCs/>
                <w:sz w:val="22"/>
                <w:szCs w:val="22"/>
              </w:rPr>
            </w:pPr>
            <w:r w:rsidRPr="3DFC2CA0">
              <w:rPr>
                <w:rFonts w:ascii="Arial" w:eastAsia="Arial" w:hAnsi="Arial" w:cs="Arial"/>
                <w:b/>
                <w:bCs/>
                <w:sz w:val="22"/>
                <w:szCs w:val="22"/>
              </w:rPr>
              <w:t xml:space="preserve">Social </w:t>
            </w:r>
          </w:p>
          <w:p w14:paraId="737263FA" w14:textId="0CC2C8CD" w:rsidR="35C71D1E" w:rsidRDefault="35C71D1E" w:rsidP="3DFC2CA0">
            <w:pPr>
              <w:pStyle w:val="ListParagraph"/>
              <w:numPr>
                <w:ilvl w:val="0"/>
                <w:numId w:val="9"/>
              </w:numPr>
              <w:rPr>
                <w:rFonts w:ascii="Arial" w:eastAsia="Arial" w:hAnsi="Arial" w:cs="Arial"/>
                <w:sz w:val="22"/>
                <w:szCs w:val="22"/>
              </w:rPr>
            </w:pPr>
            <w:r w:rsidRPr="3DFC2CA0">
              <w:rPr>
                <w:rFonts w:ascii="Arial" w:eastAsia="Arial" w:hAnsi="Arial" w:cs="Arial"/>
                <w:sz w:val="22"/>
                <w:szCs w:val="22"/>
              </w:rPr>
              <w:t xml:space="preserve">Health-conscious lifestyles </w:t>
            </w:r>
          </w:p>
          <w:p w14:paraId="39135391" w14:textId="747744DC" w:rsidR="35C71D1E" w:rsidRDefault="35C71D1E" w:rsidP="3DFC2CA0">
            <w:pPr>
              <w:pStyle w:val="ListParagraph"/>
              <w:numPr>
                <w:ilvl w:val="0"/>
                <w:numId w:val="9"/>
              </w:numPr>
              <w:rPr>
                <w:rFonts w:ascii="Arial" w:eastAsia="Arial" w:hAnsi="Arial" w:cs="Arial"/>
                <w:sz w:val="22"/>
                <w:szCs w:val="22"/>
              </w:rPr>
            </w:pPr>
            <w:r w:rsidRPr="3DFC2CA0">
              <w:rPr>
                <w:rFonts w:ascii="Arial" w:eastAsia="Arial" w:hAnsi="Arial" w:cs="Arial"/>
                <w:sz w:val="22"/>
                <w:szCs w:val="22"/>
              </w:rPr>
              <w:t xml:space="preserve">Sugar awareness </w:t>
            </w:r>
          </w:p>
          <w:p w14:paraId="290FE3F9" w14:textId="0F3015AF" w:rsidR="35C71D1E" w:rsidRDefault="35C71D1E" w:rsidP="3DFC2CA0">
            <w:pPr>
              <w:pStyle w:val="ListParagraph"/>
              <w:numPr>
                <w:ilvl w:val="0"/>
                <w:numId w:val="9"/>
              </w:numPr>
              <w:rPr>
                <w:rFonts w:ascii="Arial" w:eastAsia="Arial" w:hAnsi="Arial" w:cs="Arial"/>
                <w:sz w:val="22"/>
                <w:szCs w:val="22"/>
              </w:rPr>
            </w:pPr>
            <w:r w:rsidRPr="3DFC2CA0">
              <w:rPr>
                <w:rFonts w:ascii="Arial" w:eastAsia="Arial" w:hAnsi="Arial" w:cs="Arial"/>
                <w:sz w:val="22"/>
                <w:szCs w:val="22"/>
              </w:rPr>
              <w:t xml:space="preserve">Demand for natural brands </w:t>
            </w:r>
          </w:p>
        </w:tc>
      </w:tr>
      <w:tr w:rsidR="3DFC2CA0" w14:paraId="310E63A0" w14:textId="77777777" w:rsidTr="3DFC2CA0">
        <w:trPr>
          <w:trHeight w:val="300"/>
        </w:trPr>
        <w:tc>
          <w:tcPr>
            <w:tcW w:w="3005" w:type="dxa"/>
          </w:tcPr>
          <w:p w14:paraId="1D7D165C" w14:textId="6E01D3BE" w:rsidR="35C71D1E" w:rsidRDefault="35C71D1E" w:rsidP="3DFC2CA0">
            <w:pPr>
              <w:rPr>
                <w:rFonts w:ascii="Arial" w:eastAsia="Arial" w:hAnsi="Arial" w:cs="Arial"/>
                <w:b/>
                <w:bCs/>
                <w:sz w:val="22"/>
                <w:szCs w:val="22"/>
              </w:rPr>
            </w:pPr>
            <w:r w:rsidRPr="3DFC2CA0">
              <w:rPr>
                <w:rFonts w:ascii="Arial" w:eastAsia="Arial" w:hAnsi="Arial" w:cs="Arial"/>
                <w:b/>
                <w:bCs/>
                <w:sz w:val="22"/>
                <w:szCs w:val="22"/>
              </w:rPr>
              <w:t xml:space="preserve">Technological </w:t>
            </w:r>
          </w:p>
          <w:p w14:paraId="642D4DD0" w14:textId="20812DFC" w:rsidR="35C71D1E" w:rsidRDefault="35C71D1E" w:rsidP="3DFC2CA0">
            <w:pPr>
              <w:pStyle w:val="ListParagraph"/>
              <w:numPr>
                <w:ilvl w:val="0"/>
                <w:numId w:val="8"/>
              </w:numPr>
              <w:rPr>
                <w:rFonts w:ascii="Arial" w:eastAsia="Arial" w:hAnsi="Arial" w:cs="Arial"/>
                <w:sz w:val="22"/>
                <w:szCs w:val="22"/>
              </w:rPr>
            </w:pPr>
            <w:r w:rsidRPr="3DFC2CA0">
              <w:rPr>
                <w:rFonts w:ascii="Arial" w:eastAsia="Arial" w:hAnsi="Arial" w:cs="Arial"/>
                <w:sz w:val="22"/>
                <w:szCs w:val="22"/>
              </w:rPr>
              <w:t xml:space="preserve">Reformulation capability </w:t>
            </w:r>
          </w:p>
          <w:p w14:paraId="4810364E" w14:textId="63131809" w:rsidR="35C71D1E" w:rsidRDefault="35C71D1E" w:rsidP="3DFC2CA0">
            <w:pPr>
              <w:pStyle w:val="ListParagraph"/>
              <w:numPr>
                <w:ilvl w:val="0"/>
                <w:numId w:val="8"/>
              </w:numPr>
              <w:rPr>
                <w:rFonts w:ascii="Arial" w:eastAsia="Arial" w:hAnsi="Arial" w:cs="Arial"/>
                <w:sz w:val="22"/>
                <w:szCs w:val="22"/>
              </w:rPr>
            </w:pPr>
            <w:r w:rsidRPr="3DFC2CA0">
              <w:rPr>
                <w:rFonts w:ascii="Arial" w:eastAsia="Arial" w:hAnsi="Arial" w:cs="Arial"/>
                <w:sz w:val="22"/>
                <w:szCs w:val="22"/>
              </w:rPr>
              <w:t xml:space="preserve">Functional ingredients </w:t>
            </w:r>
          </w:p>
          <w:p w14:paraId="3042F774" w14:textId="3D5D3F29" w:rsidR="35C71D1E" w:rsidRDefault="35C71D1E" w:rsidP="3DFC2CA0">
            <w:pPr>
              <w:pStyle w:val="ListParagraph"/>
              <w:numPr>
                <w:ilvl w:val="0"/>
                <w:numId w:val="8"/>
              </w:numPr>
              <w:rPr>
                <w:rFonts w:ascii="Arial" w:eastAsia="Arial" w:hAnsi="Arial" w:cs="Arial"/>
                <w:sz w:val="22"/>
                <w:szCs w:val="22"/>
              </w:rPr>
            </w:pPr>
            <w:r w:rsidRPr="3DFC2CA0">
              <w:rPr>
                <w:rFonts w:ascii="Arial" w:eastAsia="Arial" w:hAnsi="Arial" w:cs="Arial"/>
                <w:sz w:val="22"/>
                <w:szCs w:val="22"/>
              </w:rPr>
              <w:t>Digital consumer insight</w:t>
            </w:r>
          </w:p>
        </w:tc>
        <w:tc>
          <w:tcPr>
            <w:tcW w:w="3005" w:type="dxa"/>
          </w:tcPr>
          <w:p w14:paraId="5DB43E87" w14:textId="4587D101" w:rsidR="35C71D1E" w:rsidRDefault="35C71D1E" w:rsidP="3DFC2CA0">
            <w:pPr>
              <w:rPr>
                <w:rFonts w:ascii="Arial" w:eastAsia="Arial" w:hAnsi="Arial" w:cs="Arial"/>
                <w:b/>
                <w:bCs/>
                <w:sz w:val="22"/>
                <w:szCs w:val="22"/>
              </w:rPr>
            </w:pPr>
            <w:r w:rsidRPr="3DFC2CA0">
              <w:rPr>
                <w:rFonts w:ascii="Arial" w:eastAsia="Arial" w:hAnsi="Arial" w:cs="Arial"/>
                <w:b/>
                <w:bCs/>
                <w:sz w:val="22"/>
                <w:szCs w:val="22"/>
              </w:rPr>
              <w:t xml:space="preserve">Environmental </w:t>
            </w:r>
          </w:p>
          <w:p w14:paraId="67DE9231" w14:textId="400D21C7" w:rsidR="35C71D1E" w:rsidRDefault="35C71D1E" w:rsidP="3DFC2CA0">
            <w:pPr>
              <w:pStyle w:val="ListParagraph"/>
              <w:numPr>
                <w:ilvl w:val="0"/>
                <w:numId w:val="7"/>
              </w:numPr>
              <w:rPr>
                <w:rFonts w:ascii="Arial" w:eastAsia="Arial" w:hAnsi="Arial" w:cs="Arial"/>
                <w:sz w:val="22"/>
                <w:szCs w:val="22"/>
              </w:rPr>
            </w:pPr>
            <w:r w:rsidRPr="3DFC2CA0">
              <w:rPr>
                <w:rFonts w:ascii="Arial" w:eastAsia="Arial" w:hAnsi="Arial" w:cs="Arial"/>
                <w:sz w:val="22"/>
                <w:szCs w:val="22"/>
              </w:rPr>
              <w:t>Climate risk to crops</w:t>
            </w:r>
          </w:p>
          <w:p w14:paraId="07144E28" w14:textId="5E2490C6" w:rsidR="35C71D1E" w:rsidRDefault="35C71D1E" w:rsidP="3DFC2CA0">
            <w:pPr>
              <w:pStyle w:val="ListParagraph"/>
              <w:numPr>
                <w:ilvl w:val="0"/>
                <w:numId w:val="7"/>
              </w:numPr>
              <w:rPr>
                <w:rFonts w:ascii="Arial" w:eastAsia="Arial" w:hAnsi="Arial" w:cs="Arial"/>
                <w:sz w:val="22"/>
                <w:szCs w:val="22"/>
              </w:rPr>
            </w:pPr>
            <w:r w:rsidRPr="3DFC2CA0">
              <w:rPr>
                <w:rFonts w:ascii="Arial" w:eastAsia="Arial" w:hAnsi="Arial" w:cs="Arial"/>
                <w:sz w:val="22"/>
                <w:szCs w:val="22"/>
              </w:rPr>
              <w:t xml:space="preserve">Packaging expectations </w:t>
            </w:r>
          </w:p>
          <w:p w14:paraId="7A4BE4C6" w14:textId="261509BE" w:rsidR="35C71D1E" w:rsidRDefault="35C71D1E" w:rsidP="3DFC2CA0">
            <w:pPr>
              <w:pStyle w:val="ListParagraph"/>
              <w:numPr>
                <w:ilvl w:val="0"/>
                <w:numId w:val="7"/>
              </w:numPr>
              <w:rPr>
                <w:rFonts w:ascii="Arial" w:eastAsia="Arial" w:hAnsi="Arial" w:cs="Arial"/>
                <w:sz w:val="22"/>
                <w:szCs w:val="22"/>
              </w:rPr>
            </w:pPr>
            <w:r w:rsidRPr="3DFC2CA0">
              <w:rPr>
                <w:rFonts w:ascii="Arial" w:eastAsia="Arial" w:hAnsi="Arial" w:cs="Arial"/>
                <w:sz w:val="22"/>
                <w:szCs w:val="22"/>
              </w:rPr>
              <w:t xml:space="preserve">Net zero pressure </w:t>
            </w:r>
          </w:p>
        </w:tc>
        <w:tc>
          <w:tcPr>
            <w:tcW w:w="3128" w:type="dxa"/>
          </w:tcPr>
          <w:p w14:paraId="1085F9E1" w14:textId="60BAF79D" w:rsidR="35C71D1E" w:rsidRDefault="35C71D1E" w:rsidP="3DFC2CA0">
            <w:pPr>
              <w:rPr>
                <w:rFonts w:ascii="Arial" w:eastAsia="Arial" w:hAnsi="Arial" w:cs="Arial"/>
                <w:b/>
                <w:bCs/>
                <w:sz w:val="22"/>
                <w:szCs w:val="22"/>
              </w:rPr>
            </w:pPr>
            <w:r w:rsidRPr="3DFC2CA0">
              <w:rPr>
                <w:rFonts w:ascii="Arial" w:eastAsia="Arial" w:hAnsi="Arial" w:cs="Arial"/>
                <w:b/>
                <w:bCs/>
                <w:sz w:val="22"/>
                <w:szCs w:val="22"/>
              </w:rPr>
              <w:t xml:space="preserve">Legal </w:t>
            </w:r>
          </w:p>
          <w:p w14:paraId="6D2C3B6C" w14:textId="3AF34F3B" w:rsidR="35C71D1E" w:rsidRDefault="35C71D1E" w:rsidP="3DFC2CA0">
            <w:pPr>
              <w:pStyle w:val="ListParagraph"/>
              <w:numPr>
                <w:ilvl w:val="0"/>
                <w:numId w:val="6"/>
              </w:numPr>
              <w:rPr>
                <w:rFonts w:ascii="Arial" w:eastAsia="Arial" w:hAnsi="Arial" w:cs="Arial"/>
                <w:sz w:val="22"/>
                <w:szCs w:val="22"/>
              </w:rPr>
            </w:pPr>
            <w:r w:rsidRPr="3DFC2CA0">
              <w:rPr>
                <w:rFonts w:ascii="Arial" w:eastAsia="Arial" w:hAnsi="Arial" w:cs="Arial"/>
                <w:sz w:val="22"/>
                <w:szCs w:val="22"/>
              </w:rPr>
              <w:t xml:space="preserve">Labelling requirements </w:t>
            </w:r>
          </w:p>
          <w:p w14:paraId="3F80D770" w14:textId="22348CDD" w:rsidR="35C71D1E" w:rsidRDefault="35C71D1E" w:rsidP="3DFC2CA0">
            <w:pPr>
              <w:pStyle w:val="ListParagraph"/>
              <w:numPr>
                <w:ilvl w:val="0"/>
                <w:numId w:val="6"/>
              </w:numPr>
              <w:rPr>
                <w:rFonts w:ascii="Arial" w:eastAsia="Arial" w:hAnsi="Arial" w:cs="Arial"/>
                <w:sz w:val="22"/>
                <w:szCs w:val="22"/>
              </w:rPr>
            </w:pPr>
            <w:r w:rsidRPr="3DFC2CA0">
              <w:rPr>
                <w:rFonts w:ascii="Arial" w:eastAsia="Arial" w:hAnsi="Arial" w:cs="Arial"/>
                <w:sz w:val="22"/>
                <w:szCs w:val="22"/>
              </w:rPr>
              <w:t xml:space="preserve">Health claims regulation </w:t>
            </w:r>
          </w:p>
          <w:p w14:paraId="509FA635" w14:textId="5F566B0C" w:rsidR="35C71D1E" w:rsidRDefault="35C71D1E" w:rsidP="3DFC2CA0">
            <w:pPr>
              <w:pStyle w:val="ListParagraph"/>
              <w:numPr>
                <w:ilvl w:val="0"/>
                <w:numId w:val="6"/>
              </w:numPr>
              <w:rPr>
                <w:rFonts w:ascii="Arial" w:eastAsia="Arial" w:hAnsi="Arial" w:cs="Arial"/>
                <w:sz w:val="22"/>
                <w:szCs w:val="22"/>
              </w:rPr>
            </w:pPr>
            <w:r w:rsidRPr="3DFC2CA0">
              <w:rPr>
                <w:rFonts w:ascii="Arial" w:eastAsia="Arial" w:hAnsi="Arial" w:cs="Arial"/>
                <w:sz w:val="22"/>
                <w:szCs w:val="22"/>
              </w:rPr>
              <w:t xml:space="preserve">Food safety compliance </w:t>
            </w:r>
          </w:p>
        </w:tc>
      </w:tr>
    </w:tbl>
    <w:p w14:paraId="0E23506D" w14:textId="6AE81F79" w:rsidR="3DFC2CA0" w:rsidRDefault="3DFC2CA0" w:rsidP="3DFC2CA0">
      <w:pPr>
        <w:spacing w:line="360" w:lineRule="auto"/>
        <w:rPr>
          <w:rFonts w:ascii="Arial" w:eastAsia="Arial" w:hAnsi="Arial" w:cs="Arial"/>
          <w:sz w:val="22"/>
          <w:szCs w:val="22"/>
        </w:rPr>
      </w:pPr>
    </w:p>
    <w:p w14:paraId="42B53462" w14:textId="7C570882" w:rsidR="3DFC2CA0" w:rsidRDefault="3DFC2CA0" w:rsidP="3DFC2CA0">
      <w:pPr>
        <w:spacing w:line="360" w:lineRule="auto"/>
        <w:rPr>
          <w:rFonts w:ascii="Arial" w:eastAsia="Arial" w:hAnsi="Arial" w:cs="Arial"/>
          <w:sz w:val="22"/>
          <w:szCs w:val="22"/>
        </w:rPr>
      </w:pPr>
    </w:p>
    <w:p w14:paraId="18A7A035" w14:textId="77777777" w:rsidR="00000566" w:rsidRPr="00000566" w:rsidRDefault="00000566" w:rsidP="0C2D6D4F">
      <w:pPr>
        <w:pStyle w:val="Heading2"/>
        <w:rPr>
          <w:rFonts w:ascii="Arial" w:eastAsia="Arial" w:hAnsi="Arial" w:cs="Arial"/>
          <w:b/>
          <w:bCs/>
          <w:color w:val="auto"/>
          <w:sz w:val="22"/>
          <w:szCs w:val="22"/>
        </w:rPr>
      </w:pPr>
      <w:bookmarkStart w:id="10" w:name="_Toc1534583734"/>
      <w:r w:rsidRPr="3DC95B7A">
        <w:rPr>
          <w:b/>
          <w:bCs/>
          <w:color w:val="auto"/>
        </w:rPr>
        <w:t>3.2 SWOT Analysis</w:t>
      </w:r>
      <w:bookmarkEnd w:id="10"/>
    </w:p>
    <w:p w14:paraId="26F7E956" w14:textId="5B04F1BF" w:rsidR="0C2D6D4F" w:rsidRDefault="0C2D6D4F" w:rsidP="0C2D6D4F">
      <w:pPr>
        <w:spacing w:line="360" w:lineRule="auto"/>
        <w:rPr>
          <w:rFonts w:ascii="Arial" w:eastAsia="Arial" w:hAnsi="Arial" w:cs="Arial"/>
          <w:sz w:val="22"/>
          <w:szCs w:val="22"/>
        </w:rPr>
      </w:pPr>
    </w:p>
    <w:p w14:paraId="53727EEF"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A SWOT analysis evaluates an organisation’s internal strengths and weaknesses alongside external opportunities and threats.</w:t>
      </w:r>
    </w:p>
    <w:p w14:paraId="43EF5070"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One of Innocent Drinks’ key strengths is its strong brand identity. The company has developed a distinctive personality based on humour, transparency, and ethical values. This identity has helped build strong emotional connections with consumers.</w:t>
      </w:r>
    </w:p>
    <w:p w14:paraId="0F14E029"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Another strength is the company’s commitment to sustainability and responsible sourcing. Achieving B Corporation certification demonstrates that Innocent meets high standards of social and environmental performance.</w:t>
      </w:r>
    </w:p>
    <w:p w14:paraId="1CCD5170"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However, Innocent also faces certain weaknesses. The premium pricing strategy may limit accessibility for some consumers, particularly during periods of economic uncertainty. Additionally, the perception that smoothies contain high levels of natural sugar could negatively affect consumer attitudes toward the category.</w:t>
      </w:r>
    </w:p>
    <w:p w14:paraId="781E4BD0"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Despite these weaknesses, several opportunities exist. The global functional beverage market is growing rapidly as consumers seek drinks that support health and wellbeing. Products containing probiotics, vitamins, and plant-based nutrients are particularly popular.</w:t>
      </w:r>
    </w:p>
    <w:p w14:paraId="3D4F5C27" w14:textId="77777777" w:rsidR="00000566" w:rsidRPr="00000566" w:rsidRDefault="00000566" w:rsidP="0C2D6D4F">
      <w:pPr>
        <w:spacing w:line="360" w:lineRule="auto"/>
        <w:rPr>
          <w:rFonts w:ascii="Arial" w:eastAsia="Arial" w:hAnsi="Arial" w:cs="Arial"/>
          <w:sz w:val="22"/>
          <w:szCs w:val="22"/>
        </w:rPr>
      </w:pPr>
      <w:r w:rsidRPr="3DFC2CA0">
        <w:rPr>
          <w:rFonts w:ascii="Arial" w:eastAsia="Arial" w:hAnsi="Arial" w:cs="Arial"/>
          <w:sz w:val="22"/>
          <w:szCs w:val="22"/>
        </w:rPr>
        <w:t>Finally, threats include intense competition from large multinational beverage companies, regulatory pressure regarding sugar consumption, and supply chain disruptions caused by climate change.</w:t>
      </w:r>
    </w:p>
    <w:p w14:paraId="659820BD" w14:textId="1C9A60EA" w:rsidR="2CD1BB2F" w:rsidRDefault="2CD1BB2F" w:rsidP="3DFC2CA0">
      <w:pPr>
        <w:spacing w:line="360" w:lineRule="auto"/>
        <w:rPr>
          <w:rFonts w:ascii="Arial" w:eastAsia="Arial" w:hAnsi="Arial" w:cs="Arial"/>
          <w:b/>
          <w:bCs/>
          <w:sz w:val="28"/>
          <w:szCs w:val="28"/>
        </w:rPr>
      </w:pPr>
      <w:r w:rsidRPr="3DFC2CA0">
        <w:rPr>
          <w:rFonts w:ascii="Arial" w:eastAsia="Arial" w:hAnsi="Arial" w:cs="Arial"/>
          <w:b/>
          <w:bCs/>
          <w:sz w:val="28"/>
          <w:szCs w:val="28"/>
        </w:rPr>
        <w:t xml:space="preserve">Swot matrix for innocent drinks </w:t>
      </w:r>
    </w:p>
    <w:tbl>
      <w:tblPr>
        <w:tblStyle w:val="TableGrid"/>
        <w:tblW w:w="0" w:type="auto"/>
        <w:tblLook w:val="06A0" w:firstRow="1" w:lastRow="0" w:firstColumn="1" w:lastColumn="0" w:noHBand="1" w:noVBand="1"/>
      </w:tblPr>
      <w:tblGrid>
        <w:gridCol w:w="3285"/>
        <w:gridCol w:w="3495"/>
      </w:tblGrid>
      <w:tr w:rsidR="3DFC2CA0" w14:paraId="495D146E" w14:textId="77777777" w:rsidTr="3DFC2CA0">
        <w:trPr>
          <w:trHeight w:val="300"/>
        </w:trPr>
        <w:tc>
          <w:tcPr>
            <w:tcW w:w="3285" w:type="dxa"/>
          </w:tcPr>
          <w:p w14:paraId="1D0A8D27" w14:textId="7BC18A07" w:rsidR="5678BC99" w:rsidRDefault="5678BC99" w:rsidP="3DFC2CA0">
            <w:pPr>
              <w:rPr>
                <w:rFonts w:ascii="Arial" w:eastAsia="Arial" w:hAnsi="Arial" w:cs="Arial"/>
                <w:b/>
                <w:bCs/>
                <w:sz w:val="22"/>
                <w:szCs w:val="22"/>
              </w:rPr>
            </w:pPr>
            <w:r w:rsidRPr="3DFC2CA0">
              <w:rPr>
                <w:rFonts w:ascii="Arial" w:eastAsia="Arial" w:hAnsi="Arial" w:cs="Arial"/>
                <w:b/>
                <w:bCs/>
                <w:sz w:val="22"/>
                <w:szCs w:val="22"/>
              </w:rPr>
              <w:t xml:space="preserve">Strengths </w:t>
            </w:r>
          </w:p>
          <w:p w14:paraId="425B9904" w14:textId="1033171E" w:rsidR="5678BC99" w:rsidRDefault="5678BC99" w:rsidP="3DFC2CA0">
            <w:pPr>
              <w:pStyle w:val="ListParagraph"/>
              <w:numPr>
                <w:ilvl w:val="0"/>
                <w:numId w:val="5"/>
              </w:numPr>
              <w:rPr>
                <w:rFonts w:ascii="Arial" w:eastAsia="Arial" w:hAnsi="Arial" w:cs="Arial"/>
                <w:sz w:val="22"/>
                <w:szCs w:val="22"/>
              </w:rPr>
            </w:pPr>
            <w:r w:rsidRPr="3DFC2CA0">
              <w:rPr>
                <w:rFonts w:ascii="Arial" w:eastAsia="Arial" w:hAnsi="Arial" w:cs="Arial"/>
                <w:sz w:val="22"/>
                <w:szCs w:val="22"/>
              </w:rPr>
              <w:t>Strong ethical brand B Corp certification</w:t>
            </w:r>
          </w:p>
          <w:p w14:paraId="30C39ED6" w14:textId="14C279E3" w:rsidR="5678BC99" w:rsidRDefault="5678BC99" w:rsidP="3DFC2CA0">
            <w:pPr>
              <w:pStyle w:val="ListParagraph"/>
              <w:numPr>
                <w:ilvl w:val="0"/>
                <w:numId w:val="5"/>
              </w:numPr>
              <w:rPr>
                <w:rFonts w:ascii="Arial" w:eastAsia="Arial" w:hAnsi="Arial" w:cs="Arial"/>
                <w:sz w:val="22"/>
                <w:szCs w:val="22"/>
              </w:rPr>
            </w:pPr>
            <w:r w:rsidRPr="3DFC2CA0">
              <w:rPr>
                <w:rFonts w:ascii="Arial" w:eastAsia="Arial" w:hAnsi="Arial" w:cs="Arial"/>
                <w:sz w:val="22"/>
                <w:szCs w:val="22"/>
              </w:rPr>
              <w:t xml:space="preserve">Coca-Cola backing  </w:t>
            </w:r>
          </w:p>
          <w:p w14:paraId="117B9296" w14:textId="030BE8AD" w:rsidR="5678BC99" w:rsidRDefault="5678BC99" w:rsidP="3DFC2CA0">
            <w:pPr>
              <w:pStyle w:val="ListParagraph"/>
              <w:numPr>
                <w:ilvl w:val="0"/>
                <w:numId w:val="5"/>
              </w:numPr>
              <w:rPr>
                <w:rFonts w:ascii="Arial" w:eastAsia="Arial" w:hAnsi="Arial" w:cs="Arial"/>
                <w:sz w:val="22"/>
                <w:szCs w:val="22"/>
              </w:rPr>
            </w:pPr>
            <w:r w:rsidRPr="3DFC2CA0">
              <w:rPr>
                <w:rFonts w:ascii="Arial" w:eastAsia="Arial" w:hAnsi="Arial" w:cs="Arial"/>
                <w:sz w:val="22"/>
                <w:szCs w:val="22"/>
              </w:rPr>
              <w:t xml:space="preserve">Loyal customer base </w:t>
            </w:r>
          </w:p>
        </w:tc>
        <w:tc>
          <w:tcPr>
            <w:tcW w:w="3495" w:type="dxa"/>
          </w:tcPr>
          <w:p w14:paraId="5BF73566" w14:textId="508AF08B" w:rsidR="5678BC99" w:rsidRDefault="5678BC99" w:rsidP="3DFC2CA0">
            <w:pPr>
              <w:rPr>
                <w:rFonts w:ascii="Arial" w:eastAsia="Arial" w:hAnsi="Arial" w:cs="Arial"/>
                <w:b/>
                <w:bCs/>
                <w:sz w:val="22"/>
                <w:szCs w:val="22"/>
              </w:rPr>
            </w:pPr>
            <w:r w:rsidRPr="3DFC2CA0">
              <w:rPr>
                <w:rFonts w:ascii="Arial" w:eastAsia="Arial" w:hAnsi="Arial" w:cs="Arial"/>
                <w:b/>
                <w:bCs/>
                <w:sz w:val="22"/>
                <w:szCs w:val="22"/>
              </w:rPr>
              <w:t xml:space="preserve">Weaknesses </w:t>
            </w:r>
          </w:p>
          <w:p w14:paraId="3FD82760" w14:textId="61C1A172" w:rsidR="5678BC99" w:rsidRDefault="5678BC99" w:rsidP="3DFC2CA0">
            <w:pPr>
              <w:pStyle w:val="ListParagraph"/>
              <w:numPr>
                <w:ilvl w:val="0"/>
                <w:numId w:val="4"/>
              </w:numPr>
              <w:rPr>
                <w:rFonts w:ascii="Arial" w:eastAsia="Arial" w:hAnsi="Arial" w:cs="Arial"/>
                <w:sz w:val="22"/>
                <w:szCs w:val="22"/>
              </w:rPr>
            </w:pPr>
            <w:r w:rsidRPr="3DFC2CA0">
              <w:rPr>
                <w:rFonts w:ascii="Arial" w:eastAsia="Arial" w:hAnsi="Arial" w:cs="Arial"/>
                <w:sz w:val="22"/>
                <w:szCs w:val="22"/>
              </w:rPr>
              <w:t xml:space="preserve">Premium pricing </w:t>
            </w:r>
          </w:p>
          <w:p w14:paraId="4A69FE89" w14:textId="4B32D032" w:rsidR="5678BC99" w:rsidRDefault="5678BC99" w:rsidP="3DFC2CA0">
            <w:pPr>
              <w:pStyle w:val="ListParagraph"/>
              <w:numPr>
                <w:ilvl w:val="0"/>
                <w:numId w:val="4"/>
              </w:numPr>
              <w:rPr>
                <w:rFonts w:ascii="Arial" w:eastAsia="Arial" w:hAnsi="Arial" w:cs="Arial"/>
                <w:sz w:val="22"/>
                <w:szCs w:val="22"/>
              </w:rPr>
            </w:pPr>
            <w:r w:rsidRPr="3DFC2CA0">
              <w:rPr>
                <w:rFonts w:ascii="Arial" w:eastAsia="Arial" w:hAnsi="Arial" w:cs="Arial"/>
                <w:sz w:val="22"/>
                <w:szCs w:val="22"/>
              </w:rPr>
              <w:t xml:space="preserve">Sugar perception challenge </w:t>
            </w:r>
          </w:p>
          <w:p w14:paraId="40B44698" w14:textId="799FB166" w:rsidR="5678BC99" w:rsidRDefault="5678BC99" w:rsidP="3DFC2CA0">
            <w:pPr>
              <w:pStyle w:val="ListParagraph"/>
              <w:numPr>
                <w:ilvl w:val="0"/>
                <w:numId w:val="4"/>
              </w:numPr>
              <w:rPr>
                <w:rFonts w:ascii="Arial" w:eastAsia="Arial" w:hAnsi="Arial" w:cs="Arial"/>
                <w:sz w:val="22"/>
                <w:szCs w:val="22"/>
              </w:rPr>
            </w:pPr>
            <w:r w:rsidRPr="3DFC2CA0">
              <w:rPr>
                <w:rFonts w:ascii="Arial" w:eastAsia="Arial" w:hAnsi="Arial" w:cs="Arial"/>
                <w:sz w:val="22"/>
                <w:szCs w:val="22"/>
              </w:rPr>
              <w:t>Narrow fruit-drink focus</w:t>
            </w:r>
          </w:p>
          <w:p w14:paraId="0D25E4D2" w14:textId="4FAB9A86" w:rsidR="5678BC99" w:rsidRDefault="5678BC99" w:rsidP="3DFC2CA0">
            <w:pPr>
              <w:pStyle w:val="ListParagraph"/>
              <w:numPr>
                <w:ilvl w:val="0"/>
                <w:numId w:val="4"/>
              </w:numPr>
              <w:rPr>
                <w:rFonts w:ascii="Arial" w:eastAsia="Arial" w:hAnsi="Arial" w:cs="Arial"/>
                <w:sz w:val="22"/>
                <w:szCs w:val="22"/>
              </w:rPr>
            </w:pPr>
            <w:r w:rsidRPr="3DFC2CA0">
              <w:rPr>
                <w:rFonts w:ascii="Arial" w:eastAsia="Arial" w:hAnsi="Arial" w:cs="Arial"/>
                <w:sz w:val="22"/>
                <w:szCs w:val="22"/>
              </w:rPr>
              <w:t xml:space="preserve">Agricultural dependency </w:t>
            </w:r>
          </w:p>
        </w:tc>
      </w:tr>
      <w:tr w:rsidR="3DFC2CA0" w14:paraId="5266BDA6" w14:textId="77777777" w:rsidTr="3DFC2CA0">
        <w:trPr>
          <w:trHeight w:val="300"/>
        </w:trPr>
        <w:tc>
          <w:tcPr>
            <w:tcW w:w="3285" w:type="dxa"/>
          </w:tcPr>
          <w:p w14:paraId="3BD25236" w14:textId="64888044" w:rsidR="20A7E00E" w:rsidRDefault="20A7E00E" w:rsidP="3DFC2CA0">
            <w:pPr>
              <w:rPr>
                <w:rFonts w:ascii="Arial" w:eastAsia="Arial" w:hAnsi="Arial" w:cs="Arial"/>
                <w:b/>
                <w:bCs/>
                <w:sz w:val="22"/>
                <w:szCs w:val="22"/>
              </w:rPr>
            </w:pPr>
            <w:r w:rsidRPr="3DFC2CA0">
              <w:rPr>
                <w:rFonts w:ascii="Arial" w:eastAsia="Arial" w:hAnsi="Arial" w:cs="Arial"/>
                <w:b/>
                <w:bCs/>
                <w:sz w:val="22"/>
                <w:szCs w:val="22"/>
              </w:rPr>
              <w:t xml:space="preserve">Opportunities </w:t>
            </w:r>
          </w:p>
          <w:p w14:paraId="53F8CE1D" w14:textId="3E713319" w:rsidR="20A7E00E" w:rsidRDefault="20A7E00E" w:rsidP="3DFC2CA0">
            <w:pPr>
              <w:pStyle w:val="ListParagraph"/>
              <w:numPr>
                <w:ilvl w:val="0"/>
                <w:numId w:val="3"/>
              </w:numPr>
              <w:rPr>
                <w:rFonts w:ascii="Arial" w:eastAsia="Arial" w:hAnsi="Arial" w:cs="Arial"/>
                <w:sz w:val="22"/>
                <w:szCs w:val="22"/>
              </w:rPr>
            </w:pPr>
            <w:r w:rsidRPr="3DFC2CA0">
              <w:rPr>
                <w:rFonts w:ascii="Arial" w:eastAsia="Arial" w:hAnsi="Arial" w:cs="Arial"/>
                <w:sz w:val="22"/>
                <w:szCs w:val="22"/>
              </w:rPr>
              <w:t xml:space="preserve">Functional beverage growth </w:t>
            </w:r>
          </w:p>
          <w:p w14:paraId="1C285DCB" w14:textId="4C72B77C" w:rsidR="20A7E00E" w:rsidRDefault="20A7E00E" w:rsidP="3DFC2CA0">
            <w:pPr>
              <w:pStyle w:val="ListParagraph"/>
              <w:numPr>
                <w:ilvl w:val="0"/>
                <w:numId w:val="3"/>
              </w:numPr>
              <w:rPr>
                <w:rFonts w:ascii="Arial" w:eastAsia="Arial" w:hAnsi="Arial" w:cs="Arial"/>
                <w:sz w:val="22"/>
                <w:szCs w:val="22"/>
              </w:rPr>
            </w:pPr>
            <w:r w:rsidRPr="3DFC2CA0">
              <w:rPr>
                <w:rFonts w:ascii="Arial" w:eastAsia="Arial" w:hAnsi="Arial" w:cs="Arial"/>
                <w:sz w:val="22"/>
                <w:szCs w:val="22"/>
              </w:rPr>
              <w:t xml:space="preserve">International expansion </w:t>
            </w:r>
          </w:p>
          <w:p w14:paraId="0FDAAC33" w14:textId="2ECC34FD" w:rsidR="20A7E00E" w:rsidRDefault="20A7E00E" w:rsidP="3DFC2CA0">
            <w:pPr>
              <w:pStyle w:val="ListParagraph"/>
              <w:numPr>
                <w:ilvl w:val="0"/>
                <w:numId w:val="3"/>
              </w:numPr>
              <w:rPr>
                <w:rFonts w:ascii="Arial" w:eastAsia="Arial" w:hAnsi="Arial" w:cs="Arial"/>
                <w:sz w:val="22"/>
                <w:szCs w:val="22"/>
              </w:rPr>
            </w:pPr>
            <w:r w:rsidRPr="3DFC2CA0">
              <w:rPr>
                <w:rFonts w:ascii="Arial" w:eastAsia="Arial" w:hAnsi="Arial" w:cs="Arial"/>
                <w:sz w:val="22"/>
                <w:szCs w:val="22"/>
              </w:rPr>
              <w:t xml:space="preserve">Sustainability-led loyalty </w:t>
            </w:r>
          </w:p>
          <w:p w14:paraId="0E1B468F" w14:textId="34C5A9CC" w:rsidR="20A7E00E" w:rsidRDefault="20A7E00E" w:rsidP="3DFC2CA0">
            <w:pPr>
              <w:pStyle w:val="ListParagraph"/>
              <w:numPr>
                <w:ilvl w:val="0"/>
                <w:numId w:val="3"/>
              </w:numPr>
              <w:rPr>
                <w:rFonts w:ascii="Arial" w:eastAsia="Arial" w:hAnsi="Arial" w:cs="Arial"/>
                <w:sz w:val="22"/>
                <w:szCs w:val="22"/>
              </w:rPr>
            </w:pPr>
            <w:r w:rsidRPr="3DFC2CA0">
              <w:rPr>
                <w:rFonts w:ascii="Arial" w:eastAsia="Arial" w:hAnsi="Arial" w:cs="Arial"/>
                <w:sz w:val="22"/>
                <w:szCs w:val="22"/>
              </w:rPr>
              <w:t xml:space="preserve">Digital engagement </w:t>
            </w:r>
          </w:p>
        </w:tc>
        <w:tc>
          <w:tcPr>
            <w:tcW w:w="3495" w:type="dxa"/>
          </w:tcPr>
          <w:p w14:paraId="0EAD65FC" w14:textId="6214E486" w:rsidR="20A7E00E" w:rsidRDefault="20A7E00E" w:rsidP="3DFC2CA0">
            <w:pPr>
              <w:rPr>
                <w:rFonts w:ascii="Arial" w:eastAsia="Arial" w:hAnsi="Arial" w:cs="Arial"/>
                <w:b/>
                <w:bCs/>
                <w:sz w:val="22"/>
                <w:szCs w:val="22"/>
              </w:rPr>
            </w:pPr>
            <w:r w:rsidRPr="3DFC2CA0">
              <w:rPr>
                <w:rFonts w:ascii="Arial" w:eastAsia="Arial" w:hAnsi="Arial" w:cs="Arial"/>
                <w:b/>
                <w:bCs/>
                <w:sz w:val="22"/>
                <w:szCs w:val="22"/>
              </w:rPr>
              <w:t xml:space="preserve">Threats </w:t>
            </w:r>
          </w:p>
          <w:p w14:paraId="03234234" w14:textId="19F4DFEA" w:rsidR="20A7E00E" w:rsidRDefault="20A7E00E" w:rsidP="3DFC2CA0">
            <w:pPr>
              <w:pStyle w:val="ListParagraph"/>
              <w:numPr>
                <w:ilvl w:val="0"/>
                <w:numId w:val="2"/>
              </w:numPr>
              <w:rPr>
                <w:rFonts w:ascii="Arial" w:eastAsia="Arial" w:hAnsi="Arial" w:cs="Arial"/>
                <w:sz w:val="22"/>
                <w:szCs w:val="22"/>
              </w:rPr>
            </w:pPr>
            <w:r w:rsidRPr="3DFC2CA0">
              <w:rPr>
                <w:rFonts w:ascii="Arial" w:eastAsia="Arial" w:hAnsi="Arial" w:cs="Arial"/>
                <w:sz w:val="22"/>
                <w:szCs w:val="22"/>
              </w:rPr>
              <w:t xml:space="preserve">Intense competition </w:t>
            </w:r>
          </w:p>
          <w:p w14:paraId="10B6A06A" w14:textId="0A0C6F3F" w:rsidR="20A7E00E" w:rsidRDefault="20A7E00E" w:rsidP="3DFC2CA0">
            <w:pPr>
              <w:pStyle w:val="ListParagraph"/>
              <w:numPr>
                <w:ilvl w:val="0"/>
                <w:numId w:val="2"/>
              </w:numPr>
              <w:rPr>
                <w:rFonts w:ascii="Arial" w:eastAsia="Arial" w:hAnsi="Arial" w:cs="Arial"/>
                <w:sz w:val="22"/>
                <w:szCs w:val="22"/>
              </w:rPr>
            </w:pPr>
            <w:r w:rsidRPr="3DFC2CA0">
              <w:rPr>
                <w:rFonts w:ascii="Arial" w:eastAsia="Arial" w:hAnsi="Arial" w:cs="Arial"/>
                <w:sz w:val="22"/>
                <w:szCs w:val="22"/>
              </w:rPr>
              <w:t>Regulatory tightening</w:t>
            </w:r>
          </w:p>
          <w:p w14:paraId="7BB8ECF2" w14:textId="4D37AC4A" w:rsidR="20A7E00E" w:rsidRDefault="20A7E00E" w:rsidP="3DFC2CA0">
            <w:pPr>
              <w:pStyle w:val="ListParagraph"/>
              <w:numPr>
                <w:ilvl w:val="0"/>
                <w:numId w:val="2"/>
              </w:numPr>
              <w:rPr>
                <w:rFonts w:ascii="Arial" w:eastAsia="Arial" w:hAnsi="Arial" w:cs="Arial"/>
                <w:sz w:val="22"/>
                <w:szCs w:val="22"/>
              </w:rPr>
            </w:pPr>
            <w:r w:rsidRPr="3DFC2CA0">
              <w:rPr>
                <w:rFonts w:ascii="Arial" w:eastAsia="Arial" w:hAnsi="Arial" w:cs="Arial"/>
                <w:sz w:val="22"/>
                <w:szCs w:val="22"/>
              </w:rPr>
              <w:t xml:space="preserve">Climate disruption </w:t>
            </w:r>
          </w:p>
          <w:p w14:paraId="4F898335" w14:textId="37068DEB" w:rsidR="20A7E00E" w:rsidRDefault="20A7E00E" w:rsidP="3DFC2CA0">
            <w:pPr>
              <w:pStyle w:val="ListParagraph"/>
              <w:numPr>
                <w:ilvl w:val="0"/>
                <w:numId w:val="2"/>
              </w:numPr>
              <w:rPr>
                <w:rFonts w:ascii="Arial" w:eastAsia="Arial" w:hAnsi="Arial" w:cs="Arial"/>
                <w:sz w:val="22"/>
                <w:szCs w:val="22"/>
              </w:rPr>
            </w:pPr>
            <w:r w:rsidRPr="3DFC2CA0">
              <w:rPr>
                <w:rFonts w:ascii="Arial" w:eastAsia="Arial" w:hAnsi="Arial" w:cs="Arial"/>
                <w:sz w:val="22"/>
                <w:szCs w:val="22"/>
              </w:rPr>
              <w:t>High substitute threat</w:t>
            </w:r>
          </w:p>
        </w:tc>
      </w:tr>
    </w:tbl>
    <w:p w14:paraId="3ECC4129" w14:textId="66952C7B" w:rsidR="3DFC2CA0" w:rsidRDefault="3DFC2CA0" w:rsidP="3DFC2CA0">
      <w:pPr>
        <w:spacing w:line="360" w:lineRule="auto"/>
        <w:rPr>
          <w:rFonts w:ascii="Arial" w:eastAsia="Arial" w:hAnsi="Arial" w:cs="Arial"/>
          <w:b/>
          <w:bCs/>
          <w:sz w:val="22"/>
          <w:szCs w:val="22"/>
        </w:rPr>
      </w:pPr>
    </w:p>
    <w:p w14:paraId="3DCE6330" w14:textId="77777777" w:rsidR="00000566" w:rsidRPr="00000566" w:rsidRDefault="00000566" w:rsidP="3DFC2CA0">
      <w:pPr>
        <w:pStyle w:val="Heading2"/>
        <w:rPr>
          <w:rFonts w:ascii="Arial" w:eastAsia="Arial" w:hAnsi="Arial" w:cs="Arial"/>
          <w:b/>
          <w:bCs/>
          <w:color w:val="auto"/>
          <w:sz w:val="24"/>
          <w:szCs w:val="24"/>
        </w:rPr>
      </w:pPr>
      <w:bookmarkStart w:id="11" w:name="_Toc1935194243"/>
      <w:r w:rsidRPr="3DFC2CA0">
        <w:rPr>
          <w:b/>
          <w:bCs/>
          <w:color w:val="auto"/>
        </w:rPr>
        <w:t>3.3 Porter’s Five Forces</w:t>
      </w:r>
      <w:bookmarkEnd w:id="11"/>
    </w:p>
    <w:p w14:paraId="675527F3" w14:textId="0294405D" w:rsidR="0C2D6D4F" w:rsidRDefault="0C2D6D4F" w:rsidP="0C2D6D4F">
      <w:pPr>
        <w:spacing w:line="360" w:lineRule="auto"/>
        <w:rPr>
          <w:rFonts w:ascii="Arial" w:eastAsia="Arial" w:hAnsi="Arial" w:cs="Arial"/>
          <w:sz w:val="22"/>
          <w:szCs w:val="22"/>
        </w:rPr>
      </w:pPr>
    </w:p>
    <w:p w14:paraId="10186055" w14:textId="205FD376"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Porter’s Five Forces framework examines the competitive structure of an industry and identifies the factors influencing profitability (Porter, 1985)</w:t>
      </w:r>
    </w:p>
    <w:p w14:paraId="7C75B37A" w14:textId="72950E2F"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Competitive rivalry within the beverage industry is extremely high. Major multinational corporations such as Coca-Cola and PepsiCo compete alongside</w:t>
      </w:r>
      <w:r w:rsidR="12210C7D" w:rsidRPr="0C2D6D4F">
        <w:rPr>
          <w:rFonts w:ascii="Arial" w:eastAsia="Arial" w:hAnsi="Arial" w:cs="Arial"/>
          <w:sz w:val="22"/>
          <w:szCs w:val="22"/>
        </w:rPr>
        <w:t xml:space="preserve"> </w:t>
      </w:r>
      <w:r w:rsidRPr="0C2D6D4F">
        <w:rPr>
          <w:rFonts w:ascii="Arial" w:eastAsia="Arial" w:hAnsi="Arial" w:cs="Arial"/>
          <w:sz w:val="22"/>
          <w:szCs w:val="22"/>
        </w:rPr>
        <w:t>smaller niche brands focused on health and sustainability. High marketing expenditure and frequent product innovation intensify this rivalry.</w:t>
      </w:r>
    </w:p>
    <w:p w14:paraId="424915AD"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The threat of new entrants is considered moderate. While building brand recognition and securing distribution networks require significant investment, digital marketing and online retail channels have reduced entry barriers for smaller brands.</w:t>
      </w:r>
    </w:p>
    <w:p w14:paraId="61B7DCCF"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The bargaining power of buyers is relatively high because consumers can easily switch between beverage brands. Retailers also have considerable influence over shelf placement and pricing.</w:t>
      </w:r>
    </w:p>
    <w:p w14:paraId="659EE749"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Supplier power is moderate to high because agricultural producers control the availability of fruit ingredients. Climate change may further increase supplier influence by affecting crop yields.</w:t>
      </w:r>
    </w:p>
    <w:p w14:paraId="096808EB" w14:textId="784A9B69" w:rsidR="55F71928" w:rsidRDefault="55F71928" w:rsidP="55F71928">
      <w:pPr>
        <w:spacing w:line="360" w:lineRule="auto"/>
        <w:rPr>
          <w:rFonts w:ascii="Arial" w:eastAsia="Arial" w:hAnsi="Arial" w:cs="Arial"/>
          <w:sz w:val="22"/>
          <w:szCs w:val="22"/>
        </w:rPr>
      </w:pPr>
    </w:p>
    <w:p w14:paraId="777A5B01" w14:textId="7C33B5CB" w:rsidR="40A8E89C" w:rsidRDefault="40A8E89C" w:rsidP="55F71928">
      <w:pPr>
        <w:spacing w:line="360" w:lineRule="auto"/>
        <w:rPr>
          <w:rFonts w:ascii="Arial" w:eastAsia="Arial" w:hAnsi="Arial" w:cs="Arial"/>
          <w:b/>
          <w:bCs/>
        </w:rPr>
      </w:pPr>
      <w:r w:rsidRPr="55F71928">
        <w:rPr>
          <w:rFonts w:ascii="Arial" w:eastAsia="Arial" w:hAnsi="Arial" w:cs="Arial"/>
          <w:b/>
          <w:bCs/>
        </w:rPr>
        <w:t>Porter’s five forces for innocent drinks</w:t>
      </w:r>
    </w:p>
    <w:p w14:paraId="0D871F3E" w14:textId="70F8B9E2" w:rsidR="00000566" w:rsidRPr="00000566" w:rsidRDefault="00000566" w:rsidP="0C2D6D4F">
      <w:pPr>
        <w:pStyle w:val="Subtitle"/>
        <w:spacing w:line="360" w:lineRule="auto"/>
        <w:rPr>
          <w:rFonts w:ascii="Arial" w:eastAsia="Arial" w:hAnsi="Arial" w:cs="Arial"/>
          <w:sz w:val="22"/>
          <w:szCs w:val="22"/>
        </w:rPr>
      </w:pPr>
    </w:p>
    <w:p w14:paraId="72D62B4F" w14:textId="74ADEB99" w:rsidR="3DFC2CA0" w:rsidRDefault="3DFC2CA0" w:rsidP="3DFC2CA0"/>
    <w:p w14:paraId="7F95585D" w14:textId="673F71B3" w:rsidR="00BE23D2" w:rsidRDefault="0D784FD5" w:rsidP="00BE23D2">
      <w:r>
        <w:t xml:space="preserve">                                         </w:t>
      </w:r>
      <w:r w:rsidR="00BE23D2">
        <w:t>Threat of New Entrants (Moderate)</w:t>
      </w:r>
    </w:p>
    <w:p w14:paraId="1F6BDC14" w14:textId="77777777" w:rsidR="00BE23D2" w:rsidRDefault="00BE23D2" w:rsidP="00BE23D2"/>
    <w:p w14:paraId="07E69B26" w14:textId="0CDE8F66" w:rsidR="00BE23D2" w:rsidRDefault="3007EA78" w:rsidP="00BE23D2">
      <w:r>
        <w:t xml:space="preserve">                        </w:t>
      </w:r>
      <w:r w:rsidR="00BE23D2">
        <w:t>Supplier Power ← Competitive Rivalry → Buyer Power</w:t>
      </w:r>
    </w:p>
    <w:p w14:paraId="34DAB6E7" w14:textId="77777777" w:rsidR="00BE23D2" w:rsidRDefault="00BE23D2" w:rsidP="00BE23D2"/>
    <w:p w14:paraId="4EBC95A0" w14:textId="4EF77AF1" w:rsidR="3DFC2CA0" w:rsidRDefault="5F3000C9" w:rsidP="3DFC2CA0">
      <w:r>
        <w:t xml:space="preserve">          </w:t>
      </w:r>
      <w:r w:rsidR="00BE23D2">
        <w:t>Threat of Substitutes (High)</w:t>
      </w:r>
    </w:p>
    <w:p w14:paraId="041054DF" w14:textId="03EF5BF2" w:rsidR="3DFC2CA0" w:rsidRDefault="3DFC2CA0" w:rsidP="3DFC2CA0"/>
    <w:p w14:paraId="7905595D" w14:textId="40DC4B0F" w:rsidR="3DFC2CA0" w:rsidRDefault="3DFC2CA0" w:rsidP="3DFC2CA0"/>
    <w:p w14:paraId="13C6420D" w14:textId="77777777" w:rsidR="00000566" w:rsidRPr="00000566" w:rsidRDefault="00000566" w:rsidP="0C2D6D4F">
      <w:pPr>
        <w:pStyle w:val="Heading2"/>
        <w:rPr>
          <w:rFonts w:ascii="Arial" w:eastAsia="Arial" w:hAnsi="Arial" w:cs="Arial"/>
          <w:b/>
          <w:bCs/>
          <w:color w:val="auto"/>
          <w:sz w:val="24"/>
          <w:szCs w:val="24"/>
        </w:rPr>
      </w:pPr>
      <w:bookmarkStart w:id="12" w:name="_Toc1013939004"/>
      <w:r w:rsidRPr="3DC95B7A">
        <w:rPr>
          <w:b/>
          <w:bCs/>
          <w:color w:val="auto"/>
        </w:rPr>
        <w:t>4. Strategic Growth Options</w:t>
      </w:r>
      <w:bookmarkEnd w:id="12"/>
    </w:p>
    <w:p w14:paraId="37E0ACDD" w14:textId="77777777" w:rsidR="00000566" w:rsidRPr="00000566" w:rsidRDefault="00000566" w:rsidP="0C2D6D4F">
      <w:pPr>
        <w:spacing w:line="360" w:lineRule="auto"/>
        <w:rPr>
          <w:rFonts w:ascii="Arial" w:eastAsia="Arial" w:hAnsi="Arial" w:cs="Arial"/>
          <w:sz w:val="22"/>
          <w:szCs w:val="22"/>
        </w:rPr>
      </w:pPr>
    </w:p>
    <w:p w14:paraId="55C6B581"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Identifying appropriate strategic growth options requires evaluating potential opportunities within the existing market as well as exploring new product categories and geographic markets. Ansoff’s Matrix provides a useful framework for assessing different growth strategies (Ansoff, 1957).</w:t>
      </w:r>
    </w:p>
    <w:p w14:paraId="2F62C3DD" w14:textId="0EA47ADE" w:rsidR="0C2D6D4F" w:rsidRDefault="0C2D6D4F" w:rsidP="0C2D6D4F">
      <w:pPr>
        <w:spacing w:line="360" w:lineRule="auto"/>
        <w:rPr>
          <w:rFonts w:ascii="Arial" w:eastAsia="Arial" w:hAnsi="Arial" w:cs="Arial"/>
          <w:sz w:val="22"/>
          <w:szCs w:val="22"/>
        </w:rPr>
      </w:pPr>
    </w:p>
    <w:p w14:paraId="0B6566EE" w14:textId="19B76DB8" w:rsidR="3DFC2CA0" w:rsidRDefault="3DFC2CA0" w:rsidP="3DFC2CA0">
      <w:pPr>
        <w:spacing w:line="360" w:lineRule="auto"/>
        <w:rPr>
          <w:rFonts w:ascii="Arial" w:eastAsia="Arial" w:hAnsi="Arial" w:cs="Arial"/>
          <w:sz w:val="22"/>
          <w:szCs w:val="22"/>
        </w:rPr>
      </w:pPr>
    </w:p>
    <w:p w14:paraId="3D803D7B" w14:textId="77777777" w:rsidR="00000566" w:rsidRPr="00000566" w:rsidRDefault="00000566" w:rsidP="0C2D6D4F">
      <w:pPr>
        <w:pStyle w:val="Heading2"/>
        <w:rPr>
          <w:rFonts w:ascii="Arial" w:eastAsia="Arial" w:hAnsi="Arial" w:cs="Arial"/>
          <w:b/>
          <w:bCs/>
          <w:color w:val="auto"/>
          <w:sz w:val="24"/>
          <w:szCs w:val="24"/>
        </w:rPr>
      </w:pPr>
      <w:bookmarkStart w:id="13" w:name="_Toc1250913183"/>
      <w:r w:rsidRPr="3DC95B7A">
        <w:rPr>
          <w:b/>
          <w:bCs/>
          <w:color w:val="auto"/>
        </w:rPr>
        <w:t>Market Penetration</w:t>
      </w:r>
      <w:bookmarkEnd w:id="13"/>
    </w:p>
    <w:p w14:paraId="395752D0" w14:textId="7766D7E2" w:rsidR="0C2D6D4F" w:rsidRDefault="0C2D6D4F" w:rsidP="0C2D6D4F">
      <w:pPr>
        <w:spacing w:line="360" w:lineRule="auto"/>
        <w:rPr>
          <w:rFonts w:ascii="Arial" w:eastAsia="Arial" w:hAnsi="Arial" w:cs="Arial"/>
          <w:sz w:val="22"/>
          <w:szCs w:val="22"/>
        </w:rPr>
      </w:pPr>
    </w:p>
    <w:p w14:paraId="421DF754"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Market penetration involves increasing sales of existing products within existing markets. For Innocent Drinks, this strategy could involve expanding distribution within supermarkets, increasing promotional activity, or strengthening digital marketing campaigns.</w:t>
      </w:r>
    </w:p>
    <w:p w14:paraId="12A63699"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However, the UK smoothie market is already relatively mature, which limits the potential for significant growth through market penetration alone. While this strategy may help maintain market share, it is unlikely to deliver substantial long-term expansion.</w:t>
      </w:r>
    </w:p>
    <w:p w14:paraId="0D894056" w14:textId="7C3A4590" w:rsidR="00000566" w:rsidRPr="00000566" w:rsidRDefault="00000566" w:rsidP="0C2D6D4F">
      <w:pPr>
        <w:spacing w:line="360" w:lineRule="auto"/>
        <w:rPr>
          <w:rFonts w:ascii="Arial" w:eastAsia="Arial" w:hAnsi="Arial" w:cs="Arial"/>
          <w:sz w:val="22"/>
          <w:szCs w:val="22"/>
        </w:rPr>
      </w:pPr>
    </w:p>
    <w:p w14:paraId="6575D1EC" w14:textId="77777777" w:rsidR="00000566" w:rsidRPr="00000566" w:rsidRDefault="00000566" w:rsidP="0C2D6D4F">
      <w:pPr>
        <w:pStyle w:val="Heading2"/>
        <w:rPr>
          <w:rFonts w:ascii="Arial" w:eastAsia="Arial" w:hAnsi="Arial" w:cs="Arial"/>
          <w:b/>
          <w:bCs/>
          <w:color w:val="auto"/>
          <w:sz w:val="24"/>
          <w:szCs w:val="24"/>
        </w:rPr>
      </w:pPr>
      <w:bookmarkStart w:id="14" w:name="_Toc863316603"/>
      <w:r w:rsidRPr="3DC95B7A">
        <w:rPr>
          <w:b/>
          <w:bCs/>
          <w:color w:val="auto"/>
        </w:rPr>
        <w:t>Product Development</w:t>
      </w:r>
      <w:bookmarkEnd w:id="14"/>
    </w:p>
    <w:p w14:paraId="74032ACA" w14:textId="77777777" w:rsidR="00000566" w:rsidRPr="00000566" w:rsidRDefault="00000566" w:rsidP="0C2D6D4F">
      <w:pPr>
        <w:pStyle w:val="Subtitle"/>
        <w:spacing w:line="360" w:lineRule="auto"/>
        <w:rPr>
          <w:rFonts w:ascii="Arial" w:eastAsia="Arial" w:hAnsi="Arial" w:cs="Arial"/>
          <w:b/>
          <w:bCs/>
          <w:sz w:val="22"/>
          <w:szCs w:val="22"/>
        </w:rPr>
      </w:pPr>
    </w:p>
    <w:p w14:paraId="27CE204B"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Product development offers stronger growth potential by introducing new products to existing customers. Innocent Drinks can leverage its strong brand reputation to expand into adjacent beverage categories.</w:t>
      </w:r>
    </w:p>
    <w:p w14:paraId="52E88D3A"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One particularly promising area is the functional beverage market, which includes drinks designed to provide additional health benefits. Examples include probiotic drinks that support digestive health and vitamin-enriched beverages that strengthen the immune system.</w:t>
      </w:r>
    </w:p>
    <w:p w14:paraId="20932ECB"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Developing such products would allow Innocent to capitalise on the growing consumer interest in wellness and nutrition. Furthermore, functional beverages often command premium pricing, which aligns with Innocent’s existing brand positioning.</w:t>
      </w:r>
    </w:p>
    <w:p w14:paraId="47963B9B" w14:textId="18839040" w:rsidR="0C2D6D4F" w:rsidRDefault="0C2D6D4F" w:rsidP="0C2D6D4F">
      <w:pPr>
        <w:spacing w:line="360" w:lineRule="auto"/>
        <w:rPr>
          <w:rFonts w:ascii="Arial" w:eastAsia="Arial" w:hAnsi="Arial" w:cs="Arial"/>
          <w:sz w:val="22"/>
          <w:szCs w:val="22"/>
        </w:rPr>
      </w:pPr>
    </w:p>
    <w:p w14:paraId="584270D6" w14:textId="77777777" w:rsidR="00000566" w:rsidRPr="00000566" w:rsidRDefault="00000566" w:rsidP="0C2D6D4F">
      <w:pPr>
        <w:pStyle w:val="Heading2"/>
        <w:rPr>
          <w:rFonts w:ascii="Arial" w:eastAsia="Arial" w:hAnsi="Arial" w:cs="Arial"/>
          <w:b/>
          <w:bCs/>
          <w:color w:val="auto"/>
          <w:sz w:val="24"/>
          <w:szCs w:val="24"/>
        </w:rPr>
      </w:pPr>
      <w:bookmarkStart w:id="15" w:name="_Toc281352102"/>
      <w:r w:rsidRPr="3DC95B7A">
        <w:rPr>
          <w:b/>
          <w:bCs/>
          <w:color w:val="auto"/>
        </w:rPr>
        <w:t>Market Development</w:t>
      </w:r>
      <w:bookmarkEnd w:id="15"/>
    </w:p>
    <w:p w14:paraId="07EF9571" w14:textId="77777777" w:rsidR="00000566" w:rsidRPr="00000566" w:rsidRDefault="00000566" w:rsidP="0C2D6D4F">
      <w:pPr>
        <w:spacing w:line="360" w:lineRule="auto"/>
        <w:rPr>
          <w:rFonts w:ascii="Arial" w:eastAsia="Arial" w:hAnsi="Arial" w:cs="Arial"/>
          <w:sz w:val="22"/>
          <w:szCs w:val="22"/>
        </w:rPr>
      </w:pPr>
    </w:p>
    <w:p w14:paraId="216FCAD4"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Market development involves introducing existing products into new geographic markets. While Innocent has established a strong presence in the UK and parts of Europe, significant growth opportunities exist in emerging markets.</w:t>
      </w:r>
    </w:p>
    <w:p w14:paraId="18264A16"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Rising incomes, urbanisation, and increasing awareness of healthy lifestyles are driving demand for premium beverage products in many international markets. Entering these markets would allow Innocent to diversify revenue streams and reduce dependence on mature domestic markets.</w:t>
      </w:r>
    </w:p>
    <w:p w14:paraId="0FF4FB9F"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However, international expansion requires careful planning. Cultural preferences, regulatory requirements, and distribution challenges must all be considered. Partnerships with local distributors or leveraging Coca-Cola’s global supply chain could help reduce these risks.</w:t>
      </w:r>
    </w:p>
    <w:p w14:paraId="4465BD22" w14:textId="58BF9002" w:rsidR="00000566" w:rsidRPr="00000566" w:rsidRDefault="00000566" w:rsidP="0C2D6D4F">
      <w:pPr>
        <w:spacing w:line="360" w:lineRule="auto"/>
        <w:rPr>
          <w:rFonts w:ascii="Arial" w:eastAsia="Arial" w:hAnsi="Arial" w:cs="Arial"/>
          <w:sz w:val="22"/>
          <w:szCs w:val="22"/>
        </w:rPr>
      </w:pPr>
    </w:p>
    <w:p w14:paraId="0E1587F0" w14:textId="77777777" w:rsidR="00000566" w:rsidRPr="00000566" w:rsidRDefault="00000566" w:rsidP="0C2D6D4F">
      <w:pPr>
        <w:pStyle w:val="Heading2"/>
        <w:rPr>
          <w:rFonts w:ascii="Arial" w:eastAsia="Arial" w:hAnsi="Arial" w:cs="Arial"/>
          <w:b/>
          <w:bCs/>
          <w:color w:val="auto"/>
          <w:sz w:val="24"/>
          <w:szCs w:val="24"/>
        </w:rPr>
      </w:pPr>
      <w:bookmarkStart w:id="16" w:name="_Toc330949531"/>
      <w:r w:rsidRPr="3DC95B7A">
        <w:rPr>
          <w:b/>
          <w:bCs/>
          <w:color w:val="auto"/>
        </w:rPr>
        <w:t>Diversification</w:t>
      </w:r>
      <w:bookmarkEnd w:id="16"/>
    </w:p>
    <w:p w14:paraId="6B0CB9B5" w14:textId="77777777" w:rsidR="00000566" w:rsidRPr="00000566" w:rsidRDefault="00000566" w:rsidP="0C2D6D4F">
      <w:pPr>
        <w:spacing w:line="360" w:lineRule="auto"/>
        <w:rPr>
          <w:rFonts w:ascii="Arial" w:eastAsia="Arial" w:hAnsi="Arial" w:cs="Arial"/>
          <w:sz w:val="22"/>
          <w:szCs w:val="22"/>
        </w:rPr>
      </w:pPr>
    </w:p>
    <w:p w14:paraId="639E0772"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Diversification involves entering entirely new markets with new products. Although diversification can provide growth opportunities, it also carries the highest level of risk. For Innocent Drinks, diversification into unrelated food categories could dilute its brand identity and stretch organisational resources.</w:t>
      </w:r>
    </w:p>
    <w:p w14:paraId="409082DF" w14:textId="77777777" w:rsidR="00000566" w:rsidRPr="00000566" w:rsidRDefault="00000566" w:rsidP="0C2D6D4F">
      <w:pPr>
        <w:spacing w:line="360" w:lineRule="auto"/>
        <w:rPr>
          <w:rFonts w:ascii="Arial" w:eastAsia="Arial" w:hAnsi="Arial" w:cs="Arial"/>
          <w:sz w:val="22"/>
          <w:szCs w:val="22"/>
        </w:rPr>
      </w:pPr>
      <w:r w:rsidRPr="0C2D6D4F">
        <w:rPr>
          <w:rFonts w:ascii="Arial" w:eastAsia="Arial" w:hAnsi="Arial" w:cs="Arial"/>
          <w:sz w:val="22"/>
          <w:szCs w:val="22"/>
        </w:rPr>
        <w:t>Therefore, diversification should only be considered as a long-term strategic possibility rather than an immediate priority.</w:t>
      </w:r>
    </w:p>
    <w:p w14:paraId="1C4DF490" w14:textId="77777777" w:rsidR="00000566" w:rsidRDefault="00000566" w:rsidP="0C2D6D4F">
      <w:pPr>
        <w:spacing w:line="360" w:lineRule="auto"/>
        <w:rPr>
          <w:rFonts w:ascii="Arial" w:eastAsia="Arial" w:hAnsi="Arial" w:cs="Arial"/>
          <w:sz w:val="22"/>
          <w:szCs w:val="22"/>
        </w:rPr>
      </w:pPr>
    </w:p>
    <w:p w14:paraId="71AEB0DF" w14:textId="77777777" w:rsidR="003D39E2" w:rsidRPr="003D39E2" w:rsidRDefault="003D39E2" w:rsidP="0C2D6D4F">
      <w:pPr>
        <w:pStyle w:val="Heading2"/>
        <w:rPr>
          <w:rFonts w:ascii="Arial" w:eastAsia="Arial" w:hAnsi="Arial" w:cs="Arial"/>
          <w:b/>
          <w:bCs/>
          <w:color w:val="auto"/>
          <w:sz w:val="24"/>
          <w:szCs w:val="24"/>
        </w:rPr>
      </w:pPr>
      <w:bookmarkStart w:id="17" w:name="_Toc1443116739"/>
      <w:r w:rsidRPr="3DC95B7A">
        <w:rPr>
          <w:b/>
          <w:bCs/>
          <w:color w:val="auto"/>
        </w:rPr>
        <w:t>5. Recommended Strategy</w:t>
      </w:r>
      <w:bookmarkEnd w:id="17"/>
      <w:r w:rsidRPr="3DC95B7A">
        <w:rPr>
          <w:b/>
          <w:bCs/>
          <w:color w:val="auto"/>
        </w:rPr>
        <w:t xml:space="preserve"> </w:t>
      </w:r>
    </w:p>
    <w:p w14:paraId="55C45E96" w14:textId="77777777" w:rsidR="003D39E2" w:rsidRPr="003D39E2" w:rsidRDefault="003D39E2" w:rsidP="0C2D6D4F">
      <w:pPr>
        <w:spacing w:line="360" w:lineRule="auto"/>
        <w:rPr>
          <w:rFonts w:ascii="Arial" w:eastAsia="Arial" w:hAnsi="Arial" w:cs="Arial"/>
          <w:sz w:val="22"/>
          <w:szCs w:val="22"/>
        </w:rPr>
      </w:pPr>
    </w:p>
    <w:p w14:paraId="27C16324" w14:textId="248BD0AE"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 xml:space="preserve">Based on the strategic analysis conducted using PESTEL, SWOT, and Porter’s Five Forces, the most appropriate strategic direction for </w:t>
      </w:r>
      <w:hyperlink r:id="rId6" w:history="1">
        <w:r w:rsidRPr="0C2D6D4F">
          <w:rPr>
            <w:rFonts w:ascii="Arial" w:eastAsia="Arial" w:hAnsi="Arial" w:cs="Arial"/>
            <w:sz w:val="22"/>
            <w:szCs w:val="22"/>
          </w:rPr>
          <w:t>Innocent Drinks</w:t>
        </w:r>
      </w:hyperlink>
      <w:r w:rsidRPr="0C2D6D4F">
        <w:rPr>
          <w:rFonts w:ascii="Arial" w:eastAsia="Arial" w:hAnsi="Arial" w:cs="Arial"/>
          <w:sz w:val="22"/>
          <w:szCs w:val="22"/>
        </w:rPr>
        <w:t xml:space="preserve"> is a combined product development and selective market development strategy. This approach enables the organisation to respond effectively to changing consumer preferences while maintaining its differentiation strategy within the competitive beverage market.</w:t>
      </w:r>
    </w:p>
    <w:p w14:paraId="7AFBC334"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Product development represents a particularly strong opportunity for Innocent Drinks because of increasing consumer demand for health-oriented beverages. In recent years, there has been significant growth in the functional drinks category, which includes products designed to provide additional health benefits beyond basic nutrition. These benefits may include improved digestion, immunity support, and enhanced hydration (Euromonitor, 2023). Innocent already possesses strong brand credibility in the health and wellness segment, which provides a foundation for expanding into this area.</w:t>
      </w:r>
    </w:p>
    <w:p w14:paraId="705567A4"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One key aspect of this product development strategy should involve the introduction of low-sugar beverages. Although smoothies are often perceived as healthy, concerns regarding natural sugar content have become more prominent in public health discussions. Research suggests that consumers are increasingly seeking beverages that contain reduced sugar levels while still offering natural ingredients and flavour (Mintel, 2023). By reformulating existing products or introducing new low-sugar alternatives, Innocent can address regulatory pressures while maintaining consumer trust.</w:t>
      </w:r>
    </w:p>
    <w:p w14:paraId="57C291C1"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Another promising area for product innovation is functional beverages, particularly products that support immune health and digestive wellbeing. For example, probiotic drinks containing beneficial bacteria have gained popularity due to increasing awareness of gut health. Similarly, vitamin-enriched beverages designed to support immune systems have experienced strong demand following the COVID-19 pandemic (Euromonitor, 2023). Expanding into these categories would allow Innocent to diversify its product portfolio while remaining aligned with its core mission of promoting healthy living.</w:t>
      </w:r>
    </w:p>
    <w:p w14:paraId="2DC09CFB" w14:textId="7543A72E" w:rsidR="0C2D6D4F" w:rsidRDefault="0C2D6D4F" w:rsidP="0C2D6D4F">
      <w:pPr>
        <w:spacing w:line="360" w:lineRule="auto"/>
        <w:rPr>
          <w:rFonts w:ascii="Arial" w:eastAsia="Arial" w:hAnsi="Arial" w:cs="Arial"/>
          <w:sz w:val="22"/>
          <w:szCs w:val="22"/>
        </w:rPr>
      </w:pPr>
    </w:p>
    <w:p w14:paraId="4DD8CFF2" w14:textId="01720C14" w:rsidR="003D39E2" w:rsidRPr="003D39E2" w:rsidRDefault="003D39E2" w:rsidP="0C2D6D4F">
      <w:pPr>
        <w:pStyle w:val="Heading2"/>
        <w:rPr>
          <w:rFonts w:ascii="Arial" w:eastAsia="Arial" w:hAnsi="Arial" w:cs="Arial"/>
          <w:b/>
          <w:bCs/>
          <w:color w:val="auto"/>
          <w:sz w:val="24"/>
          <w:szCs w:val="24"/>
        </w:rPr>
      </w:pPr>
      <w:bookmarkStart w:id="18" w:name="_Toc536664948"/>
      <w:r w:rsidRPr="3DC95B7A">
        <w:rPr>
          <w:b/>
          <w:bCs/>
          <w:color w:val="auto"/>
        </w:rPr>
        <w:t>6. Strategy Evaluatio</w:t>
      </w:r>
      <w:r w:rsidR="0F5B1EC7" w:rsidRPr="3DC95B7A">
        <w:rPr>
          <w:b/>
          <w:bCs/>
          <w:color w:val="auto"/>
        </w:rPr>
        <w:t>n</w:t>
      </w:r>
      <w:bookmarkEnd w:id="18"/>
    </w:p>
    <w:p w14:paraId="11AE51F5" w14:textId="77777777" w:rsidR="003D39E2" w:rsidRPr="003D39E2" w:rsidRDefault="003D39E2" w:rsidP="0C2D6D4F">
      <w:pPr>
        <w:spacing w:line="360" w:lineRule="auto"/>
        <w:rPr>
          <w:rFonts w:ascii="Arial" w:eastAsia="Arial" w:hAnsi="Arial" w:cs="Arial"/>
          <w:sz w:val="22"/>
          <w:szCs w:val="22"/>
        </w:rPr>
      </w:pPr>
    </w:p>
    <w:p w14:paraId="678ACBB7"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To determine whether the proposed strategy is appropriate for Innocent Drinks, it can be evaluated using the Suitability, Feasibility and Acceptability (SFA) framework, a widely used strategic evaluation tool within strategic management (Johnson, Scholes and Whittington, 2020).</w:t>
      </w:r>
    </w:p>
    <w:p w14:paraId="52B60FA9" w14:textId="77777777" w:rsidR="003D39E2" w:rsidRPr="003D39E2" w:rsidRDefault="003D39E2" w:rsidP="0C2D6D4F">
      <w:pPr>
        <w:spacing w:line="360" w:lineRule="auto"/>
        <w:rPr>
          <w:rFonts w:ascii="Arial" w:eastAsia="Arial" w:hAnsi="Arial" w:cs="Arial"/>
          <w:sz w:val="22"/>
          <w:szCs w:val="22"/>
        </w:rPr>
      </w:pPr>
    </w:p>
    <w:p w14:paraId="31FA7890" w14:textId="47ECE19D" w:rsidR="003D39E2" w:rsidRPr="003D39E2" w:rsidRDefault="003D39E2" w:rsidP="0C2D6D4F">
      <w:pPr>
        <w:pStyle w:val="Heading2"/>
        <w:rPr>
          <w:rFonts w:ascii="Arial" w:eastAsia="Arial" w:hAnsi="Arial" w:cs="Arial"/>
          <w:b/>
          <w:bCs/>
          <w:color w:val="auto"/>
          <w:sz w:val="24"/>
          <w:szCs w:val="24"/>
        </w:rPr>
      </w:pPr>
      <w:bookmarkStart w:id="19" w:name="_Toc589686341"/>
      <w:r w:rsidRPr="3DC95B7A">
        <w:rPr>
          <w:b/>
          <w:bCs/>
          <w:color w:val="auto"/>
        </w:rPr>
        <w:t>Suitabilit</w:t>
      </w:r>
      <w:r w:rsidR="378661FF" w:rsidRPr="3DC95B7A">
        <w:rPr>
          <w:b/>
          <w:bCs/>
          <w:color w:val="auto"/>
        </w:rPr>
        <w:t>y</w:t>
      </w:r>
      <w:bookmarkEnd w:id="19"/>
    </w:p>
    <w:p w14:paraId="37B22600" w14:textId="5DD23DA1" w:rsidR="0C2D6D4F" w:rsidRDefault="0C2D6D4F" w:rsidP="0C2D6D4F">
      <w:pPr>
        <w:spacing w:line="360" w:lineRule="auto"/>
        <w:rPr>
          <w:rFonts w:ascii="Arial" w:eastAsia="Arial" w:hAnsi="Arial" w:cs="Arial"/>
          <w:sz w:val="22"/>
          <w:szCs w:val="22"/>
        </w:rPr>
      </w:pPr>
    </w:p>
    <w:p w14:paraId="7906BD90"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Suitability assesses whether the proposed strategy addresses the key issues identified during the strategic analysis. In this case, the recommended strategy aligns strongly with several trends identified in the PESTEL and SWOT analyses.</w:t>
      </w:r>
    </w:p>
    <w:p w14:paraId="18B5C292"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Firstly, the product development element directly addresses the growing consumer demand for healthier beverages. Social trends show that consumers are becoming increasingly concerned about nutrition, sugar consumption, and overall wellbeing. Introducing functional and low-sugar beverages therefore responds effectively to these market changes.</w:t>
      </w:r>
    </w:p>
    <w:p w14:paraId="70972D18"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Secondly, the strategy also addresses regulatory pressures related to sugar consumption. Governments around the world have implemented policies aimed at reducing sugar intake, including taxes on sugary beverages (HM Government, 2023). By focusing on low-sugar and health-oriented drinks, Innocent can proactively adapt to this regulatory environment.</w:t>
      </w:r>
    </w:p>
    <w:p w14:paraId="78B64A50"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Thirdly, market development into new geographic regions reduces reliance on the mature UK smoothie market. Expanding internationally allows the company to access new sources of growth and reduce the risks associated with market saturation.</w:t>
      </w:r>
    </w:p>
    <w:p w14:paraId="02F770F1" w14:textId="5F528630" w:rsidR="0C2D6D4F" w:rsidRDefault="0C2D6D4F" w:rsidP="0C2D6D4F">
      <w:pPr>
        <w:spacing w:line="360" w:lineRule="auto"/>
        <w:rPr>
          <w:rFonts w:ascii="Arial" w:eastAsia="Arial" w:hAnsi="Arial" w:cs="Arial"/>
          <w:sz w:val="22"/>
          <w:szCs w:val="22"/>
        </w:rPr>
      </w:pPr>
    </w:p>
    <w:p w14:paraId="2E276624" w14:textId="77777777" w:rsidR="003D39E2" w:rsidRPr="003D39E2" w:rsidRDefault="003D39E2" w:rsidP="0C2D6D4F">
      <w:pPr>
        <w:pStyle w:val="Heading2"/>
        <w:rPr>
          <w:rFonts w:ascii="Arial" w:eastAsia="Arial" w:hAnsi="Arial" w:cs="Arial"/>
          <w:b/>
          <w:bCs/>
          <w:color w:val="auto"/>
          <w:sz w:val="24"/>
          <w:szCs w:val="24"/>
        </w:rPr>
      </w:pPr>
      <w:bookmarkStart w:id="20" w:name="_Toc1764603175"/>
      <w:r w:rsidRPr="3DC95B7A">
        <w:rPr>
          <w:b/>
          <w:bCs/>
          <w:color w:val="auto"/>
        </w:rPr>
        <w:t>Feasibility</w:t>
      </w:r>
      <w:bookmarkEnd w:id="20"/>
    </w:p>
    <w:p w14:paraId="38862ECC" w14:textId="77777777" w:rsidR="003D39E2" w:rsidRPr="003D39E2" w:rsidRDefault="003D39E2" w:rsidP="0C2D6D4F">
      <w:pPr>
        <w:spacing w:line="360" w:lineRule="auto"/>
        <w:rPr>
          <w:rFonts w:ascii="Arial" w:eastAsia="Arial" w:hAnsi="Arial" w:cs="Arial"/>
          <w:sz w:val="22"/>
          <w:szCs w:val="22"/>
        </w:rPr>
      </w:pPr>
    </w:p>
    <w:p w14:paraId="2DD32857"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Feasibility examines whether the organisation has the resources and capabilities necessary to implement the strategy successfully.</w:t>
      </w:r>
    </w:p>
    <w:p w14:paraId="01397539"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Innocent Drinks benefits from significant financial and operational support through its partnership with The Coca-Cola Company. This relationship provides access to global distribution networks, advanced logistics infrastructure, and extensive marketing resources. These capabilities significantly enhance the company’s ability to launch new products and expand into international markets.</w:t>
      </w:r>
    </w:p>
    <w:p w14:paraId="42F0BD1B"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Additionally, Innocent already possesses strong expertise in product development and brand management within the health beverage sector. The organisation’s research and development capabilities can support innovation in functional beverages and low-sugar formulations.</w:t>
      </w:r>
    </w:p>
    <w:p w14:paraId="2325DF77"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From a financial perspective, the investment required for product innovation and market expansion is manageable when compared with the company’s long-term growth potential. Therefore, the proposed strategy is considered feasible.</w:t>
      </w:r>
    </w:p>
    <w:p w14:paraId="3DF2CDAD" w14:textId="77777777" w:rsidR="003D39E2" w:rsidRPr="003D39E2" w:rsidRDefault="003D39E2" w:rsidP="0C2D6D4F">
      <w:pPr>
        <w:spacing w:line="360" w:lineRule="auto"/>
        <w:rPr>
          <w:rFonts w:ascii="Arial" w:eastAsia="Arial" w:hAnsi="Arial" w:cs="Arial"/>
          <w:sz w:val="22"/>
          <w:szCs w:val="22"/>
        </w:rPr>
      </w:pPr>
    </w:p>
    <w:p w14:paraId="26C94276" w14:textId="77777777" w:rsidR="003D39E2" w:rsidRPr="003D39E2" w:rsidRDefault="003D39E2" w:rsidP="0C2D6D4F">
      <w:pPr>
        <w:pStyle w:val="Heading2"/>
        <w:rPr>
          <w:rFonts w:ascii="Arial" w:eastAsia="Arial" w:hAnsi="Arial" w:cs="Arial"/>
          <w:b/>
          <w:bCs/>
          <w:color w:val="auto"/>
          <w:sz w:val="24"/>
          <w:szCs w:val="24"/>
        </w:rPr>
      </w:pPr>
      <w:bookmarkStart w:id="21" w:name="_Toc1557049936"/>
      <w:r w:rsidRPr="3DC95B7A">
        <w:rPr>
          <w:b/>
          <w:bCs/>
          <w:color w:val="auto"/>
        </w:rPr>
        <w:t>Acceptability</w:t>
      </w:r>
      <w:bookmarkEnd w:id="21"/>
    </w:p>
    <w:p w14:paraId="12076FD4" w14:textId="77777777" w:rsidR="003D39E2" w:rsidRPr="003D39E2" w:rsidRDefault="003D39E2" w:rsidP="0C2D6D4F">
      <w:pPr>
        <w:spacing w:line="360" w:lineRule="auto"/>
        <w:rPr>
          <w:rFonts w:ascii="Arial" w:eastAsia="Arial" w:hAnsi="Arial" w:cs="Arial"/>
          <w:sz w:val="22"/>
          <w:szCs w:val="22"/>
        </w:rPr>
      </w:pPr>
    </w:p>
    <w:p w14:paraId="09F4918B"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Acceptability considers the expectations and reactions of key stakeholders, including investors, employees, customers, and society.</w:t>
      </w:r>
    </w:p>
    <w:p w14:paraId="77D74219"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For investors, the strategy offers the potential for sustainable long-term growth by entering high-demand product categories and new markets. Employees may also benefit from opportunities to work on innovative products and participate in international expansion initiatives.</w:t>
      </w:r>
    </w:p>
    <w:p w14:paraId="045DB501" w14:textId="520F6758"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Customers are likely to respond positively to new functional beverages that provide additional health benefits. Innocent’s reputation for transparency and ethical sourcing further strengthens consumer trust.</w:t>
      </w:r>
    </w:p>
    <w:p w14:paraId="7D40B759"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Finally, the strategy aligns with broader societal expectations regarding sustainability and responsible business practices. By continuing to emphasise natural ingredients and environmentally responsible production methods, Innocent can maintain its positive brand image.</w:t>
      </w:r>
    </w:p>
    <w:p w14:paraId="04F82FB1" w14:textId="1F164F71" w:rsidR="003D39E2" w:rsidRPr="003D39E2" w:rsidRDefault="003D39E2" w:rsidP="0C2D6D4F">
      <w:pPr>
        <w:spacing w:line="360" w:lineRule="auto"/>
        <w:rPr>
          <w:rFonts w:ascii="Arial" w:eastAsia="Arial" w:hAnsi="Arial" w:cs="Arial"/>
          <w:sz w:val="22"/>
          <w:szCs w:val="22"/>
        </w:rPr>
      </w:pPr>
    </w:p>
    <w:p w14:paraId="404A5DA3" w14:textId="77777777" w:rsidR="003D39E2" w:rsidRPr="003D39E2" w:rsidRDefault="003D39E2" w:rsidP="0C2D6D4F">
      <w:pPr>
        <w:pStyle w:val="Heading2"/>
        <w:rPr>
          <w:rFonts w:ascii="Arial" w:eastAsia="Arial" w:hAnsi="Arial" w:cs="Arial"/>
          <w:b/>
          <w:bCs/>
          <w:color w:val="auto"/>
          <w:sz w:val="24"/>
          <w:szCs w:val="24"/>
        </w:rPr>
      </w:pPr>
      <w:bookmarkStart w:id="22" w:name="_Toc901368163"/>
      <w:r w:rsidRPr="3DC95B7A">
        <w:rPr>
          <w:b/>
          <w:bCs/>
          <w:color w:val="auto"/>
        </w:rPr>
        <w:t>7. Implementation and Monitoring</w:t>
      </w:r>
      <w:bookmarkEnd w:id="22"/>
      <w:r w:rsidRPr="3DC95B7A">
        <w:rPr>
          <w:b/>
          <w:bCs/>
          <w:color w:val="auto"/>
        </w:rPr>
        <w:t xml:space="preserve"> </w:t>
      </w:r>
    </w:p>
    <w:p w14:paraId="7FF702DD" w14:textId="77777777" w:rsidR="003D39E2" w:rsidRPr="003D39E2" w:rsidRDefault="003D39E2" w:rsidP="0C2D6D4F">
      <w:pPr>
        <w:spacing w:line="360" w:lineRule="auto"/>
        <w:rPr>
          <w:rFonts w:ascii="Arial" w:eastAsia="Arial" w:hAnsi="Arial" w:cs="Arial"/>
          <w:sz w:val="22"/>
          <w:szCs w:val="22"/>
        </w:rPr>
      </w:pPr>
    </w:p>
    <w:p w14:paraId="25B3B11C"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Successful strategy implementation requires careful planning, clear objectives, and effective monitoring systems. Without a structured implementation plan, even well-designed strategies may fail to deliver the expected results (Johnson, Scholes and Whittington, 2020).</w:t>
      </w:r>
    </w:p>
    <w:p w14:paraId="4AA9FB2F"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The first stage of implementation should involve research and development activities focused on product innovation. Innocent’s product development team should conduct market research to identify consumer preferences regarding functional beverages. This research could involve consumer surveys, focus groups, and analysis of existing beverage trends.</w:t>
      </w:r>
    </w:p>
    <w:p w14:paraId="4903BE4C"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Following the research phase, prototype products should be developed and tested through small-scale market trials. These trials allow the company to gather feedback on taste, packaging, and pricing before launching products on a larger scale.</w:t>
      </w:r>
    </w:p>
    <w:p w14:paraId="68440103"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Marketing will play a crucial role in the success of new products. Innocent’s brand identity is built around humour, transparency, and ethical messaging. Marketing campaigns should therefore emphasise the health benefits and natural ingredients of the new beverages while maintaining the brand’s distinctive tone of voice.</w:t>
      </w:r>
    </w:p>
    <w:p w14:paraId="3C9F3C68" w14:textId="09504885"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In addition to product development, international market entry strategies must be carefully planned. Innocent should prioritise markets with strong growth potential and compatible consumer preferences. Entry strategies could include partnerships with local distributors or joint ventures with established beverage companies.</w:t>
      </w:r>
    </w:p>
    <w:p w14:paraId="164876D6"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Monitoring the success of the strategy requires the use of key performance indicators (KPIs). These indicators provide measurable evidence of whether the strategy is achieving its intended objectives. Examples of relevant KPIs include revenue growth, market share in the functional beverage category, and customer satisfaction levels.</w:t>
      </w:r>
    </w:p>
    <w:p w14:paraId="2AD547C5"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Environmental performance indicators may also be used to monitor sustainability commitments. These could include reductions in carbon emissions, improvements in packaging recyclability, and responsible sourcing practices.</w:t>
      </w:r>
    </w:p>
    <w:p w14:paraId="53C56617"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Regular strategic reviews should be conducted to assess progress and identify potential adjustments. If certain products or markets perform below expectations, management should be prepared to modify the strategy accordingly.</w:t>
      </w:r>
    </w:p>
    <w:p w14:paraId="56EA61B0"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Through careful implementation and ongoing monitoring, Innocent Drinks can maximise the likelihood of successfully achieving its strategic objectives.</w:t>
      </w:r>
    </w:p>
    <w:p w14:paraId="78B274E6" w14:textId="796B02B0" w:rsidR="003D39E2" w:rsidRPr="003D39E2" w:rsidRDefault="003D39E2" w:rsidP="0C2D6D4F">
      <w:pPr>
        <w:spacing w:line="360" w:lineRule="auto"/>
        <w:rPr>
          <w:rFonts w:ascii="Arial" w:eastAsia="Arial" w:hAnsi="Arial" w:cs="Arial"/>
          <w:sz w:val="22"/>
          <w:szCs w:val="22"/>
        </w:rPr>
      </w:pPr>
    </w:p>
    <w:p w14:paraId="713BA532" w14:textId="77777777" w:rsidR="003D39E2" w:rsidRPr="003D39E2" w:rsidRDefault="003D39E2" w:rsidP="0C2D6D4F">
      <w:pPr>
        <w:pStyle w:val="Heading2"/>
        <w:rPr>
          <w:rFonts w:ascii="Arial" w:eastAsia="Arial" w:hAnsi="Arial" w:cs="Arial"/>
          <w:b/>
          <w:bCs/>
          <w:color w:val="auto"/>
          <w:sz w:val="24"/>
          <w:szCs w:val="24"/>
        </w:rPr>
      </w:pPr>
      <w:bookmarkStart w:id="23" w:name="_Toc1640555891"/>
      <w:r w:rsidRPr="3DC95B7A">
        <w:rPr>
          <w:b/>
          <w:bCs/>
          <w:color w:val="auto"/>
        </w:rPr>
        <w:t>8. Conclusion</w:t>
      </w:r>
      <w:bookmarkEnd w:id="23"/>
      <w:r w:rsidRPr="3DC95B7A">
        <w:rPr>
          <w:b/>
          <w:bCs/>
          <w:color w:val="auto"/>
        </w:rPr>
        <w:t xml:space="preserve"> </w:t>
      </w:r>
    </w:p>
    <w:p w14:paraId="183D62EE" w14:textId="77777777" w:rsidR="003D39E2" w:rsidRPr="003D39E2" w:rsidRDefault="003D39E2" w:rsidP="0C2D6D4F">
      <w:pPr>
        <w:spacing w:line="360" w:lineRule="auto"/>
        <w:rPr>
          <w:rFonts w:ascii="Arial" w:eastAsia="Arial" w:hAnsi="Arial" w:cs="Arial"/>
          <w:sz w:val="22"/>
          <w:szCs w:val="22"/>
        </w:rPr>
      </w:pPr>
    </w:p>
    <w:p w14:paraId="24C599B3"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The analysis presented in this report demonstrates that Innocent Drinks operates within a highly competitive and rapidly evolving beverage industry. External factors such as government regulation, economic uncertainty, and climate change are reshaping the strategic environment in which the company operates. At the same time, consumer preferences are shifting toward healthier and more sustainable products.</w:t>
      </w:r>
    </w:p>
    <w:p w14:paraId="440BB564"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Strategic analysis using PESTEL, SWOT, and Porter’s Five Forces highlights both the opportunities and challenges facing Innocent Drinks. While the organisation benefits from strong brand equity, ethical positioning, and distribution support from The Coca-Cola Company, it must adapt to regulatory pressures and changing consumer expectations in order to maintain its competitive advantage.</w:t>
      </w:r>
    </w:p>
    <w:p w14:paraId="103A8BEE" w14:textId="77777777" w:rsidR="003D39E2" w:rsidRPr="003D39E2" w:rsidRDefault="003D39E2" w:rsidP="0C2D6D4F">
      <w:pPr>
        <w:spacing w:line="360" w:lineRule="auto"/>
        <w:rPr>
          <w:rFonts w:ascii="Arial" w:eastAsia="Arial" w:hAnsi="Arial" w:cs="Arial"/>
          <w:sz w:val="22"/>
          <w:szCs w:val="22"/>
        </w:rPr>
      </w:pPr>
      <w:r w:rsidRPr="0C2D6D4F">
        <w:rPr>
          <w:rFonts w:ascii="Arial" w:eastAsia="Arial" w:hAnsi="Arial" w:cs="Arial"/>
          <w:sz w:val="22"/>
          <w:szCs w:val="22"/>
        </w:rPr>
        <w:t>The recommended strategy — combining product development with selective market development — provides a practical pathway for sustainable growth. By expanding into functional beverages and low-sugar products, Innocent can respond effectively to consumer demand for healthier drinks. International expansion further enables the company to diversify revenue streams and reduce reliance on mature domestic markets.</w:t>
      </w:r>
    </w:p>
    <w:p w14:paraId="3ECB95D1" w14:textId="577441F4" w:rsidR="0C2D6D4F" w:rsidRDefault="003D39E2" w:rsidP="0C2D6D4F">
      <w:pPr>
        <w:spacing w:line="360" w:lineRule="auto"/>
        <w:rPr>
          <w:rFonts w:ascii="Arial" w:eastAsia="Arial" w:hAnsi="Arial" w:cs="Arial"/>
          <w:sz w:val="22"/>
          <w:szCs w:val="22"/>
        </w:rPr>
      </w:pPr>
      <w:r w:rsidRPr="3DFC2CA0">
        <w:rPr>
          <w:rFonts w:ascii="Arial" w:eastAsia="Arial" w:hAnsi="Arial" w:cs="Arial"/>
          <w:sz w:val="22"/>
          <w:szCs w:val="22"/>
        </w:rPr>
        <w:t>The SFA evaluation confirms that the strategy is suitable, feasible, and acceptable for the organisation. With appropriate implementation and monitoring systems in place, the strategy has strong potential to deliver long-term value for both the company and its stakeholders.</w:t>
      </w:r>
    </w:p>
    <w:p w14:paraId="3A74211C" w14:textId="48974428" w:rsidR="00F81E84" w:rsidRPr="00F81E84" w:rsidRDefault="00F81E84" w:rsidP="55F71928">
      <w:pPr>
        <w:spacing w:line="360" w:lineRule="auto"/>
        <w:rPr>
          <w:rFonts w:ascii="Arial" w:eastAsia="Arial" w:hAnsi="Arial" w:cs="Arial"/>
          <w:sz w:val="22"/>
          <w:szCs w:val="22"/>
        </w:rPr>
      </w:pPr>
    </w:p>
    <w:p w14:paraId="369DB9FA" w14:textId="0A6756D8" w:rsidR="00F81E84" w:rsidRPr="00F81E84" w:rsidRDefault="00F81E84" w:rsidP="55F71928">
      <w:pPr>
        <w:spacing w:line="360" w:lineRule="auto"/>
        <w:rPr>
          <w:rFonts w:ascii="Arial" w:eastAsia="Arial" w:hAnsi="Arial" w:cs="Arial"/>
          <w:sz w:val="22"/>
          <w:szCs w:val="22"/>
        </w:rPr>
      </w:pPr>
    </w:p>
    <w:p w14:paraId="2E51517C" w14:textId="20A0CF0E" w:rsidR="00F81E84" w:rsidRPr="00F81E84" w:rsidRDefault="00F81E84" w:rsidP="55F71928">
      <w:pPr>
        <w:spacing w:line="360" w:lineRule="auto"/>
        <w:rPr>
          <w:rFonts w:ascii="Arial" w:eastAsia="Arial" w:hAnsi="Arial" w:cs="Arial"/>
          <w:sz w:val="22"/>
          <w:szCs w:val="22"/>
        </w:rPr>
      </w:pPr>
    </w:p>
    <w:p w14:paraId="6F87A8DD" w14:textId="15D20EF7" w:rsidR="00F81E84" w:rsidRPr="00F81E84" w:rsidRDefault="00F81E84" w:rsidP="55F71928">
      <w:pPr>
        <w:spacing w:line="360" w:lineRule="auto"/>
        <w:rPr>
          <w:rFonts w:ascii="Arial" w:eastAsia="Arial" w:hAnsi="Arial" w:cs="Arial"/>
          <w:sz w:val="22"/>
          <w:szCs w:val="22"/>
        </w:rPr>
      </w:pPr>
    </w:p>
    <w:p w14:paraId="14EC6098" w14:textId="3BB0FE3E" w:rsidR="00F81E84" w:rsidRPr="00F81E84" w:rsidRDefault="00F81E84" w:rsidP="55F71928">
      <w:pPr>
        <w:spacing w:line="360" w:lineRule="auto"/>
        <w:rPr>
          <w:rFonts w:ascii="Arial" w:eastAsia="Arial" w:hAnsi="Arial" w:cs="Arial"/>
          <w:sz w:val="22"/>
          <w:szCs w:val="22"/>
        </w:rPr>
      </w:pPr>
    </w:p>
    <w:p w14:paraId="16CF298C" w14:textId="6A608F59" w:rsidR="00F81E84" w:rsidRPr="00F81E84" w:rsidRDefault="00F81E84" w:rsidP="55F71928">
      <w:pPr>
        <w:spacing w:line="360" w:lineRule="auto"/>
        <w:rPr>
          <w:rFonts w:ascii="Arial" w:eastAsia="Arial" w:hAnsi="Arial" w:cs="Arial"/>
          <w:sz w:val="22"/>
          <w:szCs w:val="22"/>
        </w:rPr>
      </w:pPr>
    </w:p>
    <w:p w14:paraId="3E9AA77E" w14:textId="2C844AD9" w:rsidR="00F81E84" w:rsidRPr="00F81E84" w:rsidRDefault="00F81E84" w:rsidP="55F71928">
      <w:pPr>
        <w:pStyle w:val="Heading2"/>
        <w:spacing w:line="360" w:lineRule="auto"/>
        <w:rPr>
          <w:b/>
          <w:bCs/>
          <w:color w:val="auto"/>
        </w:rPr>
      </w:pPr>
    </w:p>
    <w:p w14:paraId="2B7E3418" w14:textId="74ACBE05" w:rsidR="00F81E84" w:rsidRPr="00F81E84" w:rsidRDefault="00F81E84" w:rsidP="55F71928">
      <w:pPr>
        <w:pStyle w:val="Heading2"/>
        <w:spacing w:line="360" w:lineRule="auto"/>
        <w:rPr>
          <w:b/>
          <w:bCs/>
          <w:color w:val="auto"/>
        </w:rPr>
      </w:pPr>
    </w:p>
    <w:p w14:paraId="1906253D" w14:textId="73DA10D9" w:rsidR="00F81E84" w:rsidRPr="00F81E84" w:rsidRDefault="00F81E84" w:rsidP="55F71928"/>
    <w:p w14:paraId="49057AFC" w14:textId="5BA34ECD" w:rsidR="00F81E84" w:rsidRPr="00F81E84" w:rsidRDefault="00F81E84" w:rsidP="55F71928"/>
    <w:p w14:paraId="1CE7ABFF" w14:textId="43AE18B4" w:rsidR="00F81E84" w:rsidRPr="00F81E84" w:rsidRDefault="00F81E84" w:rsidP="55F71928"/>
    <w:p w14:paraId="4E4E45E8" w14:textId="3D50ECE6" w:rsidR="00F81E84" w:rsidRPr="00F81E84" w:rsidRDefault="00F81E84" w:rsidP="55F71928"/>
    <w:p w14:paraId="136FE923" w14:textId="1827689D" w:rsidR="00F81E84" w:rsidRPr="00F81E84" w:rsidRDefault="00F81E84" w:rsidP="55F71928"/>
    <w:p w14:paraId="2B0B408E" w14:textId="497537DA" w:rsidR="00F81E84" w:rsidRPr="00F81E84" w:rsidRDefault="00F81E84" w:rsidP="55F71928"/>
    <w:p w14:paraId="2CCC1911" w14:textId="65248CB6" w:rsidR="00F81E84" w:rsidRPr="00F81E84" w:rsidRDefault="00F81E84" w:rsidP="55F71928"/>
    <w:p w14:paraId="4A62411B" w14:textId="39319A1D" w:rsidR="00F81E84" w:rsidRPr="00F81E84" w:rsidRDefault="00F81E84" w:rsidP="55F71928"/>
    <w:p w14:paraId="59E675C3" w14:textId="3FF36FBF" w:rsidR="00F81E84" w:rsidRPr="00F81E84" w:rsidRDefault="00F81E84" w:rsidP="55F71928"/>
    <w:p w14:paraId="25D07FF1" w14:textId="1A59C51F" w:rsidR="00F81E84" w:rsidRPr="00F81E84" w:rsidRDefault="00F81E84" w:rsidP="55F71928"/>
    <w:p w14:paraId="493D319F" w14:textId="67B74F59" w:rsidR="00F81E84" w:rsidRPr="00F81E84" w:rsidRDefault="00F81E84" w:rsidP="55F71928"/>
    <w:p w14:paraId="61822A1B" w14:textId="03784AE7" w:rsidR="00F81E84" w:rsidRPr="00F81E84" w:rsidRDefault="00F81E84" w:rsidP="55F71928"/>
    <w:p w14:paraId="6516B10A" w14:textId="7985AB5F" w:rsidR="00F81E84" w:rsidRDefault="00F81E84" w:rsidP="55F71928">
      <w:pPr>
        <w:pStyle w:val="Heading2"/>
        <w:spacing w:line="360" w:lineRule="auto"/>
        <w:rPr>
          <w:b/>
          <w:bCs/>
          <w:color w:val="auto"/>
        </w:rPr>
      </w:pPr>
      <w:bookmarkStart w:id="24" w:name="_Toc1320283915"/>
      <w:r w:rsidRPr="3DC95B7A">
        <w:rPr>
          <w:b/>
          <w:bCs/>
          <w:color w:val="auto"/>
        </w:rPr>
        <w:t>References</w:t>
      </w:r>
      <w:bookmarkEnd w:id="24"/>
    </w:p>
    <w:p w14:paraId="76B1592D" w14:textId="77777777" w:rsidR="003C6F90" w:rsidRPr="003C6F90" w:rsidRDefault="003C6F90" w:rsidP="003C6F90"/>
    <w:p w14:paraId="6DA1833A" w14:textId="40D09D39"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Ansoff, H.I. (1957) ‘Strategies for Diversification’, </w:t>
      </w:r>
      <w:r w:rsidRPr="3BCDA229">
        <w:rPr>
          <w:rStyle w:val="s2"/>
          <w:rFonts w:ascii="Arial" w:eastAsia="Arial" w:hAnsi="Arial" w:cs="Arial"/>
          <w:sz w:val="22"/>
          <w:szCs w:val="22"/>
        </w:rPr>
        <w:t>Harvard Business Review</w:t>
      </w:r>
      <w:r w:rsidRPr="3BCDA229">
        <w:rPr>
          <w:rStyle w:val="s1"/>
          <w:rFonts w:ascii="Arial" w:eastAsia="Arial" w:hAnsi="Arial" w:cs="Arial"/>
          <w:sz w:val="22"/>
          <w:szCs w:val="22"/>
        </w:rPr>
        <w:t>, 35(5), pp. 113–124.</w:t>
      </w:r>
    </w:p>
    <w:p w14:paraId="38BFB770" w14:textId="2B66DFD4"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Barney, J.B. (1991) ‘Firm resources and sustained competitive advantage’, </w:t>
      </w:r>
      <w:r w:rsidRPr="3BCDA229">
        <w:rPr>
          <w:rStyle w:val="s2"/>
          <w:rFonts w:ascii="Arial" w:eastAsia="Arial" w:hAnsi="Arial" w:cs="Arial"/>
          <w:sz w:val="22"/>
          <w:szCs w:val="22"/>
        </w:rPr>
        <w:t>Journal of Management</w:t>
      </w:r>
      <w:r w:rsidRPr="3BCDA229">
        <w:rPr>
          <w:rStyle w:val="s1"/>
          <w:rFonts w:ascii="Arial" w:eastAsia="Arial" w:hAnsi="Arial" w:cs="Arial"/>
          <w:sz w:val="22"/>
          <w:szCs w:val="22"/>
        </w:rPr>
        <w:t>, 17(1), pp. 99–120.</w:t>
      </w:r>
    </w:p>
    <w:p w14:paraId="79091E73" w14:textId="0D261865"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Coca-Cola Company (2024) </w:t>
      </w:r>
      <w:r w:rsidRPr="3BCDA229">
        <w:rPr>
          <w:rStyle w:val="s2"/>
          <w:rFonts w:ascii="Arial" w:eastAsia="Arial" w:hAnsi="Arial" w:cs="Arial"/>
          <w:sz w:val="22"/>
          <w:szCs w:val="22"/>
        </w:rPr>
        <w:t>The Coca-Cola Company Annual Report 2024</w:t>
      </w:r>
      <w:r w:rsidRPr="3BCDA229">
        <w:rPr>
          <w:rStyle w:val="s1"/>
          <w:rFonts w:ascii="Arial" w:eastAsia="Arial" w:hAnsi="Arial" w:cs="Arial"/>
          <w:sz w:val="22"/>
          <w:szCs w:val="22"/>
        </w:rPr>
        <w:t>. Available at: https://www.coca-colacompany.com</w:t>
      </w:r>
    </w:p>
    <w:p w14:paraId="163E975E" w14:textId="48686FE5"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Euromonitor (2023) </w:t>
      </w:r>
      <w:r w:rsidRPr="3BCDA229">
        <w:rPr>
          <w:rStyle w:val="s2"/>
          <w:rFonts w:ascii="Arial" w:eastAsia="Arial" w:hAnsi="Arial" w:cs="Arial"/>
          <w:sz w:val="22"/>
          <w:szCs w:val="22"/>
        </w:rPr>
        <w:t>Global Functional Beverage Market Report</w:t>
      </w:r>
      <w:r w:rsidRPr="3BCDA229">
        <w:rPr>
          <w:rStyle w:val="s1"/>
          <w:rFonts w:ascii="Arial" w:eastAsia="Arial" w:hAnsi="Arial" w:cs="Arial"/>
          <w:sz w:val="22"/>
          <w:szCs w:val="22"/>
        </w:rPr>
        <w:t>. London: Euromonitor International.</w:t>
      </w:r>
    </w:p>
    <w:p w14:paraId="467FFB54" w14:textId="76B85D8A"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European Commission (2023) </w:t>
      </w:r>
      <w:r w:rsidRPr="3BCDA229">
        <w:rPr>
          <w:rStyle w:val="s2"/>
          <w:rFonts w:ascii="Arial" w:eastAsia="Arial" w:hAnsi="Arial" w:cs="Arial"/>
          <w:sz w:val="22"/>
          <w:szCs w:val="22"/>
        </w:rPr>
        <w:t>EU Food and Beverage Industry Market Overview</w:t>
      </w:r>
      <w:r w:rsidRPr="3BCDA229">
        <w:rPr>
          <w:rStyle w:val="s1"/>
          <w:rFonts w:ascii="Arial" w:eastAsia="Arial" w:hAnsi="Arial" w:cs="Arial"/>
          <w:sz w:val="22"/>
          <w:szCs w:val="22"/>
        </w:rPr>
        <w:t>. Available at: https://ec.europa.eu</w:t>
      </w:r>
    </w:p>
    <w:p w14:paraId="5402CBE8" w14:textId="28362AF2"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Freeman, R.E. (1984) </w:t>
      </w:r>
      <w:r w:rsidRPr="3BCDA229">
        <w:rPr>
          <w:rStyle w:val="s2"/>
          <w:rFonts w:ascii="Arial" w:eastAsia="Arial" w:hAnsi="Arial" w:cs="Arial"/>
          <w:sz w:val="22"/>
          <w:szCs w:val="22"/>
        </w:rPr>
        <w:t>Strategic Management: A Stakeholder Approach</w:t>
      </w:r>
      <w:r w:rsidRPr="3BCDA229">
        <w:rPr>
          <w:rStyle w:val="s1"/>
          <w:rFonts w:ascii="Arial" w:eastAsia="Arial" w:hAnsi="Arial" w:cs="Arial"/>
          <w:sz w:val="22"/>
          <w:szCs w:val="22"/>
        </w:rPr>
        <w:t>. Boston: Pitman.</w:t>
      </w:r>
    </w:p>
    <w:p w14:paraId="066C90C0" w14:textId="19184845"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Grant, R.M. (2022) </w:t>
      </w:r>
      <w:r w:rsidRPr="3BCDA229">
        <w:rPr>
          <w:rStyle w:val="s2"/>
          <w:rFonts w:ascii="Arial" w:eastAsia="Arial" w:hAnsi="Arial" w:cs="Arial"/>
          <w:sz w:val="22"/>
          <w:szCs w:val="22"/>
        </w:rPr>
        <w:t>Contemporary Strategy Analysis</w:t>
      </w:r>
      <w:r w:rsidRPr="3BCDA229">
        <w:rPr>
          <w:rStyle w:val="s1"/>
          <w:rFonts w:ascii="Arial" w:eastAsia="Arial" w:hAnsi="Arial" w:cs="Arial"/>
          <w:sz w:val="22"/>
          <w:szCs w:val="22"/>
        </w:rPr>
        <w:t>. 11th edn. Hoboken, NJ: Wiley.</w:t>
      </w:r>
    </w:p>
    <w:p w14:paraId="42648AD9" w14:textId="6AF56F68"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HM Government (2023) </w:t>
      </w:r>
      <w:r w:rsidRPr="3BCDA229">
        <w:rPr>
          <w:rStyle w:val="s2"/>
          <w:rFonts w:ascii="Arial" w:eastAsia="Arial" w:hAnsi="Arial" w:cs="Arial"/>
          <w:sz w:val="22"/>
          <w:szCs w:val="22"/>
        </w:rPr>
        <w:t>Soft Drinks Industry Levy Guidance</w:t>
      </w:r>
      <w:r w:rsidRPr="3BCDA229">
        <w:rPr>
          <w:rStyle w:val="s1"/>
          <w:rFonts w:ascii="Arial" w:eastAsia="Arial" w:hAnsi="Arial" w:cs="Arial"/>
          <w:sz w:val="22"/>
          <w:szCs w:val="22"/>
        </w:rPr>
        <w:t>. Available at: https://www.gov.uk</w:t>
      </w:r>
    </w:p>
    <w:p w14:paraId="04E9F4DF" w14:textId="0035A7F3"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Innocent Drinks (2023) </w:t>
      </w:r>
      <w:r w:rsidRPr="3BCDA229">
        <w:rPr>
          <w:rStyle w:val="s2"/>
          <w:rFonts w:ascii="Arial" w:eastAsia="Arial" w:hAnsi="Arial" w:cs="Arial"/>
          <w:sz w:val="22"/>
          <w:szCs w:val="22"/>
        </w:rPr>
        <w:t>Doing Good Stuff Annual Report</w:t>
      </w:r>
      <w:r w:rsidRPr="3BCDA229">
        <w:rPr>
          <w:rStyle w:val="s1"/>
          <w:rFonts w:ascii="Arial" w:eastAsia="Arial" w:hAnsi="Arial" w:cs="Arial"/>
          <w:sz w:val="22"/>
          <w:szCs w:val="22"/>
        </w:rPr>
        <w:t>. Available at: https://www.innocentdrinks.co.uk</w:t>
      </w:r>
    </w:p>
    <w:p w14:paraId="733791F1" w14:textId="5847FE41"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Innocent Drinks (2024) </w:t>
      </w:r>
      <w:r w:rsidRPr="3BCDA229">
        <w:rPr>
          <w:rStyle w:val="s2"/>
          <w:rFonts w:ascii="Arial" w:eastAsia="Arial" w:hAnsi="Arial" w:cs="Arial"/>
          <w:sz w:val="22"/>
          <w:szCs w:val="22"/>
        </w:rPr>
        <w:t>Annual Impact Report</w:t>
      </w:r>
      <w:r w:rsidRPr="3BCDA229">
        <w:rPr>
          <w:rStyle w:val="s1"/>
          <w:rFonts w:ascii="Arial" w:eastAsia="Arial" w:hAnsi="Arial" w:cs="Arial"/>
          <w:sz w:val="22"/>
          <w:szCs w:val="22"/>
        </w:rPr>
        <w:t>. Available at: https://www.innocentdrinks.co.uk</w:t>
      </w:r>
    </w:p>
    <w:p w14:paraId="720E5F15" w14:textId="459C1369"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Johnson, G., Scholes, K. and Whittington, R. (2020) </w:t>
      </w:r>
      <w:r w:rsidRPr="3BCDA229">
        <w:rPr>
          <w:rStyle w:val="s2"/>
          <w:rFonts w:ascii="Arial" w:eastAsia="Arial" w:hAnsi="Arial" w:cs="Arial"/>
          <w:sz w:val="22"/>
          <w:szCs w:val="22"/>
        </w:rPr>
        <w:t>Exploring Strategy</w:t>
      </w:r>
      <w:r w:rsidRPr="3BCDA229">
        <w:rPr>
          <w:rStyle w:val="s1"/>
          <w:rFonts w:ascii="Arial" w:eastAsia="Arial" w:hAnsi="Arial" w:cs="Arial"/>
          <w:sz w:val="22"/>
          <w:szCs w:val="22"/>
        </w:rPr>
        <w:t>. 12th edn. Harlow: Pearson.</w:t>
      </w:r>
    </w:p>
    <w:p w14:paraId="5D39447A" w14:textId="4EE6D65D"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Kotler, P. and Keller, K.L. (2016) </w:t>
      </w:r>
      <w:r w:rsidRPr="3BCDA229">
        <w:rPr>
          <w:rStyle w:val="s2"/>
          <w:rFonts w:ascii="Arial" w:eastAsia="Arial" w:hAnsi="Arial" w:cs="Arial"/>
          <w:sz w:val="22"/>
          <w:szCs w:val="22"/>
        </w:rPr>
        <w:t>Marketing Management</w:t>
      </w:r>
      <w:r w:rsidRPr="3BCDA229">
        <w:rPr>
          <w:rStyle w:val="s1"/>
          <w:rFonts w:ascii="Arial" w:eastAsia="Arial" w:hAnsi="Arial" w:cs="Arial"/>
          <w:sz w:val="22"/>
          <w:szCs w:val="22"/>
        </w:rPr>
        <w:t>. 15th edn. Harlow: Pearson.</w:t>
      </w:r>
    </w:p>
    <w:p w14:paraId="4A1FCE7D" w14:textId="28AF3B94"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Mintel (2023) </w:t>
      </w:r>
      <w:r w:rsidRPr="3BCDA229">
        <w:rPr>
          <w:rStyle w:val="s2"/>
          <w:rFonts w:ascii="Arial" w:eastAsia="Arial" w:hAnsi="Arial" w:cs="Arial"/>
          <w:sz w:val="22"/>
          <w:szCs w:val="22"/>
        </w:rPr>
        <w:t>UK Healthy Drinks Market Report</w:t>
      </w:r>
      <w:r w:rsidRPr="3BCDA229">
        <w:rPr>
          <w:rStyle w:val="s1"/>
          <w:rFonts w:ascii="Arial" w:eastAsia="Arial" w:hAnsi="Arial" w:cs="Arial"/>
          <w:sz w:val="22"/>
          <w:szCs w:val="22"/>
        </w:rPr>
        <w:t>. London: Mintel Group Ltd.</w:t>
      </w:r>
    </w:p>
    <w:p w14:paraId="05660BCE" w14:textId="264AE835"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Porter, M.E. (1985) </w:t>
      </w:r>
      <w:r w:rsidRPr="3BCDA229">
        <w:rPr>
          <w:rStyle w:val="s2"/>
          <w:rFonts w:ascii="Arial" w:eastAsia="Arial" w:hAnsi="Arial" w:cs="Arial"/>
          <w:sz w:val="22"/>
          <w:szCs w:val="22"/>
        </w:rPr>
        <w:t>Competitive Advantage: Creating and Sustaining Superior Performance</w:t>
      </w:r>
      <w:r w:rsidRPr="3BCDA229">
        <w:rPr>
          <w:rStyle w:val="s1"/>
          <w:rFonts w:ascii="Arial" w:eastAsia="Arial" w:hAnsi="Arial" w:cs="Arial"/>
          <w:sz w:val="22"/>
          <w:szCs w:val="22"/>
        </w:rPr>
        <w:t>. New York: Free Press.</w:t>
      </w:r>
    </w:p>
    <w:p w14:paraId="3B0CEDC5" w14:textId="041DBC96"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Porter, M.E. (2008) ‘The five competitive forces that shape strategy’, </w:t>
      </w:r>
      <w:r w:rsidRPr="3BCDA229">
        <w:rPr>
          <w:rStyle w:val="s2"/>
          <w:rFonts w:ascii="Arial" w:eastAsia="Arial" w:hAnsi="Arial" w:cs="Arial"/>
          <w:sz w:val="22"/>
          <w:szCs w:val="22"/>
        </w:rPr>
        <w:t>Harvard Business Review</w:t>
      </w:r>
      <w:r w:rsidRPr="3BCDA229">
        <w:rPr>
          <w:rStyle w:val="s1"/>
          <w:rFonts w:ascii="Arial" w:eastAsia="Arial" w:hAnsi="Arial" w:cs="Arial"/>
          <w:sz w:val="22"/>
          <w:szCs w:val="22"/>
        </w:rPr>
        <w:t>, 86(1), pp. 78–93.</w:t>
      </w:r>
    </w:p>
    <w:p w14:paraId="7B33680F" w14:textId="246BDFC0"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Statista (2024) </w:t>
      </w:r>
      <w:r w:rsidRPr="3BCDA229">
        <w:rPr>
          <w:rStyle w:val="s2"/>
          <w:rFonts w:ascii="Arial" w:eastAsia="Arial" w:hAnsi="Arial" w:cs="Arial"/>
          <w:sz w:val="22"/>
          <w:szCs w:val="22"/>
        </w:rPr>
        <w:t>Global Functional Beverage Market Statistics</w:t>
      </w:r>
      <w:r w:rsidRPr="3BCDA229">
        <w:rPr>
          <w:rStyle w:val="s1"/>
          <w:rFonts w:ascii="Arial" w:eastAsia="Arial" w:hAnsi="Arial" w:cs="Arial"/>
          <w:sz w:val="22"/>
          <w:szCs w:val="22"/>
        </w:rPr>
        <w:t>. Available at: https://www.statista.com</w:t>
      </w:r>
    </w:p>
    <w:p w14:paraId="7E2BFCDC" w14:textId="77777777" w:rsidR="003C6F90" w:rsidRDefault="003C6F90" w:rsidP="3BCDA229">
      <w:pPr>
        <w:pStyle w:val="p1"/>
        <w:numPr>
          <w:ilvl w:val="0"/>
          <w:numId w:val="1"/>
        </w:numPr>
        <w:spacing w:line="360" w:lineRule="auto"/>
        <w:rPr>
          <w:rStyle w:val="s1"/>
          <w:rFonts w:ascii="Arial" w:eastAsia="Arial" w:hAnsi="Arial" w:cs="Arial"/>
          <w:sz w:val="22"/>
          <w:szCs w:val="22"/>
        </w:rPr>
      </w:pPr>
      <w:r w:rsidRPr="3BCDA229">
        <w:rPr>
          <w:rStyle w:val="s1"/>
          <w:rFonts w:ascii="Arial" w:eastAsia="Arial" w:hAnsi="Arial" w:cs="Arial"/>
          <w:sz w:val="22"/>
          <w:szCs w:val="22"/>
        </w:rPr>
        <w:t xml:space="preserve">Whittington, R., Angwin, D., Regnér, P., Johnson, G. and Scholes, K. (2019) </w:t>
      </w:r>
      <w:r w:rsidRPr="3BCDA229">
        <w:rPr>
          <w:rStyle w:val="s2"/>
          <w:rFonts w:ascii="Arial" w:eastAsia="Arial" w:hAnsi="Arial" w:cs="Arial"/>
          <w:sz w:val="22"/>
          <w:szCs w:val="22"/>
        </w:rPr>
        <w:t>Exploring Strategy Text and Cases</w:t>
      </w:r>
      <w:r w:rsidRPr="3BCDA229">
        <w:rPr>
          <w:rStyle w:val="s1"/>
          <w:rFonts w:ascii="Arial" w:eastAsia="Arial" w:hAnsi="Arial" w:cs="Arial"/>
          <w:sz w:val="22"/>
          <w:szCs w:val="22"/>
        </w:rPr>
        <w:t>. 12th edn. Harlow: Pearson.</w:t>
      </w:r>
    </w:p>
    <w:p w14:paraId="3292BD2D" w14:textId="77777777" w:rsidR="00DE104B" w:rsidRPr="00F81E84" w:rsidRDefault="00DE104B" w:rsidP="0C2D6D4F">
      <w:pPr>
        <w:spacing w:line="360" w:lineRule="auto"/>
        <w:rPr>
          <w:rFonts w:ascii="Arial" w:eastAsia="Arial" w:hAnsi="Arial" w:cs="Arial"/>
          <w:sz w:val="22"/>
          <w:szCs w:val="22"/>
        </w:rPr>
      </w:pPr>
    </w:p>
    <w:sectPr w:rsidR="00DE104B" w:rsidRPr="00F81E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I98HFB1a9ucVr" int2:id="2HLEkSA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6914E"/>
    <w:multiLevelType w:val="hybridMultilevel"/>
    <w:tmpl w:val="FFFFFFFF"/>
    <w:lvl w:ilvl="0" w:tplc="B302C340">
      <w:start w:val="1"/>
      <w:numFmt w:val="bullet"/>
      <w:lvlText w:val="-"/>
      <w:lvlJc w:val="left"/>
      <w:pPr>
        <w:ind w:left="720" w:hanging="360"/>
      </w:pPr>
      <w:rPr>
        <w:rFonts w:ascii="Aptos" w:hAnsi="Aptos" w:hint="default"/>
      </w:rPr>
    </w:lvl>
    <w:lvl w:ilvl="1" w:tplc="2B0CC922">
      <w:start w:val="1"/>
      <w:numFmt w:val="bullet"/>
      <w:lvlText w:val="o"/>
      <w:lvlJc w:val="left"/>
      <w:pPr>
        <w:ind w:left="1440" w:hanging="360"/>
      </w:pPr>
      <w:rPr>
        <w:rFonts w:ascii="Courier New" w:hAnsi="Courier New" w:hint="default"/>
      </w:rPr>
    </w:lvl>
    <w:lvl w:ilvl="2" w:tplc="C3761B04">
      <w:start w:val="1"/>
      <w:numFmt w:val="bullet"/>
      <w:lvlText w:val=""/>
      <w:lvlJc w:val="left"/>
      <w:pPr>
        <w:ind w:left="2160" w:hanging="360"/>
      </w:pPr>
      <w:rPr>
        <w:rFonts w:ascii="Wingdings" w:hAnsi="Wingdings" w:hint="default"/>
      </w:rPr>
    </w:lvl>
    <w:lvl w:ilvl="3" w:tplc="B21A22B0">
      <w:start w:val="1"/>
      <w:numFmt w:val="bullet"/>
      <w:lvlText w:val=""/>
      <w:lvlJc w:val="left"/>
      <w:pPr>
        <w:ind w:left="2880" w:hanging="360"/>
      </w:pPr>
      <w:rPr>
        <w:rFonts w:ascii="Symbol" w:hAnsi="Symbol" w:hint="default"/>
      </w:rPr>
    </w:lvl>
    <w:lvl w:ilvl="4" w:tplc="FF8E7C90">
      <w:start w:val="1"/>
      <w:numFmt w:val="bullet"/>
      <w:lvlText w:val="o"/>
      <w:lvlJc w:val="left"/>
      <w:pPr>
        <w:ind w:left="3600" w:hanging="360"/>
      </w:pPr>
      <w:rPr>
        <w:rFonts w:ascii="Courier New" w:hAnsi="Courier New" w:hint="default"/>
      </w:rPr>
    </w:lvl>
    <w:lvl w:ilvl="5" w:tplc="04023A88">
      <w:start w:val="1"/>
      <w:numFmt w:val="bullet"/>
      <w:lvlText w:val=""/>
      <w:lvlJc w:val="left"/>
      <w:pPr>
        <w:ind w:left="4320" w:hanging="360"/>
      </w:pPr>
      <w:rPr>
        <w:rFonts w:ascii="Wingdings" w:hAnsi="Wingdings" w:hint="default"/>
      </w:rPr>
    </w:lvl>
    <w:lvl w:ilvl="6" w:tplc="DDC2E4F6">
      <w:start w:val="1"/>
      <w:numFmt w:val="bullet"/>
      <w:lvlText w:val=""/>
      <w:lvlJc w:val="left"/>
      <w:pPr>
        <w:ind w:left="5040" w:hanging="360"/>
      </w:pPr>
      <w:rPr>
        <w:rFonts w:ascii="Symbol" w:hAnsi="Symbol" w:hint="default"/>
      </w:rPr>
    </w:lvl>
    <w:lvl w:ilvl="7" w:tplc="63C4C74A">
      <w:start w:val="1"/>
      <w:numFmt w:val="bullet"/>
      <w:lvlText w:val="o"/>
      <w:lvlJc w:val="left"/>
      <w:pPr>
        <w:ind w:left="5760" w:hanging="360"/>
      </w:pPr>
      <w:rPr>
        <w:rFonts w:ascii="Courier New" w:hAnsi="Courier New" w:hint="default"/>
      </w:rPr>
    </w:lvl>
    <w:lvl w:ilvl="8" w:tplc="1A74504C">
      <w:start w:val="1"/>
      <w:numFmt w:val="bullet"/>
      <w:lvlText w:val=""/>
      <w:lvlJc w:val="left"/>
      <w:pPr>
        <w:ind w:left="6480" w:hanging="360"/>
      </w:pPr>
      <w:rPr>
        <w:rFonts w:ascii="Wingdings" w:hAnsi="Wingdings" w:hint="default"/>
      </w:rPr>
    </w:lvl>
  </w:abstractNum>
  <w:abstractNum w:abstractNumId="1" w15:restartNumberingAfterBreak="0">
    <w:nsid w:val="193E6A5D"/>
    <w:multiLevelType w:val="hybridMultilevel"/>
    <w:tmpl w:val="FFFFFFFF"/>
    <w:lvl w:ilvl="0" w:tplc="D8C6BB1A">
      <w:start w:val="1"/>
      <w:numFmt w:val="bullet"/>
      <w:lvlText w:val="-"/>
      <w:lvlJc w:val="left"/>
      <w:pPr>
        <w:ind w:left="720" w:hanging="360"/>
      </w:pPr>
      <w:rPr>
        <w:rFonts w:ascii="Aptos" w:hAnsi="Aptos" w:hint="default"/>
      </w:rPr>
    </w:lvl>
    <w:lvl w:ilvl="1" w:tplc="4C305B5A">
      <w:start w:val="1"/>
      <w:numFmt w:val="bullet"/>
      <w:lvlText w:val="o"/>
      <w:lvlJc w:val="left"/>
      <w:pPr>
        <w:ind w:left="1440" w:hanging="360"/>
      </w:pPr>
      <w:rPr>
        <w:rFonts w:ascii="Courier New" w:hAnsi="Courier New" w:hint="default"/>
      </w:rPr>
    </w:lvl>
    <w:lvl w:ilvl="2" w:tplc="011275BE">
      <w:start w:val="1"/>
      <w:numFmt w:val="bullet"/>
      <w:lvlText w:val=""/>
      <w:lvlJc w:val="left"/>
      <w:pPr>
        <w:ind w:left="2160" w:hanging="360"/>
      </w:pPr>
      <w:rPr>
        <w:rFonts w:ascii="Wingdings" w:hAnsi="Wingdings" w:hint="default"/>
      </w:rPr>
    </w:lvl>
    <w:lvl w:ilvl="3" w:tplc="9EF25648">
      <w:start w:val="1"/>
      <w:numFmt w:val="bullet"/>
      <w:lvlText w:val=""/>
      <w:lvlJc w:val="left"/>
      <w:pPr>
        <w:ind w:left="2880" w:hanging="360"/>
      </w:pPr>
      <w:rPr>
        <w:rFonts w:ascii="Symbol" w:hAnsi="Symbol" w:hint="default"/>
      </w:rPr>
    </w:lvl>
    <w:lvl w:ilvl="4" w:tplc="9E6C318E">
      <w:start w:val="1"/>
      <w:numFmt w:val="bullet"/>
      <w:lvlText w:val="o"/>
      <w:lvlJc w:val="left"/>
      <w:pPr>
        <w:ind w:left="3600" w:hanging="360"/>
      </w:pPr>
      <w:rPr>
        <w:rFonts w:ascii="Courier New" w:hAnsi="Courier New" w:hint="default"/>
      </w:rPr>
    </w:lvl>
    <w:lvl w:ilvl="5" w:tplc="7D78FE3E">
      <w:start w:val="1"/>
      <w:numFmt w:val="bullet"/>
      <w:lvlText w:val=""/>
      <w:lvlJc w:val="left"/>
      <w:pPr>
        <w:ind w:left="4320" w:hanging="360"/>
      </w:pPr>
      <w:rPr>
        <w:rFonts w:ascii="Wingdings" w:hAnsi="Wingdings" w:hint="default"/>
      </w:rPr>
    </w:lvl>
    <w:lvl w:ilvl="6" w:tplc="4F18A150">
      <w:start w:val="1"/>
      <w:numFmt w:val="bullet"/>
      <w:lvlText w:val=""/>
      <w:lvlJc w:val="left"/>
      <w:pPr>
        <w:ind w:left="5040" w:hanging="360"/>
      </w:pPr>
      <w:rPr>
        <w:rFonts w:ascii="Symbol" w:hAnsi="Symbol" w:hint="default"/>
      </w:rPr>
    </w:lvl>
    <w:lvl w:ilvl="7" w:tplc="1734AD22">
      <w:start w:val="1"/>
      <w:numFmt w:val="bullet"/>
      <w:lvlText w:val="o"/>
      <w:lvlJc w:val="left"/>
      <w:pPr>
        <w:ind w:left="5760" w:hanging="360"/>
      </w:pPr>
      <w:rPr>
        <w:rFonts w:ascii="Courier New" w:hAnsi="Courier New" w:hint="default"/>
      </w:rPr>
    </w:lvl>
    <w:lvl w:ilvl="8" w:tplc="9B50C100">
      <w:start w:val="1"/>
      <w:numFmt w:val="bullet"/>
      <w:lvlText w:val=""/>
      <w:lvlJc w:val="left"/>
      <w:pPr>
        <w:ind w:left="6480" w:hanging="360"/>
      </w:pPr>
      <w:rPr>
        <w:rFonts w:ascii="Wingdings" w:hAnsi="Wingdings" w:hint="default"/>
      </w:rPr>
    </w:lvl>
  </w:abstractNum>
  <w:abstractNum w:abstractNumId="2" w15:restartNumberingAfterBreak="0">
    <w:nsid w:val="213AE846"/>
    <w:multiLevelType w:val="hybridMultilevel"/>
    <w:tmpl w:val="FFFFFFFF"/>
    <w:lvl w:ilvl="0" w:tplc="1F54593C">
      <w:start w:val="1"/>
      <w:numFmt w:val="bullet"/>
      <w:lvlText w:val="-"/>
      <w:lvlJc w:val="left"/>
      <w:pPr>
        <w:ind w:left="720" w:hanging="360"/>
      </w:pPr>
      <w:rPr>
        <w:rFonts w:ascii="Aptos" w:hAnsi="Aptos" w:hint="default"/>
      </w:rPr>
    </w:lvl>
    <w:lvl w:ilvl="1" w:tplc="BA26E938">
      <w:start w:val="1"/>
      <w:numFmt w:val="bullet"/>
      <w:lvlText w:val="o"/>
      <w:lvlJc w:val="left"/>
      <w:pPr>
        <w:ind w:left="1440" w:hanging="360"/>
      </w:pPr>
      <w:rPr>
        <w:rFonts w:ascii="Courier New" w:hAnsi="Courier New" w:hint="default"/>
      </w:rPr>
    </w:lvl>
    <w:lvl w:ilvl="2" w:tplc="90B4F6AC">
      <w:start w:val="1"/>
      <w:numFmt w:val="bullet"/>
      <w:lvlText w:val=""/>
      <w:lvlJc w:val="left"/>
      <w:pPr>
        <w:ind w:left="2160" w:hanging="360"/>
      </w:pPr>
      <w:rPr>
        <w:rFonts w:ascii="Wingdings" w:hAnsi="Wingdings" w:hint="default"/>
      </w:rPr>
    </w:lvl>
    <w:lvl w:ilvl="3" w:tplc="B8E819EC">
      <w:start w:val="1"/>
      <w:numFmt w:val="bullet"/>
      <w:lvlText w:val=""/>
      <w:lvlJc w:val="left"/>
      <w:pPr>
        <w:ind w:left="2880" w:hanging="360"/>
      </w:pPr>
      <w:rPr>
        <w:rFonts w:ascii="Symbol" w:hAnsi="Symbol" w:hint="default"/>
      </w:rPr>
    </w:lvl>
    <w:lvl w:ilvl="4" w:tplc="B72E10A2">
      <w:start w:val="1"/>
      <w:numFmt w:val="bullet"/>
      <w:lvlText w:val="o"/>
      <w:lvlJc w:val="left"/>
      <w:pPr>
        <w:ind w:left="3600" w:hanging="360"/>
      </w:pPr>
      <w:rPr>
        <w:rFonts w:ascii="Courier New" w:hAnsi="Courier New" w:hint="default"/>
      </w:rPr>
    </w:lvl>
    <w:lvl w:ilvl="5" w:tplc="8A22B2BE">
      <w:start w:val="1"/>
      <w:numFmt w:val="bullet"/>
      <w:lvlText w:val=""/>
      <w:lvlJc w:val="left"/>
      <w:pPr>
        <w:ind w:left="4320" w:hanging="360"/>
      </w:pPr>
      <w:rPr>
        <w:rFonts w:ascii="Wingdings" w:hAnsi="Wingdings" w:hint="default"/>
      </w:rPr>
    </w:lvl>
    <w:lvl w:ilvl="6" w:tplc="CA723342">
      <w:start w:val="1"/>
      <w:numFmt w:val="bullet"/>
      <w:lvlText w:val=""/>
      <w:lvlJc w:val="left"/>
      <w:pPr>
        <w:ind w:left="5040" w:hanging="360"/>
      </w:pPr>
      <w:rPr>
        <w:rFonts w:ascii="Symbol" w:hAnsi="Symbol" w:hint="default"/>
      </w:rPr>
    </w:lvl>
    <w:lvl w:ilvl="7" w:tplc="C114A526">
      <w:start w:val="1"/>
      <w:numFmt w:val="bullet"/>
      <w:lvlText w:val="o"/>
      <w:lvlJc w:val="left"/>
      <w:pPr>
        <w:ind w:left="5760" w:hanging="360"/>
      </w:pPr>
      <w:rPr>
        <w:rFonts w:ascii="Courier New" w:hAnsi="Courier New" w:hint="default"/>
      </w:rPr>
    </w:lvl>
    <w:lvl w:ilvl="8" w:tplc="34DEB6CC">
      <w:start w:val="1"/>
      <w:numFmt w:val="bullet"/>
      <w:lvlText w:val=""/>
      <w:lvlJc w:val="left"/>
      <w:pPr>
        <w:ind w:left="6480" w:hanging="360"/>
      </w:pPr>
      <w:rPr>
        <w:rFonts w:ascii="Wingdings" w:hAnsi="Wingdings" w:hint="default"/>
      </w:rPr>
    </w:lvl>
  </w:abstractNum>
  <w:abstractNum w:abstractNumId="3" w15:restartNumberingAfterBreak="0">
    <w:nsid w:val="28C9C0C7"/>
    <w:multiLevelType w:val="hybridMultilevel"/>
    <w:tmpl w:val="FFFFFFFF"/>
    <w:lvl w:ilvl="0" w:tplc="738080C2">
      <w:start w:val="1"/>
      <w:numFmt w:val="bullet"/>
      <w:lvlText w:val="-"/>
      <w:lvlJc w:val="left"/>
      <w:pPr>
        <w:ind w:left="720" w:hanging="360"/>
      </w:pPr>
      <w:rPr>
        <w:rFonts w:ascii="Aptos" w:hAnsi="Aptos" w:hint="default"/>
      </w:rPr>
    </w:lvl>
    <w:lvl w:ilvl="1" w:tplc="04769F4C">
      <w:start w:val="1"/>
      <w:numFmt w:val="bullet"/>
      <w:lvlText w:val="o"/>
      <w:lvlJc w:val="left"/>
      <w:pPr>
        <w:ind w:left="1440" w:hanging="360"/>
      </w:pPr>
      <w:rPr>
        <w:rFonts w:ascii="Courier New" w:hAnsi="Courier New" w:hint="default"/>
      </w:rPr>
    </w:lvl>
    <w:lvl w:ilvl="2" w:tplc="A1E0AFA6">
      <w:start w:val="1"/>
      <w:numFmt w:val="bullet"/>
      <w:lvlText w:val=""/>
      <w:lvlJc w:val="left"/>
      <w:pPr>
        <w:ind w:left="2160" w:hanging="360"/>
      </w:pPr>
      <w:rPr>
        <w:rFonts w:ascii="Wingdings" w:hAnsi="Wingdings" w:hint="default"/>
      </w:rPr>
    </w:lvl>
    <w:lvl w:ilvl="3" w:tplc="1720AE7E">
      <w:start w:val="1"/>
      <w:numFmt w:val="bullet"/>
      <w:lvlText w:val=""/>
      <w:lvlJc w:val="left"/>
      <w:pPr>
        <w:ind w:left="2880" w:hanging="360"/>
      </w:pPr>
      <w:rPr>
        <w:rFonts w:ascii="Symbol" w:hAnsi="Symbol" w:hint="default"/>
      </w:rPr>
    </w:lvl>
    <w:lvl w:ilvl="4" w:tplc="A5BA6626">
      <w:start w:val="1"/>
      <w:numFmt w:val="bullet"/>
      <w:lvlText w:val="o"/>
      <w:lvlJc w:val="left"/>
      <w:pPr>
        <w:ind w:left="3600" w:hanging="360"/>
      </w:pPr>
      <w:rPr>
        <w:rFonts w:ascii="Courier New" w:hAnsi="Courier New" w:hint="default"/>
      </w:rPr>
    </w:lvl>
    <w:lvl w:ilvl="5" w:tplc="2798606C">
      <w:start w:val="1"/>
      <w:numFmt w:val="bullet"/>
      <w:lvlText w:val=""/>
      <w:lvlJc w:val="left"/>
      <w:pPr>
        <w:ind w:left="4320" w:hanging="360"/>
      </w:pPr>
      <w:rPr>
        <w:rFonts w:ascii="Wingdings" w:hAnsi="Wingdings" w:hint="default"/>
      </w:rPr>
    </w:lvl>
    <w:lvl w:ilvl="6" w:tplc="80722E26">
      <w:start w:val="1"/>
      <w:numFmt w:val="bullet"/>
      <w:lvlText w:val=""/>
      <w:lvlJc w:val="left"/>
      <w:pPr>
        <w:ind w:left="5040" w:hanging="360"/>
      </w:pPr>
      <w:rPr>
        <w:rFonts w:ascii="Symbol" w:hAnsi="Symbol" w:hint="default"/>
      </w:rPr>
    </w:lvl>
    <w:lvl w:ilvl="7" w:tplc="EBA6D8FC">
      <w:start w:val="1"/>
      <w:numFmt w:val="bullet"/>
      <w:lvlText w:val="o"/>
      <w:lvlJc w:val="left"/>
      <w:pPr>
        <w:ind w:left="5760" w:hanging="360"/>
      </w:pPr>
      <w:rPr>
        <w:rFonts w:ascii="Courier New" w:hAnsi="Courier New" w:hint="default"/>
      </w:rPr>
    </w:lvl>
    <w:lvl w:ilvl="8" w:tplc="D10693D2">
      <w:start w:val="1"/>
      <w:numFmt w:val="bullet"/>
      <w:lvlText w:val=""/>
      <w:lvlJc w:val="left"/>
      <w:pPr>
        <w:ind w:left="6480" w:hanging="360"/>
      </w:pPr>
      <w:rPr>
        <w:rFonts w:ascii="Wingdings" w:hAnsi="Wingdings" w:hint="default"/>
      </w:rPr>
    </w:lvl>
  </w:abstractNum>
  <w:abstractNum w:abstractNumId="4" w15:restartNumberingAfterBreak="0">
    <w:nsid w:val="2DD63C14"/>
    <w:multiLevelType w:val="hybridMultilevel"/>
    <w:tmpl w:val="FFFFFFFF"/>
    <w:lvl w:ilvl="0" w:tplc="185039A0">
      <w:start w:val="1"/>
      <w:numFmt w:val="bullet"/>
      <w:lvlText w:val="-"/>
      <w:lvlJc w:val="left"/>
      <w:pPr>
        <w:ind w:left="720" w:hanging="360"/>
      </w:pPr>
      <w:rPr>
        <w:rFonts w:ascii="Aptos" w:hAnsi="Aptos" w:hint="default"/>
      </w:rPr>
    </w:lvl>
    <w:lvl w:ilvl="1" w:tplc="39EA3878">
      <w:start w:val="1"/>
      <w:numFmt w:val="bullet"/>
      <w:lvlText w:val="o"/>
      <w:lvlJc w:val="left"/>
      <w:pPr>
        <w:ind w:left="1440" w:hanging="360"/>
      </w:pPr>
      <w:rPr>
        <w:rFonts w:ascii="Courier New" w:hAnsi="Courier New" w:hint="default"/>
      </w:rPr>
    </w:lvl>
    <w:lvl w:ilvl="2" w:tplc="A3D6CA66">
      <w:start w:val="1"/>
      <w:numFmt w:val="bullet"/>
      <w:lvlText w:val=""/>
      <w:lvlJc w:val="left"/>
      <w:pPr>
        <w:ind w:left="2160" w:hanging="360"/>
      </w:pPr>
      <w:rPr>
        <w:rFonts w:ascii="Wingdings" w:hAnsi="Wingdings" w:hint="default"/>
      </w:rPr>
    </w:lvl>
    <w:lvl w:ilvl="3" w:tplc="49524B62">
      <w:start w:val="1"/>
      <w:numFmt w:val="bullet"/>
      <w:lvlText w:val=""/>
      <w:lvlJc w:val="left"/>
      <w:pPr>
        <w:ind w:left="2880" w:hanging="360"/>
      </w:pPr>
      <w:rPr>
        <w:rFonts w:ascii="Symbol" w:hAnsi="Symbol" w:hint="default"/>
      </w:rPr>
    </w:lvl>
    <w:lvl w:ilvl="4" w:tplc="5AE6BE9E">
      <w:start w:val="1"/>
      <w:numFmt w:val="bullet"/>
      <w:lvlText w:val="o"/>
      <w:lvlJc w:val="left"/>
      <w:pPr>
        <w:ind w:left="3600" w:hanging="360"/>
      </w:pPr>
      <w:rPr>
        <w:rFonts w:ascii="Courier New" w:hAnsi="Courier New" w:hint="default"/>
      </w:rPr>
    </w:lvl>
    <w:lvl w:ilvl="5" w:tplc="52C260FA">
      <w:start w:val="1"/>
      <w:numFmt w:val="bullet"/>
      <w:lvlText w:val=""/>
      <w:lvlJc w:val="left"/>
      <w:pPr>
        <w:ind w:left="4320" w:hanging="360"/>
      </w:pPr>
      <w:rPr>
        <w:rFonts w:ascii="Wingdings" w:hAnsi="Wingdings" w:hint="default"/>
      </w:rPr>
    </w:lvl>
    <w:lvl w:ilvl="6" w:tplc="AAC869D2">
      <w:start w:val="1"/>
      <w:numFmt w:val="bullet"/>
      <w:lvlText w:val=""/>
      <w:lvlJc w:val="left"/>
      <w:pPr>
        <w:ind w:left="5040" w:hanging="360"/>
      </w:pPr>
      <w:rPr>
        <w:rFonts w:ascii="Symbol" w:hAnsi="Symbol" w:hint="default"/>
      </w:rPr>
    </w:lvl>
    <w:lvl w:ilvl="7" w:tplc="0DB8D0C0">
      <w:start w:val="1"/>
      <w:numFmt w:val="bullet"/>
      <w:lvlText w:val="o"/>
      <w:lvlJc w:val="left"/>
      <w:pPr>
        <w:ind w:left="5760" w:hanging="360"/>
      </w:pPr>
      <w:rPr>
        <w:rFonts w:ascii="Courier New" w:hAnsi="Courier New" w:hint="default"/>
      </w:rPr>
    </w:lvl>
    <w:lvl w:ilvl="8" w:tplc="D38075F2">
      <w:start w:val="1"/>
      <w:numFmt w:val="bullet"/>
      <w:lvlText w:val=""/>
      <w:lvlJc w:val="left"/>
      <w:pPr>
        <w:ind w:left="6480" w:hanging="360"/>
      </w:pPr>
      <w:rPr>
        <w:rFonts w:ascii="Wingdings" w:hAnsi="Wingdings" w:hint="default"/>
      </w:rPr>
    </w:lvl>
  </w:abstractNum>
  <w:abstractNum w:abstractNumId="5" w15:restartNumberingAfterBreak="0">
    <w:nsid w:val="2E23B11E"/>
    <w:multiLevelType w:val="hybridMultilevel"/>
    <w:tmpl w:val="FFFFFFFF"/>
    <w:lvl w:ilvl="0" w:tplc="552A9D0C">
      <w:start w:val="1"/>
      <w:numFmt w:val="bullet"/>
      <w:lvlText w:val=""/>
      <w:lvlJc w:val="left"/>
      <w:pPr>
        <w:ind w:left="720" w:hanging="360"/>
      </w:pPr>
      <w:rPr>
        <w:rFonts w:ascii="Symbol" w:hAnsi="Symbol" w:hint="default"/>
      </w:rPr>
    </w:lvl>
    <w:lvl w:ilvl="1" w:tplc="6A606B98">
      <w:start w:val="1"/>
      <w:numFmt w:val="bullet"/>
      <w:lvlText w:val="o"/>
      <w:lvlJc w:val="left"/>
      <w:pPr>
        <w:ind w:left="1440" w:hanging="360"/>
      </w:pPr>
      <w:rPr>
        <w:rFonts w:ascii="Courier New" w:hAnsi="Courier New" w:hint="default"/>
      </w:rPr>
    </w:lvl>
    <w:lvl w:ilvl="2" w:tplc="07127BBA">
      <w:start w:val="1"/>
      <w:numFmt w:val="bullet"/>
      <w:lvlText w:val=""/>
      <w:lvlJc w:val="left"/>
      <w:pPr>
        <w:ind w:left="2160" w:hanging="360"/>
      </w:pPr>
      <w:rPr>
        <w:rFonts w:ascii="Wingdings" w:hAnsi="Wingdings" w:hint="default"/>
      </w:rPr>
    </w:lvl>
    <w:lvl w:ilvl="3" w:tplc="30CEAD38">
      <w:start w:val="1"/>
      <w:numFmt w:val="bullet"/>
      <w:lvlText w:val=""/>
      <w:lvlJc w:val="left"/>
      <w:pPr>
        <w:ind w:left="2880" w:hanging="360"/>
      </w:pPr>
      <w:rPr>
        <w:rFonts w:ascii="Symbol" w:hAnsi="Symbol" w:hint="default"/>
      </w:rPr>
    </w:lvl>
    <w:lvl w:ilvl="4" w:tplc="ECB0AA88">
      <w:start w:val="1"/>
      <w:numFmt w:val="bullet"/>
      <w:lvlText w:val="o"/>
      <w:lvlJc w:val="left"/>
      <w:pPr>
        <w:ind w:left="3600" w:hanging="360"/>
      </w:pPr>
      <w:rPr>
        <w:rFonts w:ascii="Courier New" w:hAnsi="Courier New" w:hint="default"/>
      </w:rPr>
    </w:lvl>
    <w:lvl w:ilvl="5" w:tplc="A834420E">
      <w:start w:val="1"/>
      <w:numFmt w:val="bullet"/>
      <w:lvlText w:val=""/>
      <w:lvlJc w:val="left"/>
      <w:pPr>
        <w:ind w:left="4320" w:hanging="360"/>
      </w:pPr>
      <w:rPr>
        <w:rFonts w:ascii="Wingdings" w:hAnsi="Wingdings" w:hint="default"/>
      </w:rPr>
    </w:lvl>
    <w:lvl w:ilvl="6" w:tplc="9FBEDB4A">
      <w:start w:val="1"/>
      <w:numFmt w:val="bullet"/>
      <w:lvlText w:val=""/>
      <w:lvlJc w:val="left"/>
      <w:pPr>
        <w:ind w:left="5040" w:hanging="360"/>
      </w:pPr>
      <w:rPr>
        <w:rFonts w:ascii="Symbol" w:hAnsi="Symbol" w:hint="default"/>
      </w:rPr>
    </w:lvl>
    <w:lvl w:ilvl="7" w:tplc="4AD65980">
      <w:start w:val="1"/>
      <w:numFmt w:val="bullet"/>
      <w:lvlText w:val="o"/>
      <w:lvlJc w:val="left"/>
      <w:pPr>
        <w:ind w:left="5760" w:hanging="360"/>
      </w:pPr>
      <w:rPr>
        <w:rFonts w:ascii="Courier New" w:hAnsi="Courier New" w:hint="default"/>
      </w:rPr>
    </w:lvl>
    <w:lvl w:ilvl="8" w:tplc="EAF6966C">
      <w:start w:val="1"/>
      <w:numFmt w:val="bullet"/>
      <w:lvlText w:val=""/>
      <w:lvlJc w:val="left"/>
      <w:pPr>
        <w:ind w:left="6480" w:hanging="360"/>
      </w:pPr>
      <w:rPr>
        <w:rFonts w:ascii="Wingdings" w:hAnsi="Wingdings" w:hint="default"/>
      </w:rPr>
    </w:lvl>
  </w:abstractNum>
  <w:abstractNum w:abstractNumId="6" w15:restartNumberingAfterBreak="0">
    <w:nsid w:val="313E1CCA"/>
    <w:multiLevelType w:val="hybridMultilevel"/>
    <w:tmpl w:val="FFFFFFFF"/>
    <w:lvl w:ilvl="0" w:tplc="3AB241F0">
      <w:start w:val="1"/>
      <w:numFmt w:val="bullet"/>
      <w:lvlText w:val="-"/>
      <w:lvlJc w:val="left"/>
      <w:pPr>
        <w:ind w:left="720" w:hanging="360"/>
      </w:pPr>
      <w:rPr>
        <w:rFonts w:ascii="Aptos" w:hAnsi="Aptos" w:hint="default"/>
      </w:rPr>
    </w:lvl>
    <w:lvl w:ilvl="1" w:tplc="29ACF1B8">
      <w:start w:val="1"/>
      <w:numFmt w:val="bullet"/>
      <w:lvlText w:val="o"/>
      <w:lvlJc w:val="left"/>
      <w:pPr>
        <w:ind w:left="1440" w:hanging="360"/>
      </w:pPr>
      <w:rPr>
        <w:rFonts w:ascii="Courier New" w:hAnsi="Courier New" w:hint="default"/>
      </w:rPr>
    </w:lvl>
    <w:lvl w:ilvl="2" w:tplc="E1CCDE4E">
      <w:start w:val="1"/>
      <w:numFmt w:val="bullet"/>
      <w:lvlText w:val=""/>
      <w:lvlJc w:val="left"/>
      <w:pPr>
        <w:ind w:left="2160" w:hanging="360"/>
      </w:pPr>
      <w:rPr>
        <w:rFonts w:ascii="Wingdings" w:hAnsi="Wingdings" w:hint="default"/>
      </w:rPr>
    </w:lvl>
    <w:lvl w:ilvl="3" w:tplc="04A2FD1E">
      <w:start w:val="1"/>
      <w:numFmt w:val="bullet"/>
      <w:lvlText w:val=""/>
      <w:lvlJc w:val="left"/>
      <w:pPr>
        <w:ind w:left="2880" w:hanging="360"/>
      </w:pPr>
      <w:rPr>
        <w:rFonts w:ascii="Symbol" w:hAnsi="Symbol" w:hint="default"/>
      </w:rPr>
    </w:lvl>
    <w:lvl w:ilvl="4" w:tplc="2FE0FD80">
      <w:start w:val="1"/>
      <w:numFmt w:val="bullet"/>
      <w:lvlText w:val="o"/>
      <w:lvlJc w:val="left"/>
      <w:pPr>
        <w:ind w:left="3600" w:hanging="360"/>
      </w:pPr>
      <w:rPr>
        <w:rFonts w:ascii="Courier New" w:hAnsi="Courier New" w:hint="default"/>
      </w:rPr>
    </w:lvl>
    <w:lvl w:ilvl="5" w:tplc="ADE0DE9E">
      <w:start w:val="1"/>
      <w:numFmt w:val="bullet"/>
      <w:lvlText w:val=""/>
      <w:lvlJc w:val="left"/>
      <w:pPr>
        <w:ind w:left="4320" w:hanging="360"/>
      </w:pPr>
      <w:rPr>
        <w:rFonts w:ascii="Wingdings" w:hAnsi="Wingdings" w:hint="default"/>
      </w:rPr>
    </w:lvl>
    <w:lvl w:ilvl="6" w:tplc="F4DE88AC">
      <w:start w:val="1"/>
      <w:numFmt w:val="bullet"/>
      <w:lvlText w:val=""/>
      <w:lvlJc w:val="left"/>
      <w:pPr>
        <w:ind w:left="5040" w:hanging="360"/>
      </w:pPr>
      <w:rPr>
        <w:rFonts w:ascii="Symbol" w:hAnsi="Symbol" w:hint="default"/>
      </w:rPr>
    </w:lvl>
    <w:lvl w:ilvl="7" w:tplc="C4962A54">
      <w:start w:val="1"/>
      <w:numFmt w:val="bullet"/>
      <w:lvlText w:val="o"/>
      <w:lvlJc w:val="left"/>
      <w:pPr>
        <w:ind w:left="5760" w:hanging="360"/>
      </w:pPr>
      <w:rPr>
        <w:rFonts w:ascii="Courier New" w:hAnsi="Courier New" w:hint="default"/>
      </w:rPr>
    </w:lvl>
    <w:lvl w:ilvl="8" w:tplc="5C606534">
      <w:start w:val="1"/>
      <w:numFmt w:val="bullet"/>
      <w:lvlText w:val=""/>
      <w:lvlJc w:val="left"/>
      <w:pPr>
        <w:ind w:left="6480" w:hanging="360"/>
      </w:pPr>
      <w:rPr>
        <w:rFonts w:ascii="Wingdings" w:hAnsi="Wingdings" w:hint="default"/>
      </w:rPr>
    </w:lvl>
  </w:abstractNum>
  <w:abstractNum w:abstractNumId="7" w15:restartNumberingAfterBreak="0">
    <w:nsid w:val="609E0265"/>
    <w:multiLevelType w:val="hybridMultilevel"/>
    <w:tmpl w:val="FFFFFFFF"/>
    <w:lvl w:ilvl="0" w:tplc="7646BD7E">
      <w:start w:val="1"/>
      <w:numFmt w:val="bullet"/>
      <w:lvlText w:val=""/>
      <w:lvlJc w:val="left"/>
      <w:pPr>
        <w:ind w:left="720" w:hanging="360"/>
      </w:pPr>
      <w:rPr>
        <w:rFonts w:ascii="Symbol" w:hAnsi="Symbol" w:hint="default"/>
      </w:rPr>
    </w:lvl>
    <w:lvl w:ilvl="1" w:tplc="3866FD64">
      <w:start w:val="1"/>
      <w:numFmt w:val="bullet"/>
      <w:lvlText w:val="o"/>
      <w:lvlJc w:val="left"/>
      <w:pPr>
        <w:ind w:left="1440" w:hanging="360"/>
      </w:pPr>
      <w:rPr>
        <w:rFonts w:ascii="Courier New" w:hAnsi="Courier New" w:hint="default"/>
      </w:rPr>
    </w:lvl>
    <w:lvl w:ilvl="2" w:tplc="71C2ADC6">
      <w:start w:val="1"/>
      <w:numFmt w:val="bullet"/>
      <w:lvlText w:val=""/>
      <w:lvlJc w:val="left"/>
      <w:pPr>
        <w:ind w:left="2160" w:hanging="360"/>
      </w:pPr>
      <w:rPr>
        <w:rFonts w:ascii="Wingdings" w:hAnsi="Wingdings" w:hint="default"/>
      </w:rPr>
    </w:lvl>
    <w:lvl w:ilvl="3" w:tplc="2E887422">
      <w:start w:val="1"/>
      <w:numFmt w:val="bullet"/>
      <w:lvlText w:val=""/>
      <w:lvlJc w:val="left"/>
      <w:pPr>
        <w:ind w:left="2880" w:hanging="360"/>
      </w:pPr>
      <w:rPr>
        <w:rFonts w:ascii="Symbol" w:hAnsi="Symbol" w:hint="default"/>
      </w:rPr>
    </w:lvl>
    <w:lvl w:ilvl="4" w:tplc="992003D2">
      <w:start w:val="1"/>
      <w:numFmt w:val="bullet"/>
      <w:lvlText w:val="o"/>
      <w:lvlJc w:val="left"/>
      <w:pPr>
        <w:ind w:left="3600" w:hanging="360"/>
      </w:pPr>
      <w:rPr>
        <w:rFonts w:ascii="Courier New" w:hAnsi="Courier New" w:hint="default"/>
      </w:rPr>
    </w:lvl>
    <w:lvl w:ilvl="5" w:tplc="CD969372">
      <w:start w:val="1"/>
      <w:numFmt w:val="bullet"/>
      <w:lvlText w:val=""/>
      <w:lvlJc w:val="left"/>
      <w:pPr>
        <w:ind w:left="4320" w:hanging="360"/>
      </w:pPr>
      <w:rPr>
        <w:rFonts w:ascii="Wingdings" w:hAnsi="Wingdings" w:hint="default"/>
      </w:rPr>
    </w:lvl>
    <w:lvl w:ilvl="6" w:tplc="021C6770">
      <w:start w:val="1"/>
      <w:numFmt w:val="bullet"/>
      <w:lvlText w:val=""/>
      <w:lvlJc w:val="left"/>
      <w:pPr>
        <w:ind w:left="5040" w:hanging="360"/>
      </w:pPr>
      <w:rPr>
        <w:rFonts w:ascii="Symbol" w:hAnsi="Symbol" w:hint="default"/>
      </w:rPr>
    </w:lvl>
    <w:lvl w:ilvl="7" w:tplc="D2A0E514">
      <w:start w:val="1"/>
      <w:numFmt w:val="bullet"/>
      <w:lvlText w:val="o"/>
      <w:lvlJc w:val="left"/>
      <w:pPr>
        <w:ind w:left="5760" w:hanging="360"/>
      </w:pPr>
      <w:rPr>
        <w:rFonts w:ascii="Courier New" w:hAnsi="Courier New" w:hint="default"/>
      </w:rPr>
    </w:lvl>
    <w:lvl w:ilvl="8" w:tplc="E2DCD306">
      <w:start w:val="1"/>
      <w:numFmt w:val="bullet"/>
      <w:lvlText w:val=""/>
      <w:lvlJc w:val="left"/>
      <w:pPr>
        <w:ind w:left="6480" w:hanging="360"/>
      </w:pPr>
      <w:rPr>
        <w:rFonts w:ascii="Wingdings" w:hAnsi="Wingdings" w:hint="default"/>
      </w:rPr>
    </w:lvl>
  </w:abstractNum>
  <w:abstractNum w:abstractNumId="8" w15:restartNumberingAfterBreak="0">
    <w:nsid w:val="61562996"/>
    <w:multiLevelType w:val="hybridMultilevel"/>
    <w:tmpl w:val="FFFFFFFF"/>
    <w:lvl w:ilvl="0" w:tplc="052E26FA">
      <w:start w:val="1"/>
      <w:numFmt w:val="bullet"/>
      <w:lvlText w:val="-"/>
      <w:lvlJc w:val="left"/>
      <w:pPr>
        <w:ind w:left="720" w:hanging="360"/>
      </w:pPr>
      <w:rPr>
        <w:rFonts w:ascii="Aptos" w:hAnsi="Aptos" w:hint="default"/>
      </w:rPr>
    </w:lvl>
    <w:lvl w:ilvl="1" w:tplc="CB3AE6E6">
      <w:start w:val="1"/>
      <w:numFmt w:val="bullet"/>
      <w:lvlText w:val="o"/>
      <w:lvlJc w:val="left"/>
      <w:pPr>
        <w:ind w:left="1440" w:hanging="360"/>
      </w:pPr>
      <w:rPr>
        <w:rFonts w:ascii="Courier New" w:hAnsi="Courier New" w:hint="default"/>
      </w:rPr>
    </w:lvl>
    <w:lvl w:ilvl="2" w:tplc="A46E8056">
      <w:start w:val="1"/>
      <w:numFmt w:val="bullet"/>
      <w:lvlText w:val=""/>
      <w:lvlJc w:val="left"/>
      <w:pPr>
        <w:ind w:left="2160" w:hanging="360"/>
      </w:pPr>
      <w:rPr>
        <w:rFonts w:ascii="Wingdings" w:hAnsi="Wingdings" w:hint="default"/>
      </w:rPr>
    </w:lvl>
    <w:lvl w:ilvl="3" w:tplc="0ACEF904">
      <w:start w:val="1"/>
      <w:numFmt w:val="bullet"/>
      <w:lvlText w:val=""/>
      <w:lvlJc w:val="left"/>
      <w:pPr>
        <w:ind w:left="2880" w:hanging="360"/>
      </w:pPr>
      <w:rPr>
        <w:rFonts w:ascii="Symbol" w:hAnsi="Symbol" w:hint="default"/>
      </w:rPr>
    </w:lvl>
    <w:lvl w:ilvl="4" w:tplc="9A949F74">
      <w:start w:val="1"/>
      <w:numFmt w:val="bullet"/>
      <w:lvlText w:val="o"/>
      <w:lvlJc w:val="left"/>
      <w:pPr>
        <w:ind w:left="3600" w:hanging="360"/>
      </w:pPr>
      <w:rPr>
        <w:rFonts w:ascii="Courier New" w:hAnsi="Courier New" w:hint="default"/>
      </w:rPr>
    </w:lvl>
    <w:lvl w:ilvl="5" w:tplc="C67C3018">
      <w:start w:val="1"/>
      <w:numFmt w:val="bullet"/>
      <w:lvlText w:val=""/>
      <w:lvlJc w:val="left"/>
      <w:pPr>
        <w:ind w:left="4320" w:hanging="360"/>
      </w:pPr>
      <w:rPr>
        <w:rFonts w:ascii="Wingdings" w:hAnsi="Wingdings" w:hint="default"/>
      </w:rPr>
    </w:lvl>
    <w:lvl w:ilvl="6" w:tplc="57B41914">
      <w:start w:val="1"/>
      <w:numFmt w:val="bullet"/>
      <w:lvlText w:val=""/>
      <w:lvlJc w:val="left"/>
      <w:pPr>
        <w:ind w:left="5040" w:hanging="360"/>
      </w:pPr>
      <w:rPr>
        <w:rFonts w:ascii="Symbol" w:hAnsi="Symbol" w:hint="default"/>
      </w:rPr>
    </w:lvl>
    <w:lvl w:ilvl="7" w:tplc="6AF6E94A">
      <w:start w:val="1"/>
      <w:numFmt w:val="bullet"/>
      <w:lvlText w:val="o"/>
      <w:lvlJc w:val="left"/>
      <w:pPr>
        <w:ind w:left="5760" w:hanging="360"/>
      </w:pPr>
      <w:rPr>
        <w:rFonts w:ascii="Courier New" w:hAnsi="Courier New" w:hint="default"/>
      </w:rPr>
    </w:lvl>
    <w:lvl w:ilvl="8" w:tplc="650A9286">
      <w:start w:val="1"/>
      <w:numFmt w:val="bullet"/>
      <w:lvlText w:val=""/>
      <w:lvlJc w:val="left"/>
      <w:pPr>
        <w:ind w:left="6480" w:hanging="360"/>
      </w:pPr>
      <w:rPr>
        <w:rFonts w:ascii="Wingdings" w:hAnsi="Wingdings" w:hint="default"/>
      </w:rPr>
    </w:lvl>
  </w:abstractNum>
  <w:abstractNum w:abstractNumId="9" w15:restartNumberingAfterBreak="0">
    <w:nsid w:val="6D34713A"/>
    <w:multiLevelType w:val="hybridMultilevel"/>
    <w:tmpl w:val="FFFFFFFF"/>
    <w:lvl w:ilvl="0" w:tplc="B554F93C">
      <w:start w:val="1"/>
      <w:numFmt w:val="bullet"/>
      <w:lvlText w:val="-"/>
      <w:lvlJc w:val="left"/>
      <w:pPr>
        <w:ind w:left="720" w:hanging="360"/>
      </w:pPr>
      <w:rPr>
        <w:rFonts w:ascii="Aptos" w:hAnsi="Aptos" w:hint="default"/>
      </w:rPr>
    </w:lvl>
    <w:lvl w:ilvl="1" w:tplc="20B8B25A">
      <w:start w:val="1"/>
      <w:numFmt w:val="bullet"/>
      <w:lvlText w:val="o"/>
      <w:lvlJc w:val="left"/>
      <w:pPr>
        <w:ind w:left="1440" w:hanging="360"/>
      </w:pPr>
      <w:rPr>
        <w:rFonts w:ascii="Courier New" w:hAnsi="Courier New" w:hint="default"/>
      </w:rPr>
    </w:lvl>
    <w:lvl w:ilvl="2" w:tplc="B2D66306">
      <w:start w:val="1"/>
      <w:numFmt w:val="bullet"/>
      <w:lvlText w:val=""/>
      <w:lvlJc w:val="left"/>
      <w:pPr>
        <w:ind w:left="2160" w:hanging="360"/>
      </w:pPr>
      <w:rPr>
        <w:rFonts w:ascii="Wingdings" w:hAnsi="Wingdings" w:hint="default"/>
      </w:rPr>
    </w:lvl>
    <w:lvl w:ilvl="3" w:tplc="3DE29636">
      <w:start w:val="1"/>
      <w:numFmt w:val="bullet"/>
      <w:lvlText w:val=""/>
      <w:lvlJc w:val="left"/>
      <w:pPr>
        <w:ind w:left="2880" w:hanging="360"/>
      </w:pPr>
      <w:rPr>
        <w:rFonts w:ascii="Symbol" w:hAnsi="Symbol" w:hint="default"/>
      </w:rPr>
    </w:lvl>
    <w:lvl w:ilvl="4" w:tplc="35D225F6">
      <w:start w:val="1"/>
      <w:numFmt w:val="bullet"/>
      <w:lvlText w:val="o"/>
      <w:lvlJc w:val="left"/>
      <w:pPr>
        <w:ind w:left="3600" w:hanging="360"/>
      </w:pPr>
      <w:rPr>
        <w:rFonts w:ascii="Courier New" w:hAnsi="Courier New" w:hint="default"/>
      </w:rPr>
    </w:lvl>
    <w:lvl w:ilvl="5" w:tplc="D28CDD16">
      <w:start w:val="1"/>
      <w:numFmt w:val="bullet"/>
      <w:lvlText w:val=""/>
      <w:lvlJc w:val="left"/>
      <w:pPr>
        <w:ind w:left="4320" w:hanging="360"/>
      </w:pPr>
      <w:rPr>
        <w:rFonts w:ascii="Wingdings" w:hAnsi="Wingdings" w:hint="default"/>
      </w:rPr>
    </w:lvl>
    <w:lvl w:ilvl="6" w:tplc="12B059A8">
      <w:start w:val="1"/>
      <w:numFmt w:val="bullet"/>
      <w:lvlText w:val=""/>
      <w:lvlJc w:val="left"/>
      <w:pPr>
        <w:ind w:left="5040" w:hanging="360"/>
      </w:pPr>
      <w:rPr>
        <w:rFonts w:ascii="Symbol" w:hAnsi="Symbol" w:hint="default"/>
      </w:rPr>
    </w:lvl>
    <w:lvl w:ilvl="7" w:tplc="11F07738">
      <w:start w:val="1"/>
      <w:numFmt w:val="bullet"/>
      <w:lvlText w:val="o"/>
      <w:lvlJc w:val="left"/>
      <w:pPr>
        <w:ind w:left="5760" w:hanging="360"/>
      </w:pPr>
      <w:rPr>
        <w:rFonts w:ascii="Courier New" w:hAnsi="Courier New" w:hint="default"/>
      </w:rPr>
    </w:lvl>
    <w:lvl w:ilvl="8" w:tplc="36F0095A">
      <w:start w:val="1"/>
      <w:numFmt w:val="bullet"/>
      <w:lvlText w:val=""/>
      <w:lvlJc w:val="left"/>
      <w:pPr>
        <w:ind w:left="6480" w:hanging="360"/>
      </w:pPr>
      <w:rPr>
        <w:rFonts w:ascii="Wingdings" w:hAnsi="Wingdings" w:hint="default"/>
      </w:rPr>
    </w:lvl>
  </w:abstractNum>
  <w:abstractNum w:abstractNumId="10" w15:restartNumberingAfterBreak="0">
    <w:nsid w:val="700456A3"/>
    <w:multiLevelType w:val="hybridMultilevel"/>
    <w:tmpl w:val="FFFFFFFF"/>
    <w:lvl w:ilvl="0" w:tplc="E976083A">
      <w:start w:val="1"/>
      <w:numFmt w:val="bullet"/>
      <w:lvlText w:val="-"/>
      <w:lvlJc w:val="left"/>
      <w:pPr>
        <w:ind w:left="720" w:hanging="360"/>
      </w:pPr>
      <w:rPr>
        <w:rFonts w:ascii="Aptos" w:hAnsi="Aptos" w:hint="default"/>
      </w:rPr>
    </w:lvl>
    <w:lvl w:ilvl="1" w:tplc="03EE1D36">
      <w:start w:val="1"/>
      <w:numFmt w:val="bullet"/>
      <w:lvlText w:val="o"/>
      <w:lvlJc w:val="left"/>
      <w:pPr>
        <w:ind w:left="1440" w:hanging="360"/>
      </w:pPr>
      <w:rPr>
        <w:rFonts w:ascii="Courier New" w:hAnsi="Courier New" w:hint="default"/>
      </w:rPr>
    </w:lvl>
    <w:lvl w:ilvl="2" w:tplc="DFE28738">
      <w:start w:val="1"/>
      <w:numFmt w:val="bullet"/>
      <w:lvlText w:val=""/>
      <w:lvlJc w:val="left"/>
      <w:pPr>
        <w:ind w:left="2160" w:hanging="360"/>
      </w:pPr>
      <w:rPr>
        <w:rFonts w:ascii="Wingdings" w:hAnsi="Wingdings" w:hint="default"/>
      </w:rPr>
    </w:lvl>
    <w:lvl w:ilvl="3" w:tplc="0C440DEE">
      <w:start w:val="1"/>
      <w:numFmt w:val="bullet"/>
      <w:lvlText w:val=""/>
      <w:lvlJc w:val="left"/>
      <w:pPr>
        <w:ind w:left="2880" w:hanging="360"/>
      </w:pPr>
      <w:rPr>
        <w:rFonts w:ascii="Symbol" w:hAnsi="Symbol" w:hint="default"/>
      </w:rPr>
    </w:lvl>
    <w:lvl w:ilvl="4" w:tplc="C778F262">
      <w:start w:val="1"/>
      <w:numFmt w:val="bullet"/>
      <w:lvlText w:val="o"/>
      <w:lvlJc w:val="left"/>
      <w:pPr>
        <w:ind w:left="3600" w:hanging="360"/>
      </w:pPr>
      <w:rPr>
        <w:rFonts w:ascii="Courier New" w:hAnsi="Courier New" w:hint="default"/>
      </w:rPr>
    </w:lvl>
    <w:lvl w:ilvl="5" w:tplc="30E41698">
      <w:start w:val="1"/>
      <w:numFmt w:val="bullet"/>
      <w:lvlText w:val=""/>
      <w:lvlJc w:val="left"/>
      <w:pPr>
        <w:ind w:left="4320" w:hanging="360"/>
      </w:pPr>
      <w:rPr>
        <w:rFonts w:ascii="Wingdings" w:hAnsi="Wingdings" w:hint="default"/>
      </w:rPr>
    </w:lvl>
    <w:lvl w:ilvl="6" w:tplc="2E48CAAC">
      <w:start w:val="1"/>
      <w:numFmt w:val="bullet"/>
      <w:lvlText w:val=""/>
      <w:lvlJc w:val="left"/>
      <w:pPr>
        <w:ind w:left="5040" w:hanging="360"/>
      </w:pPr>
      <w:rPr>
        <w:rFonts w:ascii="Symbol" w:hAnsi="Symbol" w:hint="default"/>
      </w:rPr>
    </w:lvl>
    <w:lvl w:ilvl="7" w:tplc="DA2E9DE0">
      <w:start w:val="1"/>
      <w:numFmt w:val="bullet"/>
      <w:lvlText w:val="o"/>
      <w:lvlJc w:val="left"/>
      <w:pPr>
        <w:ind w:left="5760" w:hanging="360"/>
      </w:pPr>
      <w:rPr>
        <w:rFonts w:ascii="Courier New" w:hAnsi="Courier New" w:hint="default"/>
      </w:rPr>
    </w:lvl>
    <w:lvl w:ilvl="8" w:tplc="3D48883C">
      <w:start w:val="1"/>
      <w:numFmt w:val="bullet"/>
      <w:lvlText w:val=""/>
      <w:lvlJc w:val="left"/>
      <w:pPr>
        <w:ind w:left="6480" w:hanging="360"/>
      </w:pPr>
      <w:rPr>
        <w:rFonts w:ascii="Wingdings" w:hAnsi="Wingdings" w:hint="default"/>
      </w:rPr>
    </w:lvl>
  </w:abstractNum>
  <w:abstractNum w:abstractNumId="11" w15:restartNumberingAfterBreak="0">
    <w:nsid w:val="70D6E258"/>
    <w:multiLevelType w:val="hybridMultilevel"/>
    <w:tmpl w:val="FFFFFFFF"/>
    <w:lvl w:ilvl="0" w:tplc="1FC65B62">
      <w:start w:val="1"/>
      <w:numFmt w:val="bullet"/>
      <w:lvlText w:val="-"/>
      <w:lvlJc w:val="left"/>
      <w:pPr>
        <w:ind w:left="720" w:hanging="360"/>
      </w:pPr>
      <w:rPr>
        <w:rFonts w:ascii="Aptos" w:hAnsi="Aptos" w:hint="default"/>
      </w:rPr>
    </w:lvl>
    <w:lvl w:ilvl="1" w:tplc="2C368C0E">
      <w:start w:val="1"/>
      <w:numFmt w:val="bullet"/>
      <w:lvlText w:val="o"/>
      <w:lvlJc w:val="left"/>
      <w:pPr>
        <w:ind w:left="1440" w:hanging="360"/>
      </w:pPr>
      <w:rPr>
        <w:rFonts w:ascii="Courier New" w:hAnsi="Courier New" w:hint="default"/>
      </w:rPr>
    </w:lvl>
    <w:lvl w:ilvl="2" w:tplc="687837AE">
      <w:start w:val="1"/>
      <w:numFmt w:val="bullet"/>
      <w:lvlText w:val=""/>
      <w:lvlJc w:val="left"/>
      <w:pPr>
        <w:ind w:left="2160" w:hanging="360"/>
      </w:pPr>
      <w:rPr>
        <w:rFonts w:ascii="Wingdings" w:hAnsi="Wingdings" w:hint="default"/>
      </w:rPr>
    </w:lvl>
    <w:lvl w:ilvl="3" w:tplc="9B78E8AA">
      <w:start w:val="1"/>
      <w:numFmt w:val="bullet"/>
      <w:lvlText w:val=""/>
      <w:lvlJc w:val="left"/>
      <w:pPr>
        <w:ind w:left="2880" w:hanging="360"/>
      </w:pPr>
      <w:rPr>
        <w:rFonts w:ascii="Symbol" w:hAnsi="Symbol" w:hint="default"/>
      </w:rPr>
    </w:lvl>
    <w:lvl w:ilvl="4" w:tplc="66BA75FE">
      <w:start w:val="1"/>
      <w:numFmt w:val="bullet"/>
      <w:lvlText w:val="o"/>
      <w:lvlJc w:val="left"/>
      <w:pPr>
        <w:ind w:left="3600" w:hanging="360"/>
      </w:pPr>
      <w:rPr>
        <w:rFonts w:ascii="Courier New" w:hAnsi="Courier New" w:hint="default"/>
      </w:rPr>
    </w:lvl>
    <w:lvl w:ilvl="5" w:tplc="2A101D9A">
      <w:start w:val="1"/>
      <w:numFmt w:val="bullet"/>
      <w:lvlText w:val=""/>
      <w:lvlJc w:val="left"/>
      <w:pPr>
        <w:ind w:left="4320" w:hanging="360"/>
      </w:pPr>
      <w:rPr>
        <w:rFonts w:ascii="Wingdings" w:hAnsi="Wingdings" w:hint="default"/>
      </w:rPr>
    </w:lvl>
    <w:lvl w:ilvl="6" w:tplc="E8B2B5C4">
      <w:start w:val="1"/>
      <w:numFmt w:val="bullet"/>
      <w:lvlText w:val=""/>
      <w:lvlJc w:val="left"/>
      <w:pPr>
        <w:ind w:left="5040" w:hanging="360"/>
      </w:pPr>
      <w:rPr>
        <w:rFonts w:ascii="Symbol" w:hAnsi="Symbol" w:hint="default"/>
      </w:rPr>
    </w:lvl>
    <w:lvl w:ilvl="7" w:tplc="C002956A">
      <w:start w:val="1"/>
      <w:numFmt w:val="bullet"/>
      <w:lvlText w:val="o"/>
      <w:lvlJc w:val="left"/>
      <w:pPr>
        <w:ind w:left="5760" w:hanging="360"/>
      </w:pPr>
      <w:rPr>
        <w:rFonts w:ascii="Courier New" w:hAnsi="Courier New" w:hint="default"/>
      </w:rPr>
    </w:lvl>
    <w:lvl w:ilvl="8" w:tplc="9C72326E">
      <w:start w:val="1"/>
      <w:numFmt w:val="bullet"/>
      <w:lvlText w:val=""/>
      <w:lvlJc w:val="left"/>
      <w:pPr>
        <w:ind w:left="6480" w:hanging="360"/>
      </w:pPr>
      <w:rPr>
        <w:rFonts w:ascii="Wingdings" w:hAnsi="Wingdings" w:hint="default"/>
      </w:rPr>
    </w:lvl>
  </w:abstractNum>
  <w:num w:numId="1" w16cid:durableId="1501845459">
    <w:abstractNumId w:val="5"/>
  </w:num>
  <w:num w:numId="2" w16cid:durableId="1217474953">
    <w:abstractNumId w:val="11"/>
  </w:num>
  <w:num w:numId="3" w16cid:durableId="1634559306">
    <w:abstractNumId w:val="0"/>
  </w:num>
  <w:num w:numId="4" w16cid:durableId="976648177">
    <w:abstractNumId w:val="6"/>
  </w:num>
  <w:num w:numId="5" w16cid:durableId="1006665284">
    <w:abstractNumId w:val="10"/>
  </w:num>
  <w:num w:numId="6" w16cid:durableId="510072832">
    <w:abstractNumId w:val="9"/>
  </w:num>
  <w:num w:numId="7" w16cid:durableId="264700673">
    <w:abstractNumId w:val="3"/>
  </w:num>
  <w:num w:numId="8" w16cid:durableId="309752253">
    <w:abstractNumId w:val="8"/>
  </w:num>
  <w:num w:numId="9" w16cid:durableId="351079597">
    <w:abstractNumId w:val="2"/>
  </w:num>
  <w:num w:numId="10" w16cid:durableId="1481311019">
    <w:abstractNumId w:val="1"/>
  </w:num>
  <w:num w:numId="11" w16cid:durableId="523057130">
    <w:abstractNumId w:val="4"/>
  </w:num>
  <w:num w:numId="12" w16cid:durableId="16586799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571"/>
    <w:rsid w:val="00000566"/>
    <w:rsid w:val="00063E4D"/>
    <w:rsid w:val="00085D5E"/>
    <w:rsid w:val="00095322"/>
    <w:rsid w:val="00240262"/>
    <w:rsid w:val="003C6F90"/>
    <w:rsid w:val="003D39E2"/>
    <w:rsid w:val="005D5571"/>
    <w:rsid w:val="00877C3F"/>
    <w:rsid w:val="00907682"/>
    <w:rsid w:val="009B49CE"/>
    <w:rsid w:val="00BE23D2"/>
    <w:rsid w:val="00D40B08"/>
    <w:rsid w:val="00D600AF"/>
    <w:rsid w:val="00DE104B"/>
    <w:rsid w:val="00F623BA"/>
    <w:rsid w:val="00F81E84"/>
    <w:rsid w:val="051D3D13"/>
    <w:rsid w:val="054F0893"/>
    <w:rsid w:val="081E89DF"/>
    <w:rsid w:val="08D7B409"/>
    <w:rsid w:val="090C701F"/>
    <w:rsid w:val="0A6A72FC"/>
    <w:rsid w:val="0C2D6D4F"/>
    <w:rsid w:val="0D784FD5"/>
    <w:rsid w:val="0D8B5AE5"/>
    <w:rsid w:val="0F5B1EC7"/>
    <w:rsid w:val="10885A38"/>
    <w:rsid w:val="111B3599"/>
    <w:rsid w:val="118E0864"/>
    <w:rsid w:val="120C61F6"/>
    <w:rsid w:val="12210C7D"/>
    <w:rsid w:val="125C9BAD"/>
    <w:rsid w:val="13BE8799"/>
    <w:rsid w:val="166DF591"/>
    <w:rsid w:val="174C1BCB"/>
    <w:rsid w:val="1C6E3159"/>
    <w:rsid w:val="1CF6EFCC"/>
    <w:rsid w:val="2035049F"/>
    <w:rsid w:val="20A7E00E"/>
    <w:rsid w:val="2300FAED"/>
    <w:rsid w:val="25294084"/>
    <w:rsid w:val="2685C992"/>
    <w:rsid w:val="28A6D831"/>
    <w:rsid w:val="2AC3C2FF"/>
    <w:rsid w:val="2AFD2557"/>
    <w:rsid w:val="2C286FE7"/>
    <w:rsid w:val="2CD1BB2F"/>
    <w:rsid w:val="2D401989"/>
    <w:rsid w:val="2E8BF120"/>
    <w:rsid w:val="2FFA5BA8"/>
    <w:rsid w:val="3007EA78"/>
    <w:rsid w:val="308A9ED1"/>
    <w:rsid w:val="321E501B"/>
    <w:rsid w:val="32218048"/>
    <w:rsid w:val="32C108D4"/>
    <w:rsid w:val="33B51367"/>
    <w:rsid w:val="3430139F"/>
    <w:rsid w:val="35C71D1E"/>
    <w:rsid w:val="374F2428"/>
    <w:rsid w:val="378661FF"/>
    <w:rsid w:val="38411643"/>
    <w:rsid w:val="39A3D2FD"/>
    <w:rsid w:val="39DC59DF"/>
    <w:rsid w:val="3AE187EA"/>
    <w:rsid w:val="3BCDA229"/>
    <w:rsid w:val="3DC95B7A"/>
    <w:rsid w:val="3DFC2CA0"/>
    <w:rsid w:val="3E137D58"/>
    <w:rsid w:val="3F45ADC7"/>
    <w:rsid w:val="3F606F3D"/>
    <w:rsid w:val="40121F49"/>
    <w:rsid w:val="407A12DA"/>
    <w:rsid w:val="40A8E89C"/>
    <w:rsid w:val="40B4FD75"/>
    <w:rsid w:val="40D411BD"/>
    <w:rsid w:val="40F20604"/>
    <w:rsid w:val="42323A5C"/>
    <w:rsid w:val="42B23843"/>
    <w:rsid w:val="4311E12F"/>
    <w:rsid w:val="43C3F985"/>
    <w:rsid w:val="446D7A20"/>
    <w:rsid w:val="4478EC29"/>
    <w:rsid w:val="45FB5A44"/>
    <w:rsid w:val="46E3BC9D"/>
    <w:rsid w:val="4776EB3D"/>
    <w:rsid w:val="47E3F99E"/>
    <w:rsid w:val="499366AF"/>
    <w:rsid w:val="49C5457B"/>
    <w:rsid w:val="4A91D354"/>
    <w:rsid w:val="4D4649C4"/>
    <w:rsid w:val="4EEABDAC"/>
    <w:rsid w:val="50237746"/>
    <w:rsid w:val="506C2B3A"/>
    <w:rsid w:val="50E40880"/>
    <w:rsid w:val="53933E24"/>
    <w:rsid w:val="539D912C"/>
    <w:rsid w:val="5465669B"/>
    <w:rsid w:val="5569FF51"/>
    <w:rsid w:val="55F71928"/>
    <w:rsid w:val="560C3719"/>
    <w:rsid w:val="5678BC99"/>
    <w:rsid w:val="57DBDA39"/>
    <w:rsid w:val="5869B9FB"/>
    <w:rsid w:val="5BE3A349"/>
    <w:rsid w:val="5BF1583C"/>
    <w:rsid w:val="5C14DEC9"/>
    <w:rsid w:val="5F3000C9"/>
    <w:rsid w:val="5F68CFB8"/>
    <w:rsid w:val="5F7219AE"/>
    <w:rsid w:val="60064FE4"/>
    <w:rsid w:val="6046B414"/>
    <w:rsid w:val="60BDC05D"/>
    <w:rsid w:val="60FCFE24"/>
    <w:rsid w:val="617E0405"/>
    <w:rsid w:val="642EA26A"/>
    <w:rsid w:val="671609C8"/>
    <w:rsid w:val="679303F4"/>
    <w:rsid w:val="67C9E87B"/>
    <w:rsid w:val="6A6E7A93"/>
    <w:rsid w:val="6C3F8934"/>
    <w:rsid w:val="6CA49AC6"/>
    <w:rsid w:val="701C1ECE"/>
    <w:rsid w:val="71C5E43B"/>
    <w:rsid w:val="72318AE6"/>
    <w:rsid w:val="726B23F2"/>
    <w:rsid w:val="739F84AB"/>
    <w:rsid w:val="73A9747B"/>
    <w:rsid w:val="73E1519A"/>
    <w:rsid w:val="7580F4F8"/>
    <w:rsid w:val="7621664E"/>
    <w:rsid w:val="787018A3"/>
    <w:rsid w:val="7BB6F820"/>
    <w:rsid w:val="7C39FEFA"/>
    <w:rsid w:val="7EB8BAA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9DC6DD9"/>
  <w15:chartTrackingRefBased/>
  <w15:docId w15:val="{C93DA4CB-A6A9-4B6B-96ED-9406C8B45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5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55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55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55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55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55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55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55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55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5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55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55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55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55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55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55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55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5571"/>
    <w:rPr>
      <w:rFonts w:eastAsiaTheme="majorEastAsia" w:cstheme="majorBidi"/>
      <w:color w:val="272727" w:themeColor="text1" w:themeTint="D8"/>
    </w:rPr>
  </w:style>
  <w:style w:type="paragraph" w:styleId="Title">
    <w:name w:val="Title"/>
    <w:basedOn w:val="Normal"/>
    <w:next w:val="Normal"/>
    <w:link w:val="TitleChar"/>
    <w:uiPriority w:val="10"/>
    <w:qFormat/>
    <w:rsid w:val="005D5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55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55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55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5571"/>
    <w:pPr>
      <w:spacing w:before="160"/>
      <w:jc w:val="center"/>
    </w:pPr>
    <w:rPr>
      <w:i/>
      <w:iCs/>
      <w:color w:val="404040" w:themeColor="text1" w:themeTint="BF"/>
    </w:rPr>
  </w:style>
  <w:style w:type="character" w:customStyle="1" w:styleId="QuoteChar">
    <w:name w:val="Quote Char"/>
    <w:basedOn w:val="DefaultParagraphFont"/>
    <w:link w:val="Quote"/>
    <w:uiPriority w:val="29"/>
    <w:rsid w:val="005D5571"/>
    <w:rPr>
      <w:i/>
      <w:iCs/>
      <w:color w:val="404040" w:themeColor="text1" w:themeTint="BF"/>
    </w:rPr>
  </w:style>
  <w:style w:type="paragraph" w:styleId="ListParagraph">
    <w:name w:val="List Paragraph"/>
    <w:basedOn w:val="Normal"/>
    <w:uiPriority w:val="34"/>
    <w:qFormat/>
    <w:rsid w:val="005D5571"/>
    <w:pPr>
      <w:ind w:left="720"/>
      <w:contextualSpacing/>
    </w:pPr>
  </w:style>
  <w:style w:type="character" w:styleId="IntenseEmphasis">
    <w:name w:val="Intense Emphasis"/>
    <w:basedOn w:val="DefaultParagraphFont"/>
    <w:uiPriority w:val="21"/>
    <w:qFormat/>
    <w:rsid w:val="005D5571"/>
    <w:rPr>
      <w:i/>
      <w:iCs/>
      <w:color w:val="0F4761" w:themeColor="accent1" w:themeShade="BF"/>
    </w:rPr>
  </w:style>
  <w:style w:type="paragraph" w:styleId="IntenseQuote">
    <w:name w:val="Intense Quote"/>
    <w:basedOn w:val="Normal"/>
    <w:next w:val="Normal"/>
    <w:link w:val="IntenseQuoteChar"/>
    <w:uiPriority w:val="30"/>
    <w:qFormat/>
    <w:rsid w:val="005D55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5571"/>
    <w:rPr>
      <w:i/>
      <w:iCs/>
      <w:color w:val="0F4761" w:themeColor="accent1" w:themeShade="BF"/>
    </w:rPr>
  </w:style>
  <w:style w:type="character" w:styleId="IntenseReference">
    <w:name w:val="Intense Reference"/>
    <w:basedOn w:val="DefaultParagraphFont"/>
    <w:uiPriority w:val="32"/>
    <w:qFormat/>
    <w:rsid w:val="005D5571"/>
    <w:rPr>
      <w:b/>
      <w:bCs/>
      <w:smallCaps/>
      <w:color w:val="0F4761" w:themeColor="accent1" w:themeShade="BF"/>
      <w:spacing w:val="5"/>
    </w:rPr>
  </w:style>
  <w:style w:type="character" w:customStyle="1" w:styleId="s1">
    <w:name w:val="s1"/>
    <w:basedOn w:val="DefaultParagraphFont"/>
    <w:rsid w:val="005D5571"/>
  </w:style>
  <w:style w:type="paragraph" w:customStyle="1" w:styleId="p2">
    <w:name w:val="p2"/>
    <w:basedOn w:val="Normal"/>
    <w:rsid w:val="005D557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D5571"/>
  </w:style>
  <w:style w:type="character" w:styleId="Hyperlink">
    <w:name w:val="Hyperlink"/>
    <w:basedOn w:val="DefaultParagraphFont"/>
    <w:uiPriority w:val="99"/>
    <w:semiHidden/>
    <w:unhideWhenUsed/>
    <w:rsid w:val="005D5571"/>
    <w:rPr>
      <w:color w:val="0000FF"/>
      <w:u w:val="single"/>
    </w:rPr>
  </w:style>
  <w:style w:type="paragraph" w:customStyle="1" w:styleId="p3">
    <w:name w:val="p3"/>
    <w:basedOn w:val="Normal"/>
    <w:rsid w:val="005D5571"/>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5D5571"/>
  </w:style>
  <w:style w:type="character" w:customStyle="1" w:styleId="s4">
    <w:name w:val="s4"/>
    <w:basedOn w:val="DefaultParagraphFont"/>
    <w:rsid w:val="00000566"/>
  </w:style>
  <w:style w:type="paragraph" w:styleId="TOC1">
    <w:name w:val="toc 1"/>
    <w:basedOn w:val="Normal"/>
    <w:next w:val="Normal"/>
    <w:uiPriority w:val="39"/>
    <w:unhideWhenUsed/>
    <w:rsid w:val="0C2D6D4F"/>
    <w:pPr>
      <w:spacing w:after="100"/>
    </w:pPr>
  </w:style>
  <w:style w:type="paragraph" w:styleId="TOC2">
    <w:name w:val="toc 2"/>
    <w:basedOn w:val="Normal"/>
    <w:next w:val="Normal"/>
    <w:uiPriority w:val="39"/>
    <w:unhideWhenUsed/>
    <w:rsid w:val="0C2D6D4F"/>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Normal"/>
    <w:rsid w:val="003C6F90"/>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hatgpt://generic-entity?number=0" TargetMode="External"/><Relationship Id="rId5" Type="http://schemas.openxmlformats.org/officeDocument/2006/relationships/hyperlink" Target="chatgpt://generic-entity?number=0" TargetMode="Externa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4549</Words>
  <Characters>25931</Characters>
  <Application>Microsoft Office Word</Application>
  <DocSecurity>4</DocSecurity>
  <Lines>216</Lines>
  <Paragraphs>60</Paragraphs>
  <ScaleCrop>false</ScaleCrop>
  <Company/>
  <LinksUpToDate>false</LinksUpToDate>
  <CharactersWithSpaces>30420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Alexia Cantaragiu (2322692)</dc:creator>
  <cp:keywords/>
  <dc:description/>
  <cp:lastModifiedBy>Ioana Alexia Cantaragiu (2322692)</cp:lastModifiedBy>
  <cp:revision>10</cp:revision>
  <dcterms:created xsi:type="dcterms:W3CDTF">2026-03-14T17:09:00Z</dcterms:created>
  <dcterms:modified xsi:type="dcterms:W3CDTF">2026-03-15T10:30:00Z</dcterms:modified>
</cp:coreProperties>
</file>