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F60F4" w14:textId="7029F17A" w:rsidR="001B4A65" w:rsidRPr="001B4A65" w:rsidRDefault="001B4A65" w:rsidP="001C3C88">
      <w:pPr>
        <w:jc w:val="center"/>
        <w:rPr>
          <w:rFonts w:ascii="Georgia" w:hAnsi="Georgia"/>
          <w:sz w:val="24"/>
          <w:szCs w:val="24"/>
          <w:u w:val="single"/>
        </w:rPr>
      </w:pPr>
      <w:r w:rsidRPr="001B4A65">
        <w:rPr>
          <w:rFonts w:ascii="Georgia" w:hAnsi="Georgia"/>
          <w:sz w:val="24"/>
          <w:szCs w:val="24"/>
          <w:u w:val="single"/>
        </w:rPr>
        <w:t>Reflective Essay</w:t>
      </w:r>
    </w:p>
    <w:p w14:paraId="0D246218" w14:textId="205313F1" w:rsidR="000C6651" w:rsidRDefault="00C20279" w:rsidP="001C3C88">
      <w:pPr>
        <w:spacing w:line="480" w:lineRule="auto"/>
        <w:ind w:firstLine="720"/>
        <w:jc w:val="both"/>
        <w:rPr>
          <w:rFonts w:ascii="Georgia" w:hAnsi="Georgia"/>
          <w:sz w:val="24"/>
          <w:szCs w:val="24"/>
        </w:rPr>
      </w:pPr>
      <w:r w:rsidRPr="00C20279">
        <w:rPr>
          <w:rFonts w:ascii="Georgia" w:hAnsi="Georgia"/>
          <w:sz w:val="24"/>
          <w:szCs w:val="24"/>
        </w:rPr>
        <w:t xml:space="preserve">In this essay I will discuss </w:t>
      </w:r>
      <w:r w:rsidR="001B4A65">
        <w:rPr>
          <w:rFonts w:ascii="Georgia" w:hAnsi="Georgia"/>
          <w:sz w:val="24"/>
          <w:szCs w:val="24"/>
        </w:rPr>
        <w:t>how I explored the fantasy genre through the creation of my pieces; two segments from a larger magic realism story titled ‘</w:t>
      </w:r>
      <w:r w:rsidR="001B4A65" w:rsidRPr="001C3C88">
        <w:rPr>
          <w:rFonts w:ascii="Georgia" w:hAnsi="Georgia"/>
          <w:i/>
          <w:iCs/>
          <w:sz w:val="24"/>
          <w:szCs w:val="24"/>
        </w:rPr>
        <w:t>When Prophets Lie’</w:t>
      </w:r>
      <w:r w:rsidR="001B4A65">
        <w:rPr>
          <w:rFonts w:ascii="Georgia" w:hAnsi="Georgia"/>
          <w:sz w:val="24"/>
          <w:szCs w:val="24"/>
        </w:rPr>
        <w:t xml:space="preserve"> and a short story in the style of a mythic origin tale</w:t>
      </w:r>
      <w:r w:rsidR="001C3C88">
        <w:rPr>
          <w:rFonts w:ascii="Georgia" w:hAnsi="Georgia"/>
          <w:sz w:val="24"/>
          <w:szCs w:val="24"/>
        </w:rPr>
        <w:t>, ‘</w:t>
      </w:r>
      <w:r w:rsidR="001C3C88" w:rsidRPr="001C3C88">
        <w:rPr>
          <w:rFonts w:ascii="Georgia" w:hAnsi="Georgia"/>
          <w:i/>
          <w:iCs/>
          <w:sz w:val="24"/>
          <w:szCs w:val="24"/>
        </w:rPr>
        <w:t>Embers Burn’</w:t>
      </w:r>
      <w:r w:rsidR="001B4A65">
        <w:rPr>
          <w:rFonts w:ascii="Georgia" w:hAnsi="Georgia"/>
          <w:sz w:val="24"/>
          <w:szCs w:val="24"/>
        </w:rPr>
        <w:t xml:space="preserve">. I will also </w:t>
      </w:r>
      <w:r w:rsidR="001C3C88">
        <w:rPr>
          <w:rFonts w:ascii="Georgia" w:hAnsi="Georgia"/>
          <w:sz w:val="24"/>
          <w:szCs w:val="24"/>
        </w:rPr>
        <w:t xml:space="preserve">be </w:t>
      </w:r>
      <w:r w:rsidR="001B4A65">
        <w:rPr>
          <w:rFonts w:ascii="Georgia" w:hAnsi="Georgia"/>
          <w:sz w:val="24"/>
          <w:szCs w:val="24"/>
        </w:rPr>
        <w:t>highlight</w:t>
      </w:r>
      <w:r w:rsidR="001C3C88">
        <w:rPr>
          <w:rFonts w:ascii="Georgia" w:hAnsi="Georgia"/>
          <w:sz w:val="24"/>
          <w:szCs w:val="24"/>
        </w:rPr>
        <w:t>ing</w:t>
      </w:r>
      <w:r w:rsidR="001B4A65">
        <w:rPr>
          <w:rFonts w:ascii="Georgia" w:hAnsi="Georgia"/>
          <w:sz w:val="24"/>
          <w:szCs w:val="24"/>
        </w:rPr>
        <w:t xml:space="preserve"> some of the skills I used to enhance my pieces, making them more accessible and relatable, using the feedback I received to improve my work’s verisimilitude. </w:t>
      </w:r>
    </w:p>
    <w:p w14:paraId="6ECCC501" w14:textId="77777777" w:rsidR="00827AB4" w:rsidRDefault="001C3C88" w:rsidP="00827AB4">
      <w:pPr>
        <w:spacing w:line="480" w:lineRule="auto"/>
        <w:ind w:firstLine="720"/>
        <w:jc w:val="both"/>
        <w:rPr>
          <w:rFonts w:ascii="Georgia" w:hAnsi="Georgia"/>
          <w:sz w:val="24"/>
          <w:szCs w:val="24"/>
        </w:rPr>
      </w:pPr>
      <w:r>
        <w:rPr>
          <w:rFonts w:ascii="Georgia" w:hAnsi="Georgia"/>
          <w:sz w:val="24"/>
          <w:szCs w:val="24"/>
        </w:rPr>
        <w:t xml:space="preserve">The inspiration for ‘Embers Burn’ came from my own interest in ancient history, specifically mythology from the Greeks and Romans and how they shaped the societal norms and morals of their </w:t>
      </w:r>
      <w:r w:rsidR="00E07E67">
        <w:rPr>
          <w:rFonts w:ascii="Georgia" w:hAnsi="Georgia"/>
          <w:sz w:val="24"/>
          <w:szCs w:val="24"/>
        </w:rPr>
        <w:t>time and</w:t>
      </w:r>
      <w:r>
        <w:rPr>
          <w:rFonts w:ascii="Georgia" w:hAnsi="Georgia"/>
          <w:sz w:val="24"/>
          <w:szCs w:val="24"/>
        </w:rPr>
        <w:t xml:space="preserve"> influenced the storytelling of the future. Having read ‘Bullfinch’s Mythology’</w:t>
      </w:r>
      <w:r w:rsidR="00E07E67">
        <w:rPr>
          <w:rFonts w:ascii="Georgia" w:hAnsi="Georgia"/>
          <w:sz w:val="24"/>
          <w:szCs w:val="24"/>
        </w:rPr>
        <w:t xml:space="preserve">, a collection of myths rewritten for a newer readership, I was inspired to take some of the ideas that I felt were lacking from these stories and implement them into a new myth of my own creation. </w:t>
      </w:r>
      <w:r w:rsidR="00E07E67">
        <w:rPr>
          <w:rStyle w:val="FootnoteReference"/>
          <w:rFonts w:ascii="Georgia" w:hAnsi="Georgia"/>
          <w:sz w:val="24"/>
          <w:szCs w:val="24"/>
        </w:rPr>
        <w:footnoteReference w:id="1"/>
      </w:r>
      <w:r w:rsidR="00E07E67">
        <w:rPr>
          <w:rFonts w:ascii="Georgia" w:hAnsi="Georgia"/>
          <w:sz w:val="24"/>
          <w:szCs w:val="24"/>
        </w:rPr>
        <w:t xml:space="preserve"> The collection was published in 1867 and as such, the author had made a few amendments to the original stories, to suit the readers at the time, I noticed in particular that he chose to remain ambiguous about the relationship between characters most often portrayed as queer. As well as this, much of mythology is based around a theme of romantic love, sexual encounters, dalliances with gods, and I wanted to subvert this expectation in my own piece by having the main love present being that of platonic love - a bond akin to brother and sister. </w:t>
      </w:r>
    </w:p>
    <w:p w14:paraId="20219E6C" w14:textId="4881DFF5" w:rsidR="001C3C88" w:rsidRDefault="00827AB4" w:rsidP="00827AB4">
      <w:pPr>
        <w:spacing w:line="480" w:lineRule="auto"/>
        <w:ind w:firstLine="720"/>
        <w:jc w:val="both"/>
        <w:rPr>
          <w:rFonts w:ascii="Georgia" w:hAnsi="Georgia"/>
          <w:color w:val="2A2A2A"/>
          <w:sz w:val="24"/>
          <w:szCs w:val="24"/>
          <w:shd w:val="clear" w:color="auto" w:fill="FFFFFF"/>
        </w:rPr>
      </w:pPr>
      <w:r>
        <w:rPr>
          <w:rFonts w:ascii="Georgia" w:hAnsi="Georgia"/>
          <w:sz w:val="24"/>
          <w:szCs w:val="24"/>
        </w:rPr>
        <w:t>Wendy Gay Pearson came to the conclusion, in her article ‘</w:t>
      </w:r>
      <w:r>
        <w:rPr>
          <w:rFonts w:ascii="Georgia" w:hAnsi="Georgia"/>
          <w:i/>
          <w:iCs/>
          <w:sz w:val="24"/>
          <w:szCs w:val="24"/>
        </w:rPr>
        <w:t>Speculative Fiction and Queer Theory</w:t>
      </w:r>
      <w:r>
        <w:rPr>
          <w:rFonts w:ascii="Georgia" w:hAnsi="Georgia"/>
          <w:sz w:val="24"/>
          <w:szCs w:val="24"/>
        </w:rPr>
        <w:t xml:space="preserve">’ that this kind of fiction enables us </w:t>
      </w:r>
      <w:r w:rsidRPr="00827AB4">
        <w:rPr>
          <w:rFonts w:ascii="Georgia" w:hAnsi="Georgia"/>
          <w:sz w:val="24"/>
          <w:szCs w:val="24"/>
        </w:rPr>
        <w:t>to ‘</w:t>
      </w:r>
      <w:r w:rsidRPr="00827AB4">
        <w:rPr>
          <w:rFonts w:ascii="Georgia" w:hAnsi="Georgia"/>
          <w:color w:val="2A2A2A"/>
          <w:sz w:val="24"/>
          <w:szCs w:val="24"/>
          <w:shd w:val="clear" w:color="auto" w:fill="FFFFFF"/>
        </w:rPr>
        <w:t xml:space="preserve">interrogate normative ideas of intimacy and kinship and to contemplate alternative understandings and potential </w:t>
      </w:r>
      <w:r w:rsidRPr="00827AB4">
        <w:rPr>
          <w:rFonts w:ascii="Georgia" w:hAnsi="Georgia"/>
          <w:color w:val="2A2A2A"/>
          <w:sz w:val="24"/>
          <w:szCs w:val="24"/>
          <w:shd w:val="clear" w:color="auto" w:fill="FFFFFF"/>
        </w:rPr>
        <w:lastRenderedPageBreak/>
        <w:t>practices of reproduction</w:t>
      </w:r>
      <w:r w:rsidRPr="00827AB4">
        <w:rPr>
          <w:rFonts w:ascii="Georgia" w:hAnsi="Georgia"/>
          <w:color w:val="2A2A2A"/>
          <w:sz w:val="24"/>
          <w:szCs w:val="24"/>
          <w:shd w:val="clear" w:color="auto" w:fill="FFFFFF"/>
        </w:rPr>
        <w:t>’</w:t>
      </w:r>
      <w:r>
        <w:rPr>
          <w:rFonts w:ascii="Georgia" w:hAnsi="Georgia"/>
          <w:color w:val="2A2A2A"/>
          <w:sz w:val="24"/>
          <w:szCs w:val="24"/>
          <w:shd w:val="clear" w:color="auto" w:fill="FFFFFF"/>
        </w:rPr>
        <w:t>.</w:t>
      </w:r>
      <w:r>
        <w:rPr>
          <w:rStyle w:val="FootnoteReference"/>
          <w:rFonts w:ascii="Georgia" w:hAnsi="Georgia"/>
          <w:color w:val="2A2A2A"/>
          <w:sz w:val="24"/>
          <w:szCs w:val="24"/>
          <w:shd w:val="clear" w:color="auto" w:fill="FFFFFF"/>
        </w:rPr>
        <w:footnoteReference w:id="2"/>
      </w:r>
      <w:r w:rsidRPr="00827AB4">
        <w:rPr>
          <w:rStyle w:val="FootnoteReference"/>
          <w:rFonts w:ascii="Georgia" w:hAnsi="Georgia"/>
          <w:color w:val="2A2A2A"/>
          <w:sz w:val="24"/>
          <w:szCs w:val="24"/>
          <w:shd w:val="clear" w:color="auto" w:fill="FFFFFF"/>
        </w:rPr>
        <w:t xml:space="preserve"> </w:t>
      </w:r>
      <w:r>
        <w:rPr>
          <w:rFonts w:ascii="Georgia" w:hAnsi="Georgia"/>
          <w:color w:val="2A2A2A"/>
          <w:sz w:val="24"/>
          <w:szCs w:val="24"/>
          <w:shd w:val="clear" w:color="auto" w:fill="FFFFFF"/>
        </w:rPr>
        <w:t xml:space="preserve">This became a key aim of this piece: to make my reader think about the kind of intimacy and shared connection that can be had without a romantic love, to take into consideration the kind of love that we all overlook at times – that of a friend. </w:t>
      </w:r>
    </w:p>
    <w:p w14:paraId="06AB4858" w14:textId="696E9BAC" w:rsidR="00827AB4" w:rsidRDefault="00827AB4" w:rsidP="00827AB4">
      <w:pPr>
        <w:spacing w:line="480" w:lineRule="auto"/>
        <w:ind w:firstLine="720"/>
        <w:jc w:val="both"/>
        <w:rPr>
          <w:rFonts w:ascii="Georgia" w:hAnsi="Georgia"/>
          <w:color w:val="2A2A2A"/>
          <w:sz w:val="24"/>
          <w:szCs w:val="24"/>
          <w:shd w:val="clear" w:color="auto" w:fill="FFFFFF"/>
        </w:rPr>
      </w:pPr>
      <w:r>
        <w:rPr>
          <w:rFonts w:ascii="Georgia" w:hAnsi="Georgia"/>
          <w:color w:val="2A2A2A"/>
          <w:sz w:val="24"/>
          <w:szCs w:val="24"/>
          <w:shd w:val="clear" w:color="auto" w:fill="FFFFFF"/>
        </w:rPr>
        <w:t>I chose</w:t>
      </w:r>
      <w:r w:rsidR="009F77ED">
        <w:rPr>
          <w:rFonts w:ascii="Georgia" w:hAnsi="Georgia"/>
          <w:color w:val="2A2A2A"/>
          <w:sz w:val="24"/>
          <w:szCs w:val="24"/>
          <w:shd w:val="clear" w:color="auto" w:fill="FFFFFF"/>
        </w:rPr>
        <w:t xml:space="preserve"> to not include character dialogue in my piece, as a felt that it created a more fairy-tale style narrative that would feel, to a reader, as though they were being told a story of something that had truly happened, where remembering every word that had been said would be impossible. This stylistic choice was inspired by ‘</w:t>
      </w:r>
      <w:r w:rsidR="009F77ED" w:rsidRPr="009F77ED">
        <w:rPr>
          <w:rFonts w:ascii="Georgia" w:hAnsi="Georgia"/>
          <w:i/>
          <w:iCs/>
          <w:color w:val="2A2A2A"/>
          <w:sz w:val="24"/>
          <w:szCs w:val="24"/>
          <w:shd w:val="clear" w:color="auto" w:fill="FFFFFF"/>
        </w:rPr>
        <w:t>Grimms Complete Fairy</w:t>
      </w:r>
      <w:r w:rsidR="001C21F5">
        <w:rPr>
          <w:rFonts w:ascii="Georgia" w:hAnsi="Georgia"/>
          <w:i/>
          <w:iCs/>
          <w:color w:val="2A2A2A"/>
          <w:sz w:val="24"/>
          <w:szCs w:val="24"/>
          <w:shd w:val="clear" w:color="auto" w:fill="FFFFFF"/>
        </w:rPr>
        <w:t xml:space="preserve"> T</w:t>
      </w:r>
      <w:r w:rsidR="009F77ED" w:rsidRPr="009F77ED">
        <w:rPr>
          <w:rFonts w:ascii="Georgia" w:hAnsi="Georgia"/>
          <w:i/>
          <w:iCs/>
          <w:color w:val="2A2A2A"/>
          <w:sz w:val="24"/>
          <w:szCs w:val="24"/>
          <w:shd w:val="clear" w:color="auto" w:fill="FFFFFF"/>
        </w:rPr>
        <w:t xml:space="preserve">ales’ </w:t>
      </w:r>
      <w:r w:rsidR="001C21F5" w:rsidRPr="001C21F5">
        <w:rPr>
          <w:rFonts w:ascii="Georgia" w:hAnsi="Georgia"/>
          <w:color w:val="2A2A2A"/>
          <w:sz w:val="24"/>
          <w:szCs w:val="24"/>
          <w:shd w:val="clear" w:color="auto" w:fill="FFFFFF"/>
        </w:rPr>
        <w:t xml:space="preserve">where </w:t>
      </w:r>
      <w:r w:rsidR="001C21F5">
        <w:rPr>
          <w:rFonts w:ascii="Georgia" w:hAnsi="Georgia"/>
          <w:color w:val="2A2A2A"/>
          <w:sz w:val="24"/>
          <w:szCs w:val="24"/>
          <w:shd w:val="clear" w:color="auto" w:fill="FFFFFF"/>
        </w:rPr>
        <w:t>a similar technique was applied to great effect.</w:t>
      </w:r>
      <w:r w:rsidR="001C21F5">
        <w:rPr>
          <w:rStyle w:val="FootnoteReference"/>
          <w:rFonts w:ascii="Georgia" w:hAnsi="Georgia"/>
          <w:sz w:val="24"/>
          <w:szCs w:val="24"/>
        </w:rPr>
        <w:footnoteReference w:id="3"/>
      </w:r>
      <w:r w:rsidR="001C21F5">
        <w:rPr>
          <w:rFonts w:ascii="Georgia" w:hAnsi="Georgia"/>
          <w:color w:val="2A2A2A"/>
          <w:sz w:val="24"/>
          <w:szCs w:val="24"/>
          <w:shd w:val="clear" w:color="auto" w:fill="FFFFFF"/>
        </w:rPr>
        <w:t xml:space="preserve"> After receiving feedback on my draft, </w:t>
      </w:r>
      <w:r w:rsidR="00FC5399">
        <w:rPr>
          <w:rFonts w:ascii="Georgia" w:hAnsi="Georgia"/>
          <w:color w:val="2A2A2A"/>
          <w:sz w:val="24"/>
          <w:szCs w:val="24"/>
          <w:shd w:val="clear" w:color="auto" w:fill="FFFFFF"/>
        </w:rPr>
        <w:t>i</w:t>
      </w:r>
      <w:r w:rsidR="001C21F5">
        <w:rPr>
          <w:rFonts w:ascii="Georgia" w:hAnsi="Georgia"/>
          <w:color w:val="2A2A2A"/>
          <w:sz w:val="24"/>
          <w:szCs w:val="24"/>
          <w:shd w:val="clear" w:color="auto" w:fill="FFFFFF"/>
        </w:rPr>
        <w:t xml:space="preserve">t was pointed out that </w:t>
      </w:r>
      <w:r w:rsidR="00FC5399">
        <w:rPr>
          <w:rFonts w:ascii="Georgia" w:hAnsi="Georgia"/>
          <w:color w:val="2A2A2A"/>
          <w:sz w:val="24"/>
          <w:szCs w:val="24"/>
          <w:shd w:val="clear" w:color="auto" w:fill="FFFFFF"/>
        </w:rPr>
        <w:t>though the style was greatly fitting for a myth, it was lacking in some of the key sensory proofs and description that would make it accessible to the reader. Upon editing the piece, I attempted to incorporate more of these skills to enhance the realism of the story (it’s verisimilitude) and bring a reader into the world a little more convincingly. I believe, with the addition of sensory proofs surrounding the setting and weather (a key theme in my story) I have done this.</w:t>
      </w:r>
    </w:p>
    <w:p w14:paraId="248E61B8" w14:textId="2241B4EF" w:rsidR="001979E3" w:rsidRDefault="00CC72CE" w:rsidP="00827AB4">
      <w:pPr>
        <w:spacing w:line="480" w:lineRule="auto"/>
        <w:ind w:firstLine="720"/>
        <w:jc w:val="both"/>
        <w:rPr>
          <w:rFonts w:ascii="Georgia" w:hAnsi="Georgia"/>
          <w:sz w:val="24"/>
          <w:szCs w:val="24"/>
        </w:rPr>
      </w:pPr>
      <w:r>
        <w:rPr>
          <w:rFonts w:ascii="Georgia" w:hAnsi="Georgia"/>
          <w:sz w:val="24"/>
          <w:szCs w:val="24"/>
        </w:rPr>
        <w:t>One of my biggest</w:t>
      </w:r>
      <w:r w:rsidR="00FC5399">
        <w:rPr>
          <w:rFonts w:ascii="Georgia" w:hAnsi="Georgia"/>
          <w:sz w:val="24"/>
          <w:szCs w:val="24"/>
        </w:rPr>
        <w:t xml:space="preserve"> inspiration</w:t>
      </w:r>
      <w:r>
        <w:rPr>
          <w:rFonts w:ascii="Georgia" w:hAnsi="Georgia"/>
          <w:sz w:val="24"/>
          <w:szCs w:val="24"/>
        </w:rPr>
        <w:t>s</w:t>
      </w:r>
      <w:r w:rsidR="00FC5399">
        <w:rPr>
          <w:rFonts w:ascii="Georgia" w:hAnsi="Georgia"/>
          <w:sz w:val="24"/>
          <w:szCs w:val="24"/>
        </w:rPr>
        <w:t xml:space="preserve"> for my Magic Realism pieces wa</w:t>
      </w:r>
      <w:r>
        <w:rPr>
          <w:rFonts w:ascii="Georgia" w:hAnsi="Georgia"/>
          <w:sz w:val="24"/>
          <w:szCs w:val="24"/>
        </w:rPr>
        <w:t xml:space="preserve">s </w:t>
      </w:r>
      <w:r w:rsidR="001979E3">
        <w:rPr>
          <w:rFonts w:ascii="Georgia" w:hAnsi="Georgia"/>
          <w:sz w:val="24"/>
          <w:szCs w:val="24"/>
        </w:rPr>
        <w:t xml:space="preserve">Cassandra Clare’s continuing book series, </w:t>
      </w:r>
      <w:proofErr w:type="spellStart"/>
      <w:r w:rsidR="001979E3">
        <w:rPr>
          <w:rFonts w:ascii="Georgia" w:hAnsi="Georgia"/>
          <w:sz w:val="24"/>
          <w:szCs w:val="24"/>
        </w:rPr>
        <w:t>Shadowhunters</w:t>
      </w:r>
      <w:proofErr w:type="spellEnd"/>
      <w:r w:rsidR="001979E3">
        <w:rPr>
          <w:rFonts w:ascii="Georgia" w:hAnsi="Georgia"/>
          <w:sz w:val="24"/>
          <w:szCs w:val="24"/>
        </w:rPr>
        <w:t xml:space="preserve">, in particular the first published book in the set, </w:t>
      </w:r>
      <w:r w:rsidR="001979E3" w:rsidRPr="001979E3">
        <w:rPr>
          <w:rFonts w:ascii="Georgia" w:hAnsi="Georgia"/>
          <w:i/>
          <w:iCs/>
          <w:sz w:val="24"/>
          <w:szCs w:val="24"/>
        </w:rPr>
        <w:t>‘</w:t>
      </w:r>
      <w:r w:rsidR="001979E3">
        <w:rPr>
          <w:rFonts w:ascii="Georgia" w:hAnsi="Georgia"/>
          <w:i/>
          <w:iCs/>
          <w:sz w:val="24"/>
          <w:szCs w:val="24"/>
        </w:rPr>
        <w:t>City of Bones</w:t>
      </w:r>
      <w:r w:rsidR="001979E3" w:rsidRPr="001979E3">
        <w:rPr>
          <w:rFonts w:ascii="Georgia" w:hAnsi="Georgia"/>
          <w:i/>
          <w:iCs/>
          <w:sz w:val="24"/>
          <w:szCs w:val="24"/>
        </w:rPr>
        <w:t>’</w:t>
      </w:r>
      <w:r w:rsidR="001979E3">
        <w:rPr>
          <w:rFonts w:ascii="Georgia" w:hAnsi="Georgia"/>
          <w:sz w:val="24"/>
          <w:szCs w:val="24"/>
        </w:rPr>
        <w:t>.</w:t>
      </w:r>
      <w:r w:rsidR="001979E3">
        <w:rPr>
          <w:rStyle w:val="FootnoteReference"/>
          <w:rFonts w:ascii="Georgia" w:hAnsi="Georgia"/>
          <w:sz w:val="24"/>
          <w:szCs w:val="24"/>
        </w:rPr>
        <w:footnoteReference w:id="4"/>
      </w:r>
      <w:r w:rsidR="001979E3">
        <w:rPr>
          <w:rFonts w:ascii="Georgia" w:hAnsi="Georgia"/>
          <w:sz w:val="24"/>
          <w:szCs w:val="24"/>
        </w:rPr>
        <w:t xml:space="preserve"> The world that is conjured in these books is a secret one, hiding in plain sight amongst our own, with its own peoples, places and customs completely unknown to the rest of the ‘real’ world. Similarly, in Holly Blacks ‘</w:t>
      </w:r>
      <w:r w:rsidR="001979E3" w:rsidRPr="001979E3">
        <w:rPr>
          <w:rFonts w:ascii="Georgia" w:hAnsi="Georgia"/>
          <w:i/>
          <w:iCs/>
          <w:sz w:val="24"/>
          <w:szCs w:val="24"/>
        </w:rPr>
        <w:t>Modern Fairytales’</w:t>
      </w:r>
      <w:r w:rsidR="001979E3">
        <w:rPr>
          <w:rFonts w:ascii="Georgia" w:hAnsi="Georgia"/>
          <w:sz w:val="24"/>
          <w:szCs w:val="24"/>
        </w:rPr>
        <w:t xml:space="preserve">, she sets up </w:t>
      </w:r>
      <w:r w:rsidR="00CE6F24">
        <w:rPr>
          <w:rFonts w:ascii="Georgia" w:hAnsi="Georgia"/>
          <w:sz w:val="24"/>
          <w:szCs w:val="24"/>
        </w:rPr>
        <w:t xml:space="preserve">a world hidden underneath and among ours, much darker in </w:t>
      </w:r>
      <w:r w:rsidR="00CE6F24">
        <w:rPr>
          <w:rFonts w:ascii="Georgia" w:hAnsi="Georgia"/>
          <w:sz w:val="24"/>
          <w:szCs w:val="24"/>
        </w:rPr>
        <w:lastRenderedPageBreak/>
        <w:t xml:space="preserve">style and substance, that Clare’s, but both with magic societies unknown to humans. </w:t>
      </w:r>
      <w:r w:rsidR="00CE6F24">
        <w:rPr>
          <w:rStyle w:val="FootnoteReference"/>
          <w:rFonts w:ascii="Georgia" w:hAnsi="Georgia"/>
          <w:sz w:val="24"/>
          <w:szCs w:val="24"/>
        </w:rPr>
        <w:footnoteReference w:id="5"/>
      </w:r>
      <w:r w:rsidR="00CE6F24">
        <w:rPr>
          <w:rFonts w:ascii="Georgia" w:hAnsi="Georgia"/>
          <w:sz w:val="24"/>
          <w:szCs w:val="24"/>
        </w:rPr>
        <w:t xml:space="preserve"> This influenced my creation of the ‘When Prophets Lie’ story, as they made me ask the question ‘what if they weren’t hidden?’. During a worldbuilding workshop, I began with the thought, what if the society wasn’t a secret, but living along side the human one. I wanted to still create the same verisimilitude as these authors had, making the world believable as ours, using sensory proofs and relatable, real-feeling characters</w:t>
      </w:r>
      <w:r w:rsidR="00BA1EDC">
        <w:rPr>
          <w:rFonts w:ascii="Georgia" w:hAnsi="Georgia"/>
          <w:sz w:val="24"/>
          <w:szCs w:val="24"/>
        </w:rPr>
        <w:t>;</w:t>
      </w:r>
      <w:r w:rsidR="00CE6F24">
        <w:rPr>
          <w:rFonts w:ascii="Georgia" w:hAnsi="Georgia"/>
          <w:sz w:val="24"/>
          <w:szCs w:val="24"/>
        </w:rPr>
        <w:t xml:space="preserve"> </w:t>
      </w:r>
      <w:r w:rsidR="00BA1EDC">
        <w:rPr>
          <w:rFonts w:ascii="Georgia" w:hAnsi="Georgia"/>
          <w:sz w:val="24"/>
          <w:szCs w:val="24"/>
        </w:rPr>
        <w:t>feedback I have received has indicated that I have created this believability.</w:t>
      </w:r>
    </w:p>
    <w:p w14:paraId="4B589B9B" w14:textId="6EFB7B0C" w:rsidR="00FC5399" w:rsidRDefault="00BA1EDC" w:rsidP="00827AB4">
      <w:pPr>
        <w:spacing w:line="480" w:lineRule="auto"/>
        <w:ind w:firstLine="720"/>
        <w:jc w:val="both"/>
        <w:rPr>
          <w:rFonts w:ascii="Georgia" w:hAnsi="Georgia"/>
          <w:sz w:val="24"/>
          <w:szCs w:val="24"/>
        </w:rPr>
      </w:pPr>
      <w:r>
        <w:rPr>
          <w:rFonts w:ascii="Georgia" w:hAnsi="Georgia"/>
          <w:sz w:val="24"/>
          <w:szCs w:val="24"/>
        </w:rPr>
        <w:t xml:space="preserve">A piece of fiction that inspired a big part of my stylistic choice for my work was </w:t>
      </w:r>
      <w:r w:rsidR="00CC72CE">
        <w:rPr>
          <w:rFonts w:ascii="Georgia" w:hAnsi="Georgia"/>
          <w:sz w:val="24"/>
          <w:szCs w:val="24"/>
        </w:rPr>
        <w:t>‘The Princess Bride’</w:t>
      </w:r>
      <w:r w:rsidR="001979E3">
        <w:rPr>
          <w:rFonts w:ascii="Georgia" w:hAnsi="Georgia"/>
          <w:sz w:val="24"/>
          <w:szCs w:val="24"/>
        </w:rPr>
        <w:t>, originally written by S. Morgenstern, but abridged and re-published by William Goldman for ease of read.</w:t>
      </w:r>
      <w:r w:rsidR="007F4BE4" w:rsidRPr="007F4BE4">
        <w:rPr>
          <w:rStyle w:val="FootnoteReference"/>
          <w:rFonts w:ascii="Georgia" w:hAnsi="Georgia"/>
          <w:sz w:val="24"/>
          <w:szCs w:val="24"/>
        </w:rPr>
        <w:t xml:space="preserve"> </w:t>
      </w:r>
      <w:r w:rsidR="007F4BE4">
        <w:rPr>
          <w:rStyle w:val="FootnoteReference"/>
          <w:rFonts w:ascii="Georgia" w:hAnsi="Georgia"/>
          <w:sz w:val="24"/>
          <w:szCs w:val="24"/>
        </w:rPr>
        <w:footnoteReference w:id="6"/>
      </w:r>
      <w:r w:rsidR="007F4BE4">
        <w:rPr>
          <w:rFonts w:ascii="Georgia" w:hAnsi="Georgia"/>
          <w:sz w:val="24"/>
          <w:szCs w:val="24"/>
        </w:rPr>
        <w:t xml:space="preserve"> </w:t>
      </w:r>
      <w:r w:rsidR="00BE6A85">
        <w:rPr>
          <w:rFonts w:ascii="Georgia" w:hAnsi="Georgia"/>
          <w:sz w:val="24"/>
          <w:szCs w:val="24"/>
        </w:rPr>
        <w:t>H</w:t>
      </w:r>
      <w:r w:rsidR="007F4BE4">
        <w:rPr>
          <w:rFonts w:ascii="Georgia" w:hAnsi="Georgia"/>
          <w:sz w:val="24"/>
          <w:szCs w:val="24"/>
        </w:rPr>
        <w:t>e use</w:t>
      </w:r>
      <w:r w:rsidR="00BE6A85">
        <w:rPr>
          <w:rFonts w:ascii="Georgia" w:hAnsi="Georgia"/>
          <w:sz w:val="24"/>
          <w:szCs w:val="24"/>
        </w:rPr>
        <w:t>d</w:t>
      </w:r>
      <w:r w:rsidR="007F4BE4">
        <w:rPr>
          <w:rFonts w:ascii="Georgia" w:hAnsi="Georgia"/>
          <w:sz w:val="24"/>
          <w:szCs w:val="24"/>
        </w:rPr>
        <w:t xml:space="preserve"> brackets to communicate with the reader, in a comedic sense mostly, making quips on his own writing</w:t>
      </w:r>
      <w:r w:rsidR="00BE6A85">
        <w:rPr>
          <w:rFonts w:ascii="Georgia" w:hAnsi="Georgia"/>
          <w:sz w:val="24"/>
          <w:szCs w:val="24"/>
        </w:rPr>
        <w:t>: “The Horse’s name was “Horse” (Buttercup was never long on imagination) and it came when she called it, went where she steered it, did what she told it.” I wanted to emulate this style, but with the addition of the narrator’s voice being more present, using first person pronouns, and expressing clear opinions on events taking place. I felt that this would make the narrative style unique to my piece, and something I had not seen done before in this way, it also allowed me to build and break tension with humorous narrative breaks. I believe this was effective, from feedback I received on my narrative style and the tension in the scene.</w:t>
      </w:r>
    </w:p>
    <w:p w14:paraId="3BFB32AE" w14:textId="77777777" w:rsidR="004163F2" w:rsidRDefault="001B1598" w:rsidP="004163F2">
      <w:pPr>
        <w:spacing w:line="480" w:lineRule="auto"/>
        <w:ind w:firstLine="720"/>
        <w:jc w:val="both"/>
        <w:rPr>
          <w:rFonts w:ascii="Georgia" w:hAnsi="Georgia"/>
          <w:sz w:val="24"/>
          <w:szCs w:val="24"/>
        </w:rPr>
      </w:pPr>
      <w:r>
        <w:rPr>
          <w:rFonts w:ascii="Georgia" w:hAnsi="Georgia"/>
          <w:sz w:val="24"/>
          <w:szCs w:val="24"/>
        </w:rPr>
        <w:t>In conclusion, my aims for ‘</w:t>
      </w:r>
      <w:r w:rsidRPr="001B1598">
        <w:rPr>
          <w:rFonts w:ascii="Georgia" w:hAnsi="Georgia"/>
          <w:i/>
          <w:iCs/>
          <w:sz w:val="24"/>
          <w:szCs w:val="24"/>
        </w:rPr>
        <w:t>Embers Burn’</w:t>
      </w:r>
      <w:r>
        <w:rPr>
          <w:rFonts w:ascii="Georgia" w:hAnsi="Georgia"/>
          <w:sz w:val="24"/>
          <w:szCs w:val="24"/>
        </w:rPr>
        <w:t xml:space="preserve"> were to create an oral storytelling narrative that felt real for the Origin Myth style, and to make my readers contemplate the meaning of love, as a wider sense and not only in romantic terms, thereby subverting the expectation of a </w:t>
      </w:r>
      <w:r w:rsidR="002D46D3">
        <w:rPr>
          <w:rFonts w:ascii="Georgia" w:hAnsi="Georgia"/>
          <w:sz w:val="24"/>
          <w:szCs w:val="24"/>
        </w:rPr>
        <w:t xml:space="preserve">fairytale/myth where this is often the key theme. I think </w:t>
      </w:r>
      <w:r w:rsidR="002D46D3">
        <w:rPr>
          <w:rFonts w:ascii="Georgia" w:hAnsi="Georgia"/>
          <w:sz w:val="24"/>
          <w:szCs w:val="24"/>
        </w:rPr>
        <w:lastRenderedPageBreak/>
        <w:t xml:space="preserve">I have accomplished these aims, but If I were to have more time with this </w:t>
      </w:r>
      <w:proofErr w:type="gramStart"/>
      <w:r w:rsidR="002D46D3">
        <w:rPr>
          <w:rFonts w:ascii="Georgia" w:hAnsi="Georgia"/>
          <w:sz w:val="24"/>
          <w:szCs w:val="24"/>
        </w:rPr>
        <w:t>piece</w:t>
      </w:r>
      <w:proofErr w:type="gramEnd"/>
      <w:r w:rsidR="002D46D3">
        <w:rPr>
          <w:rFonts w:ascii="Georgia" w:hAnsi="Georgia"/>
          <w:sz w:val="24"/>
          <w:szCs w:val="24"/>
        </w:rPr>
        <w:t xml:space="preserve"> I might focus on implementing some more sensory proofs to make the world feel more real. My aims for ‘When Prophets Lie’ were to create tension with the speech of the god</w:t>
      </w:r>
      <w:r w:rsidR="004163F2">
        <w:rPr>
          <w:rFonts w:ascii="Georgia" w:hAnsi="Georgia"/>
          <w:sz w:val="24"/>
          <w:szCs w:val="24"/>
        </w:rPr>
        <w:t>,</w:t>
      </w:r>
      <w:r w:rsidR="002D46D3">
        <w:rPr>
          <w:rFonts w:ascii="Georgia" w:hAnsi="Georgia"/>
          <w:sz w:val="24"/>
          <w:szCs w:val="24"/>
        </w:rPr>
        <w:t xml:space="preserve"> break it with light-hearted comments from the narrator and to make the setting realistic and instil a sense of verisimilitude. I have </w:t>
      </w:r>
      <w:proofErr w:type="gramStart"/>
      <w:r w:rsidR="004163F2">
        <w:rPr>
          <w:rFonts w:ascii="Georgia" w:hAnsi="Georgia"/>
          <w:sz w:val="24"/>
          <w:szCs w:val="24"/>
        </w:rPr>
        <w:t>believe</w:t>
      </w:r>
      <w:proofErr w:type="gramEnd"/>
      <w:r w:rsidR="004163F2">
        <w:rPr>
          <w:rFonts w:ascii="Georgia" w:hAnsi="Georgia"/>
          <w:sz w:val="24"/>
          <w:szCs w:val="24"/>
        </w:rPr>
        <w:t xml:space="preserve"> I have </w:t>
      </w:r>
      <w:r w:rsidR="002D46D3">
        <w:rPr>
          <w:rFonts w:ascii="Georgia" w:hAnsi="Georgia"/>
          <w:sz w:val="24"/>
          <w:szCs w:val="24"/>
        </w:rPr>
        <w:t xml:space="preserve">achieved </w:t>
      </w:r>
      <w:r w:rsidR="004163F2">
        <w:rPr>
          <w:rFonts w:ascii="Georgia" w:hAnsi="Georgia"/>
          <w:sz w:val="24"/>
          <w:szCs w:val="24"/>
        </w:rPr>
        <w:t>both of these aims, through re-drafting and feedback from my peers.</w:t>
      </w:r>
    </w:p>
    <w:p w14:paraId="33FDD37D" w14:textId="77777777" w:rsidR="004163F2" w:rsidRDefault="004163F2" w:rsidP="004163F2">
      <w:pPr>
        <w:spacing w:line="480" w:lineRule="auto"/>
        <w:ind w:firstLine="720"/>
        <w:jc w:val="both"/>
        <w:rPr>
          <w:rFonts w:ascii="Georgia" w:hAnsi="Georgia"/>
          <w:sz w:val="24"/>
          <w:szCs w:val="24"/>
        </w:rPr>
      </w:pPr>
    </w:p>
    <w:p w14:paraId="49F2F298" w14:textId="77777777" w:rsidR="004163F2" w:rsidRDefault="004163F2" w:rsidP="004163F2">
      <w:pPr>
        <w:spacing w:line="480" w:lineRule="auto"/>
        <w:ind w:firstLine="720"/>
        <w:jc w:val="both"/>
        <w:rPr>
          <w:rFonts w:ascii="Georgia" w:hAnsi="Georgia"/>
          <w:sz w:val="24"/>
          <w:szCs w:val="24"/>
        </w:rPr>
      </w:pPr>
    </w:p>
    <w:p w14:paraId="3BA10C80" w14:textId="77777777" w:rsidR="004163F2" w:rsidRDefault="004163F2" w:rsidP="004163F2">
      <w:pPr>
        <w:spacing w:line="480" w:lineRule="auto"/>
        <w:ind w:firstLine="720"/>
        <w:jc w:val="both"/>
        <w:rPr>
          <w:rFonts w:ascii="Georgia" w:hAnsi="Georgia"/>
          <w:sz w:val="24"/>
          <w:szCs w:val="24"/>
        </w:rPr>
      </w:pPr>
    </w:p>
    <w:p w14:paraId="621E7092" w14:textId="77777777" w:rsidR="004163F2" w:rsidRDefault="004163F2" w:rsidP="004163F2">
      <w:pPr>
        <w:spacing w:line="480" w:lineRule="auto"/>
        <w:ind w:firstLine="720"/>
        <w:jc w:val="both"/>
        <w:rPr>
          <w:rFonts w:ascii="Georgia" w:hAnsi="Georgia"/>
          <w:sz w:val="24"/>
          <w:szCs w:val="24"/>
        </w:rPr>
      </w:pPr>
    </w:p>
    <w:p w14:paraId="315A0746" w14:textId="77777777" w:rsidR="004163F2" w:rsidRDefault="004163F2" w:rsidP="004163F2">
      <w:pPr>
        <w:spacing w:line="480" w:lineRule="auto"/>
        <w:ind w:firstLine="720"/>
        <w:jc w:val="both"/>
        <w:rPr>
          <w:rFonts w:ascii="Georgia" w:hAnsi="Georgia"/>
          <w:sz w:val="24"/>
          <w:szCs w:val="24"/>
        </w:rPr>
      </w:pPr>
    </w:p>
    <w:p w14:paraId="56C1207B" w14:textId="77777777" w:rsidR="004163F2" w:rsidRDefault="004163F2" w:rsidP="004163F2">
      <w:pPr>
        <w:spacing w:line="480" w:lineRule="auto"/>
        <w:ind w:firstLine="720"/>
        <w:jc w:val="both"/>
        <w:rPr>
          <w:rFonts w:ascii="Georgia" w:hAnsi="Georgia"/>
          <w:sz w:val="24"/>
          <w:szCs w:val="24"/>
        </w:rPr>
      </w:pPr>
    </w:p>
    <w:p w14:paraId="306F8050" w14:textId="77777777" w:rsidR="004163F2" w:rsidRDefault="004163F2" w:rsidP="004163F2">
      <w:pPr>
        <w:spacing w:line="480" w:lineRule="auto"/>
        <w:ind w:firstLine="720"/>
        <w:jc w:val="both"/>
        <w:rPr>
          <w:rFonts w:ascii="Georgia" w:hAnsi="Georgia"/>
          <w:sz w:val="24"/>
          <w:szCs w:val="24"/>
        </w:rPr>
      </w:pPr>
    </w:p>
    <w:p w14:paraId="7A8EFE66" w14:textId="77777777" w:rsidR="004163F2" w:rsidRDefault="004163F2" w:rsidP="004163F2">
      <w:pPr>
        <w:spacing w:line="480" w:lineRule="auto"/>
        <w:ind w:firstLine="720"/>
        <w:jc w:val="both"/>
        <w:rPr>
          <w:rFonts w:ascii="Georgia" w:hAnsi="Georgia"/>
          <w:sz w:val="24"/>
          <w:szCs w:val="24"/>
        </w:rPr>
      </w:pPr>
    </w:p>
    <w:p w14:paraId="74B9ABD3" w14:textId="77777777" w:rsidR="004163F2" w:rsidRDefault="004163F2" w:rsidP="004163F2">
      <w:pPr>
        <w:spacing w:line="480" w:lineRule="auto"/>
        <w:ind w:firstLine="720"/>
        <w:jc w:val="both"/>
        <w:rPr>
          <w:rFonts w:ascii="Georgia" w:hAnsi="Georgia"/>
          <w:sz w:val="24"/>
          <w:szCs w:val="24"/>
        </w:rPr>
      </w:pPr>
    </w:p>
    <w:p w14:paraId="666A7D10" w14:textId="77777777" w:rsidR="004163F2" w:rsidRDefault="004163F2" w:rsidP="004163F2">
      <w:pPr>
        <w:spacing w:line="480" w:lineRule="auto"/>
        <w:ind w:firstLine="720"/>
        <w:jc w:val="both"/>
        <w:rPr>
          <w:rFonts w:ascii="Georgia" w:hAnsi="Georgia"/>
          <w:sz w:val="24"/>
          <w:szCs w:val="24"/>
        </w:rPr>
      </w:pPr>
    </w:p>
    <w:p w14:paraId="7F227280" w14:textId="77777777" w:rsidR="004163F2" w:rsidRDefault="004163F2" w:rsidP="004163F2">
      <w:pPr>
        <w:spacing w:line="480" w:lineRule="auto"/>
        <w:ind w:firstLine="720"/>
        <w:jc w:val="both"/>
        <w:rPr>
          <w:rFonts w:ascii="Georgia" w:hAnsi="Georgia"/>
          <w:sz w:val="24"/>
          <w:szCs w:val="24"/>
        </w:rPr>
      </w:pPr>
    </w:p>
    <w:p w14:paraId="07F98490" w14:textId="77777777" w:rsidR="004163F2" w:rsidRDefault="004163F2" w:rsidP="004163F2">
      <w:pPr>
        <w:spacing w:line="480" w:lineRule="auto"/>
        <w:ind w:firstLine="720"/>
        <w:jc w:val="both"/>
        <w:rPr>
          <w:rFonts w:ascii="Georgia" w:hAnsi="Georgia"/>
          <w:sz w:val="24"/>
          <w:szCs w:val="24"/>
        </w:rPr>
      </w:pPr>
    </w:p>
    <w:p w14:paraId="016EB29A" w14:textId="77777777" w:rsidR="004163F2" w:rsidRDefault="004163F2" w:rsidP="004163F2">
      <w:pPr>
        <w:spacing w:line="480" w:lineRule="auto"/>
        <w:ind w:firstLine="720"/>
        <w:jc w:val="both"/>
        <w:rPr>
          <w:rFonts w:ascii="Georgia" w:hAnsi="Georgia"/>
          <w:sz w:val="24"/>
          <w:szCs w:val="24"/>
        </w:rPr>
      </w:pPr>
    </w:p>
    <w:p w14:paraId="7052D2E0" w14:textId="77777777" w:rsidR="004163F2" w:rsidRPr="00C20279" w:rsidRDefault="004163F2" w:rsidP="004163F2">
      <w:pPr>
        <w:spacing w:line="480" w:lineRule="auto"/>
        <w:ind w:firstLine="720"/>
        <w:jc w:val="both"/>
        <w:rPr>
          <w:rFonts w:ascii="Georgia" w:hAnsi="Georgia"/>
          <w:sz w:val="24"/>
          <w:szCs w:val="24"/>
        </w:rPr>
      </w:pPr>
    </w:p>
    <w:sdt>
      <w:sdtPr>
        <w:id w:val="-198137818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ED41002" w14:textId="5AEC46D5" w:rsidR="004163F2" w:rsidRDefault="004163F2">
          <w:pPr>
            <w:pStyle w:val="Heading1"/>
          </w:pPr>
          <w:r>
            <w:t>Bibliography</w:t>
          </w:r>
        </w:p>
        <w:sdt>
          <w:sdtPr>
            <w:id w:val="111145805"/>
            <w:bibliography/>
          </w:sdtPr>
          <w:sdtContent>
            <w:p w14:paraId="281790B9" w14:textId="77777777" w:rsidR="005D6C12" w:rsidRDefault="005D6C12" w:rsidP="005D6C12">
              <w:pPr>
                <w:rPr>
                  <w:rFonts w:cstheme="minorHAnsi"/>
                </w:rPr>
              </w:pPr>
              <w:r>
                <w:t xml:space="preserve">Black, Holly, </w:t>
              </w:r>
              <w:r>
                <w:rPr>
                  <w:i/>
                  <w:iCs/>
                </w:rPr>
                <w:t xml:space="preserve">The </w:t>
              </w:r>
              <w:r w:rsidRPr="004652DE">
                <w:rPr>
                  <w:i/>
                  <w:iCs/>
                </w:rPr>
                <w:t>Modern fairytales</w:t>
              </w:r>
              <w:r>
                <w:t xml:space="preserve"> (London, Simon and Schuster, 2019)</w:t>
              </w:r>
            </w:p>
            <w:p w14:paraId="3C142932" w14:textId="2B17CC7F" w:rsidR="005D6C12" w:rsidRDefault="004163F2" w:rsidP="005D6C12">
              <w:r w:rsidRPr="005D6C12">
                <w:rPr>
                  <w:rFonts w:cstheme="minorHAnsi"/>
                </w:rPr>
                <w:fldChar w:fldCharType="begin"/>
              </w:r>
              <w:r w:rsidRPr="005D6C12">
                <w:rPr>
                  <w:rFonts w:cstheme="minorHAnsi"/>
                </w:rPr>
                <w:instrText xml:space="preserve"> BIBLIOGRAPHY </w:instrText>
              </w:r>
              <w:r w:rsidRPr="005D6C12">
                <w:rPr>
                  <w:rFonts w:cstheme="minorHAnsi"/>
                </w:rPr>
                <w:fldChar w:fldCharType="separate"/>
              </w:r>
              <w:r w:rsidR="005D6C12" w:rsidRPr="005D6C12">
                <w:rPr>
                  <w:rFonts w:cstheme="minorHAnsi"/>
                </w:rPr>
                <w:t>Bullfinch,</w:t>
              </w:r>
              <w:r w:rsidR="005D6C12">
                <w:rPr>
                  <w:rFonts w:cstheme="minorHAnsi"/>
                </w:rPr>
                <w:t xml:space="preserve"> Thomas,</w:t>
              </w:r>
              <w:r w:rsidR="005D6C12" w:rsidRPr="005D6C12">
                <w:rPr>
                  <w:rFonts w:cstheme="minorHAnsi"/>
                </w:rPr>
                <w:t xml:space="preserve"> </w:t>
              </w:r>
              <w:r w:rsidR="005D6C12" w:rsidRPr="005D6C12">
                <w:rPr>
                  <w:rFonts w:cstheme="minorHAnsi"/>
                  <w:i/>
                  <w:iCs/>
                </w:rPr>
                <w:t xml:space="preserve">Bullfinch’s Mythology </w:t>
              </w:r>
              <w:r w:rsidR="005D6C12" w:rsidRPr="005D6C12">
                <w:rPr>
                  <w:rFonts w:cstheme="minorHAnsi"/>
                </w:rPr>
                <w:t>(San Diego, Printers Row Publishing Group, 1867, 2014 canterbury classics edition)</w:t>
              </w:r>
              <w:r w:rsidRPr="005D6C12">
                <w:rPr>
                  <w:rFonts w:cstheme="minorHAnsi"/>
                  <w:b/>
                  <w:bCs/>
                  <w:noProof/>
                </w:rPr>
                <w:fldChar w:fldCharType="end"/>
              </w:r>
              <w:r w:rsidR="005D6C12" w:rsidRPr="005D6C12">
                <w:t xml:space="preserve"> </w:t>
              </w:r>
            </w:p>
            <w:p w14:paraId="1FAF45EB" w14:textId="77777777" w:rsidR="005D6C12" w:rsidRDefault="005D6C12" w:rsidP="005D6C12">
              <w:pPr>
                <w:rPr>
                  <w:rFonts w:cstheme="minorHAnsi"/>
                </w:rPr>
              </w:pPr>
              <w:r w:rsidRPr="005D6C12">
                <w:rPr>
                  <w:rFonts w:cstheme="minorHAnsi"/>
                </w:rPr>
                <w:t>Clare</w:t>
              </w:r>
              <w:r>
                <w:rPr>
                  <w:rFonts w:cstheme="minorHAnsi"/>
                </w:rPr>
                <w:t>,</w:t>
              </w:r>
              <w:r w:rsidRPr="005D6C12">
                <w:rPr>
                  <w:rFonts w:cstheme="minorHAnsi"/>
                </w:rPr>
                <w:t xml:space="preserve"> Cassandra, </w:t>
              </w:r>
              <w:r w:rsidRPr="005D6C12">
                <w:rPr>
                  <w:rFonts w:cstheme="minorHAnsi"/>
                  <w:i/>
                  <w:iCs/>
                </w:rPr>
                <w:t xml:space="preserve">City of bones, </w:t>
              </w:r>
              <w:proofErr w:type="spellStart"/>
              <w:r w:rsidRPr="005D6C12">
                <w:rPr>
                  <w:rFonts w:cstheme="minorHAnsi"/>
                  <w:i/>
                  <w:iCs/>
                </w:rPr>
                <w:t>Shadowhunters</w:t>
              </w:r>
              <w:proofErr w:type="spellEnd"/>
              <w:r w:rsidRPr="005D6C12">
                <w:rPr>
                  <w:rFonts w:cstheme="minorHAnsi"/>
                </w:rPr>
                <w:t xml:space="preserve"> (London, Walker Books, 2007)</w:t>
              </w:r>
            </w:p>
            <w:p w14:paraId="6D385DD9" w14:textId="77777777" w:rsidR="005D6C12" w:rsidRDefault="005D6C12" w:rsidP="005D6C12">
              <w:pPr>
                <w:rPr>
                  <w:rFonts w:cstheme="minorHAnsi"/>
                </w:rPr>
              </w:pPr>
              <w:r>
                <w:t>Goldman,</w:t>
              </w:r>
              <w:r w:rsidRPr="005D6C12">
                <w:t xml:space="preserve"> </w:t>
              </w:r>
              <w:r>
                <w:t xml:space="preserve">William, </w:t>
              </w:r>
              <w:r w:rsidRPr="004652DE">
                <w:rPr>
                  <w:i/>
                  <w:iCs/>
                </w:rPr>
                <w:t>The Princess bride</w:t>
              </w:r>
              <w:r>
                <w:t xml:space="preserve"> (United States, The Ballantine Publishing Group, 1999)</w:t>
              </w:r>
              <w:r w:rsidRPr="005D6C12">
                <w:rPr>
                  <w:rFonts w:cstheme="minorHAnsi"/>
                </w:rPr>
                <w:t xml:space="preserve"> </w:t>
              </w:r>
            </w:p>
            <w:p w14:paraId="34988909" w14:textId="497D7683" w:rsidR="005D6C12" w:rsidRDefault="005D6C12" w:rsidP="005D6C12">
              <w:pPr>
                <w:rPr>
                  <w:rFonts w:cstheme="minorHAnsi"/>
                  <w:b/>
                  <w:bCs/>
                  <w:noProof/>
                </w:rPr>
              </w:pPr>
              <w:r w:rsidRPr="005D6C12">
                <w:rPr>
                  <w:rFonts w:cstheme="minorHAnsi"/>
                </w:rPr>
                <w:t xml:space="preserve">Grimm, </w:t>
              </w:r>
              <w:r>
                <w:rPr>
                  <w:rFonts w:cstheme="minorHAnsi"/>
                </w:rPr>
                <w:t xml:space="preserve">Jacob, Grimm, </w:t>
              </w:r>
              <w:r w:rsidRPr="005D6C12">
                <w:rPr>
                  <w:rFonts w:cstheme="minorHAnsi"/>
                </w:rPr>
                <w:t xml:space="preserve">Wilhelm, </w:t>
              </w:r>
              <w:r w:rsidRPr="005D6C12">
                <w:rPr>
                  <w:rFonts w:cstheme="minorHAnsi"/>
                  <w:i/>
                  <w:iCs/>
                </w:rPr>
                <w:t xml:space="preserve">Grimm’s Complete Fairy Tales </w:t>
              </w:r>
              <w:r w:rsidRPr="005D6C12">
                <w:rPr>
                  <w:rFonts w:cstheme="minorHAnsi"/>
                </w:rPr>
                <w:t xml:space="preserve">(San Diego, Printers Row Publishing Group, 2014 Canterbury Classics Edition) </w:t>
              </w:r>
            </w:p>
            <w:p w14:paraId="46D0F85C" w14:textId="77777777" w:rsidR="005D6C12" w:rsidRDefault="005D6C12" w:rsidP="005D6C12">
              <w:pPr>
                <w:rPr>
                  <w:rFonts w:cstheme="minorHAnsi"/>
                </w:rPr>
              </w:pPr>
              <w:r w:rsidRPr="005D6C12">
                <w:rPr>
                  <w:rFonts w:cstheme="minorHAnsi"/>
                </w:rPr>
                <w:t xml:space="preserve">Pearson, </w:t>
              </w:r>
              <w:r>
                <w:rPr>
                  <w:rFonts w:cstheme="minorHAnsi"/>
                </w:rPr>
                <w:t xml:space="preserve">Wendy Gay, </w:t>
              </w:r>
              <w:r w:rsidRPr="005D6C12">
                <w:rPr>
                  <w:rFonts w:cstheme="minorHAnsi"/>
                  <w:i/>
                  <w:iCs/>
                </w:rPr>
                <w:t>Speculative Fiction and Queer Theory,</w:t>
              </w:r>
              <w:r w:rsidRPr="005D6C12">
                <w:rPr>
                  <w:rFonts w:cstheme="minorHAnsi"/>
                </w:rPr>
                <w:t xml:space="preserve"> Conclusion (Published online, 2022) </w:t>
              </w:r>
            </w:p>
            <w:p w14:paraId="1876EB8E" w14:textId="795ED0CD" w:rsidR="004163F2" w:rsidRPr="005D6C12" w:rsidRDefault="004163F2" w:rsidP="005D6C12">
              <w:pPr>
                <w:rPr>
                  <w:rFonts w:cstheme="minorHAnsi"/>
                </w:rPr>
              </w:pPr>
            </w:p>
          </w:sdtContent>
        </w:sdt>
      </w:sdtContent>
    </w:sdt>
    <w:p w14:paraId="54D8ABFB" w14:textId="7D0ECDD4" w:rsidR="004163F2" w:rsidRPr="00C20279" w:rsidRDefault="004163F2" w:rsidP="004163F2">
      <w:pPr>
        <w:spacing w:line="480" w:lineRule="auto"/>
        <w:ind w:firstLine="720"/>
        <w:jc w:val="both"/>
        <w:rPr>
          <w:rFonts w:ascii="Georgia" w:hAnsi="Georgia"/>
          <w:sz w:val="24"/>
          <w:szCs w:val="24"/>
        </w:rPr>
      </w:pPr>
    </w:p>
    <w:sectPr w:rsidR="004163F2" w:rsidRPr="00C202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49EB5" w14:textId="77777777" w:rsidR="00D73E09" w:rsidRDefault="00D73E09" w:rsidP="00E07E67">
      <w:pPr>
        <w:spacing w:after="0" w:line="240" w:lineRule="auto"/>
      </w:pPr>
      <w:r>
        <w:separator/>
      </w:r>
    </w:p>
  </w:endnote>
  <w:endnote w:type="continuationSeparator" w:id="0">
    <w:p w14:paraId="29655622" w14:textId="77777777" w:rsidR="00D73E09" w:rsidRDefault="00D73E09" w:rsidP="00E07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524DA" w14:textId="77777777" w:rsidR="00D73E09" w:rsidRDefault="00D73E09" w:rsidP="00E07E67">
      <w:pPr>
        <w:spacing w:after="0" w:line="240" w:lineRule="auto"/>
      </w:pPr>
      <w:r>
        <w:separator/>
      </w:r>
    </w:p>
  </w:footnote>
  <w:footnote w:type="continuationSeparator" w:id="0">
    <w:p w14:paraId="3C7FD5AB" w14:textId="77777777" w:rsidR="00D73E09" w:rsidRDefault="00D73E09" w:rsidP="00E07E67">
      <w:pPr>
        <w:spacing w:after="0" w:line="240" w:lineRule="auto"/>
      </w:pPr>
      <w:r>
        <w:continuationSeparator/>
      </w:r>
    </w:p>
  </w:footnote>
  <w:footnote w:id="1">
    <w:p w14:paraId="0DF60DC6" w14:textId="43AF783A" w:rsidR="00E07E67" w:rsidRPr="00381E50" w:rsidRDefault="00E07E67">
      <w:pPr>
        <w:pStyle w:val="FootnoteText"/>
      </w:pPr>
      <w:r>
        <w:rPr>
          <w:rStyle w:val="FootnoteReference"/>
        </w:rPr>
        <w:footnoteRef/>
      </w:r>
      <w:r>
        <w:t xml:space="preserve"> </w:t>
      </w:r>
      <w:r w:rsidR="00381E50">
        <w:t xml:space="preserve">Thomas </w:t>
      </w:r>
      <w:r>
        <w:t>Bullfinch</w:t>
      </w:r>
      <w:r w:rsidR="00381E50">
        <w:t xml:space="preserve">, </w:t>
      </w:r>
      <w:r w:rsidR="00381E50">
        <w:rPr>
          <w:i/>
          <w:iCs/>
        </w:rPr>
        <w:t xml:space="preserve">Bullfinch’s Mythology </w:t>
      </w:r>
      <w:r w:rsidR="00381E50">
        <w:t>(San Diego, Printers Row Publishing Group, 1867, 2014 canterbury classics edition)</w:t>
      </w:r>
    </w:p>
  </w:footnote>
  <w:footnote w:id="2">
    <w:p w14:paraId="661829C0" w14:textId="694929A8" w:rsidR="00827AB4" w:rsidRPr="00381E50" w:rsidRDefault="00827AB4" w:rsidP="00381E50">
      <w:pPr>
        <w:pStyle w:val="FootnoteText"/>
      </w:pPr>
      <w:r>
        <w:rPr>
          <w:rStyle w:val="FootnoteReference"/>
        </w:rPr>
        <w:footnoteRef/>
      </w:r>
      <w:r>
        <w:t xml:space="preserve"> Wendy </w:t>
      </w:r>
      <w:r w:rsidR="00381E50">
        <w:t>Ga</w:t>
      </w:r>
      <w:r>
        <w:t>y</w:t>
      </w:r>
      <w:r w:rsidR="00381E50">
        <w:t xml:space="preserve"> Pearson, </w:t>
      </w:r>
      <w:r w:rsidR="00381E50" w:rsidRPr="00381E50">
        <w:rPr>
          <w:i/>
          <w:iCs/>
        </w:rPr>
        <w:t>Speculative Fiction and Queer Theory,</w:t>
      </w:r>
      <w:r w:rsidR="00381E50">
        <w:t xml:space="preserve"> Conclusion (Published online, 2022) </w:t>
      </w:r>
    </w:p>
  </w:footnote>
  <w:footnote w:id="3">
    <w:p w14:paraId="309F6E8F" w14:textId="56CE315B" w:rsidR="001C21F5" w:rsidRPr="005E5FC0" w:rsidRDefault="001C21F5">
      <w:pPr>
        <w:pStyle w:val="FootnoteText"/>
      </w:pPr>
      <w:r>
        <w:rPr>
          <w:rStyle w:val="FootnoteReference"/>
        </w:rPr>
        <w:footnoteRef/>
      </w:r>
      <w:r>
        <w:t xml:space="preserve"> </w:t>
      </w:r>
      <w:r w:rsidR="005E5FC0">
        <w:t>Jacob</w:t>
      </w:r>
      <w:r>
        <w:t xml:space="preserve"> </w:t>
      </w:r>
      <w:r w:rsidR="00FC5399">
        <w:t>Grimm</w:t>
      </w:r>
      <w:r w:rsidR="00381E50">
        <w:t xml:space="preserve">, </w:t>
      </w:r>
      <w:r w:rsidR="005E5FC0">
        <w:t xml:space="preserve">Wilhelm Grim, </w:t>
      </w:r>
      <w:r w:rsidR="005E5FC0">
        <w:rPr>
          <w:i/>
          <w:iCs/>
        </w:rPr>
        <w:t xml:space="preserve">Grimm’s Complete Fairy Tales </w:t>
      </w:r>
      <w:r w:rsidR="005E5FC0">
        <w:t xml:space="preserve">(San Diego, Printers Row Publishing Group, 2014 Canterbury Classics Edition) </w:t>
      </w:r>
    </w:p>
  </w:footnote>
  <w:footnote w:id="4">
    <w:p w14:paraId="4996AFF7" w14:textId="695E2E60" w:rsidR="001979E3" w:rsidRPr="001E2242" w:rsidRDefault="001979E3">
      <w:pPr>
        <w:pStyle w:val="FootnoteText"/>
      </w:pPr>
      <w:r>
        <w:rPr>
          <w:rStyle w:val="FootnoteReference"/>
        </w:rPr>
        <w:footnoteRef/>
      </w:r>
      <w:r>
        <w:t xml:space="preserve"> </w:t>
      </w:r>
      <w:r w:rsidR="005E5FC0">
        <w:t xml:space="preserve">Cassandra Clare, </w:t>
      </w:r>
      <w:r w:rsidRPr="005E5FC0">
        <w:rPr>
          <w:i/>
          <w:iCs/>
        </w:rPr>
        <w:t>City of bones</w:t>
      </w:r>
      <w:r w:rsidR="005E5FC0">
        <w:rPr>
          <w:i/>
          <w:iCs/>
        </w:rPr>
        <w:t xml:space="preserve">, </w:t>
      </w:r>
      <w:proofErr w:type="spellStart"/>
      <w:r w:rsidR="005E5FC0">
        <w:rPr>
          <w:i/>
          <w:iCs/>
        </w:rPr>
        <w:t>Shadowhunters</w:t>
      </w:r>
      <w:proofErr w:type="spellEnd"/>
      <w:r w:rsidR="005E5FC0" w:rsidRPr="001E2242">
        <w:t xml:space="preserve"> (</w:t>
      </w:r>
      <w:r w:rsidR="001E2242">
        <w:t>London, Walker Books, 2007)</w:t>
      </w:r>
    </w:p>
  </w:footnote>
  <w:footnote w:id="5">
    <w:p w14:paraId="3EC1F3B3" w14:textId="5575A72F" w:rsidR="00CE6F24" w:rsidRDefault="00CE6F24">
      <w:pPr>
        <w:pStyle w:val="FootnoteText"/>
      </w:pPr>
      <w:r>
        <w:rPr>
          <w:rStyle w:val="FootnoteReference"/>
        </w:rPr>
        <w:footnoteRef/>
      </w:r>
      <w:r>
        <w:t xml:space="preserve"> </w:t>
      </w:r>
      <w:r w:rsidR="004652DE">
        <w:t xml:space="preserve">Holly Black, </w:t>
      </w:r>
      <w:r w:rsidR="004652DE">
        <w:rPr>
          <w:i/>
          <w:iCs/>
        </w:rPr>
        <w:t xml:space="preserve">The </w:t>
      </w:r>
      <w:r w:rsidRPr="004652DE">
        <w:rPr>
          <w:i/>
          <w:iCs/>
        </w:rPr>
        <w:t>Modern fairytales</w:t>
      </w:r>
      <w:r w:rsidR="004652DE">
        <w:t xml:space="preserve"> (London, Simon and Schuster, 2019)</w:t>
      </w:r>
    </w:p>
  </w:footnote>
  <w:footnote w:id="6">
    <w:p w14:paraId="04FDD81A" w14:textId="6C99B919" w:rsidR="007F4BE4" w:rsidRDefault="007F4BE4" w:rsidP="007F4BE4">
      <w:pPr>
        <w:pStyle w:val="FootnoteText"/>
      </w:pPr>
      <w:r>
        <w:rPr>
          <w:rStyle w:val="FootnoteReference"/>
        </w:rPr>
        <w:footnoteRef/>
      </w:r>
      <w:r>
        <w:t xml:space="preserve"> </w:t>
      </w:r>
      <w:r w:rsidR="004652DE">
        <w:t xml:space="preserve">William Goldman, </w:t>
      </w:r>
      <w:r w:rsidR="004652DE" w:rsidRPr="004652DE">
        <w:rPr>
          <w:i/>
          <w:iCs/>
        </w:rPr>
        <w:t xml:space="preserve">The </w:t>
      </w:r>
      <w:r w:rsidRPr="004652DE">
        <w:rPr>
          <w:i/>
          <w:iCs/>
        </w:rPr>
        <w:t>Princess bride</w:t>
      </w:r>
      <w:r w:rsidR="004652DE">
        <w:t xml:space="preserve"> (United States, The Ballantine Publishing Group, 1999)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279"/>
    <w:rsid w:val="000C6651"/>
    <w:rsid w:val="00105A8E"/>
    <w:rsid w:val="001979E3"/>
    <w:rsid w:val="001B1598"/>
    <w:rsid w:val="001B4A65"/>
    <w:rsid w:val="001C21F5"/>
    <w:rsid w:val="001C3C88"/>
    <w:rsid w:val="001E2242"/>
    <w:rsid w:val="002D46D3"/>
    <w:rsid w:val="00381E50"/>
    <w:rsid w:val="004163F2"/>
    <w:rsid w:val="004652DE"/>
    <w:rsid w:val="004C5E71"/>
    <w:rsid w:val="004D172F"/>
    <w:rsid w:val="005817F2"/>
    <w:rsid w:val="005C1F06"/>
    <w:rsid w:val="005D6C12"/>
    <w:rsid w:val="005E5FC0"/>
    <w:rsid w:val="005F63E4"/>
    <w:rsid w:val="006B2103"/>
    <w:rsid w:val="007F4BE4"/>
    <w:rsid w:val="00827AB4"/>
    <w:rsid w:val="00892F6F"/>
    <w:rsid w:val="009F77ED"/>
    <w:rsid w:val="00A45EDD"/>
    <w:rsid w:val="00AC59C5"/>
    <w:rsid w:val="00B40123"/>
    <w:rsid w:val="00BA1EDC"/>
    <w:rsid w:val="00BE6A85"/>
    <w:rsid w:val="00C20279"/>
    <w:rsid w:val="00C3259D"/>
    <w:rsid w:val="00CC72CE"/>
    <w:rsid w:val="00CD5E8C"/>
    <w:rsid w:val="00CE6F24"/>
    <w:rsid w:val="00D73E09"/>
    <w:rsid w:val="00E07E67"/>
    <w:rsid w:val="00E76B89"/>
    <w:rsid w:val="00EC0BBE"/>
    <w:rsid w:val="00EF60A7"/>
    <w:rsid w:val="00FC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CF907"/>
  <w15:chartTrackingRefBased/>
  <w15:docId w15:val="{1F0C4A03-701D-484F-AAE0-04D2B169D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3F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7E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7E67"/>
    <w:rPr>
      <w:sz w:val="20"/>
      <w:szCs w:val="20"/>
    </w:rPr>
  </w:style>
  <w:style w:type="character" w:styleId="FootnoteReference">
    <w:name w:val="footnote reference"/>
    <w:basedOn w:val="DefaultParagraphFont"/>
    <w:uiPriority w:val="99"/>
    <w:semiHidden/>
    <w:unhideWhenUsed/>
    <w:rsid w:val="00E07E67"/>
    <w:rPr>
      <w:vertAlign w:val="superscript"/>
    </w:rPr>
  </w:style>
  <w:style w:type="character" w:customStyle="1" w:styleId="Heading1Char">
    <w:name w:val="Heading 1 Char"/>
    <w:basedOn w:val="DefaultParagraphFont"/>
    <w:link w:val="Heading1"/>
    <w:uiPriority w:val="9"/>
    <w:rsid w:val="004163F2"/>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A1CD-76E4-456B-AFBE-F47DD18CE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5</Pages>
  <Words>1104</Words>
  <Characters>5357</Characters>
  <Application>Microsoft Office Word</Application>
  <DocSecurity>0</DocSecurity>
  <Lines>83</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21</cp:revision>
  <dcterms:created xsi:type="dcterms:W3CDTF">2023-11-10T11:32:00Z</dcterms:created>
  <dcterms:modified xsi:type="dcterms:W3CDTF">2023-11-26T19:22:00Z</dcterms:modified>
</cp:coreProperties>
</file>