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AAE63" w14:textId="77777777" w:rsidR="000811C5" w:rsidRPr="00B61956" w:rsidRDefault="000811C5" w:rsidP="000811C5">
      <w:pPr>
        <w:jc w:val="center"/>
        <w:rPr>
          <w:rFonts w:cstheme="minorHAnsi"/>
        </w:rPr>
      </w:pPr>
      <w:r w:rsidRPr="00B61956">
        <w:rPr>
          <w:rFonts w:cstheme="minorHAnsi"/>
          <w:noProof/>
        </w:rPr>
        <w:drawing>
          <wp:inline distT="0" distB="0" distL="0" distR="0" wp14:anchorId="45C776AF" wp14:editId="1020FEFA">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7500F10A" w14:textId="77777777" w:rsidR="000811C5" w:rsidRDefault="000811C5" w:rsidP="000811C5">
      <w:pPr>
        <w:jc w:val="center"/>
        <w:rPr>
          <w:rFonts w:cstheme="minorHAnsi"/>
        </w:rPr>
      </w:pPr>
    </w:p>
    <w:tbl>
      <w:tblPr>
        <w:tblStyle w:val="TableGrid"/>
        <w:tblW w:w="0" w:type="auto"/>
        <w:tblLook w:val="04A0" w:firstRow="1" w:lastRow="0" w:firstColumn="1" w:lastColumn="0" w:noHBand="0" w:noVBand="1"/>
      </w:tblPr>
      <w:tblGrid>
        <w:gridCol w:w="9016"/>
      </w:tblGrid>
      <w:tr w:rsidR="000811C5" w14:paraId="43E8F06C" w14:textId="77777777" w:rsidTr="00301A56">
        <w:tc>
          <w:tcPr>
            <w:tcW w:w="9350" w:type="dxa"/>
            <w:shd w:val="clear" w:color="auto" w:fill="E8E8E8" w:themeFill="background2"/>
          </w:tcPr>
          <w:p w14:paraId="402C0E1C" w14:textId="77777777" w:rsidR="000811C5" w:rsidRPr="00946F49" w:rsidRDefault="000811C5" w:rsidP="00301A56">
            <w:pPr>
              <w:jc w:val="center"/>
              <w:rPr>
                <w:rFonts w:cs="Arial"/>
                <w:b/>
                <w:szCs w:val="24"/>
              </w:rPr>
            </w:pPr>
          </w:p>
          <w:p w14:paraId="75261D36" w14:textId="77777777" w:rsidR="000811C5" w:rsidRPr="00946F49" w:rsidRDefault="000811C5" w:rsidP="00301A56">
            <w:pPr>
              <w:jc w:val="center"/>
              <w:rPr>
                <w:rFonts w:cs="Arial"/>
                <w:b/>
                <w:szCs w:val="24"/>
              </w:rPr>
            </w:pPr>
            <w:r w:rsidRPr="00946F49">
              <w:rPr>
                <w:rFonts w:cs="Arial"/>
                <w:b/>
                <w:szCs w:val="24"/>
              </w:rPr>
              <w:t>UNDERGRADUATE DISSERTATION</w:t>
            </w:r>
          </w:p>
          <w:p w14:paraId="523BA70A" w14:textId="77777777" w:rsidR="000811C5" w:rsidRPr="00946F49" w:rsidRDefault="000811C5" w:rsidP="00301A56">
            <w:pPr>
              <w:jc w:val="center"/>
              <w:rPr>
                <w:rFonts w:cs="Arial"/>
                <w:b/>
                <w:bCs/>
                <w:szCs w:val="24"/>
              </w:rPr>
            </w:pPr>
            <w:r w:rsidRPr="00946F49">
              <w:rPr>
                <w:rFonts w:cs="Arial"/>
                <w:b/>
                <w:bCs/>
                <w:szCs w:val="24"/>
              </w:rPr>
              <w:t>RESEARCH PROPOSAL FORM</w:t>
            </w:r>
          </w:p>
          <w:p w14:paraId="5583FF60" w14:textId="77777777" w:rsidR="000811C5" w:rsidRDefault="000811C5" w:rsidP="00301A56">
            <w:pPr>
              <w:jc w:val="center"/>
              <w:rPr>
                <w:rFonts w:asciiTheme="minorHAnsi" w:hAnsiTheme="minorHAnsi" w:cstheme="minorHAnsi"/>
              </w:rPr>
            </w:pPr>
          </w:p>
        </w:tc>
      </w:tr>
    </w:tbl>
    <w:p w14:paraId="5A5C4450" w14:textId="77777777" w:rsidR="000811C5" w:rsidRPr="00B61956" w:rsidRDefault="000811C5" w:rsidP="000811C5">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0811C5" w:rsidRPr="00B61956" w14:paraId="56B3BDB5" w14:textId="77777777" w:rsidTr="000811C5">
        <w:trPr>
          <w:trHeight w:val="518"/>
        </w:trPr>
        <w:tc>
          <w:tcPr>
            <w:tcW w:w="6973" w:type="dxa"/>
            <w:tcMar>
              <w:top w:w="0" w:type="dxa"/>
              <w:left w:w="108" w:type="dxa"/>
              <w:bottom w:w="0" w:type="dxa"/>
              <w:right w:w="108" w:type="dxa"/>
            </w:tcMar>
          </w:tcPr>
          <w:p w14:paraId="20B58C2D" w14:textId="77777777" w:rsidR="000811C5" w:rsidRPr="000237C4" w:rsidRDefault="000811C5" w:rsidP="00301A56">
            <w:pPr>
              <w:pStyle w:val="BodyText"/>
              <w:jc w:val="both"/>
              <w:rPr>
                <w:rFonts w:cs="Arial"/>
                <w:b/>
                <w:bCs/>
                <w:szCs w:val="24"/>
              </w:rPr>
            </w:pPr>
            <w:r w:rsidRPr="000237C4">
              <w:rPr>
                <w:rFonts w:cs="Arial"/>
                <w:b/>
                <w:bCs/>
                <w:szCs w:val="24"/>
              </w:rPr>
              <w:t>NAME: Charlie Hughes</w:t>
            </w:r>
          </w:p>
          <w:p w14:paraId="6FCF6F64" w14:textId="77777777" w:rsidR="000811C5" w:rsidRPr="00D012E7" w:rsidRDefault="000811C5" w:rsidP="00301A56">
            <w:pPr>
              <w:pStyle w:val="BodyText"/>
              <w:jc w:val="both"/>
              <w:rPr>
                <w:rFonts w:cs="Arial"/>
                <w:b/>
                <w:bCs/>
                <w:sz w:val="22"/>
                <w:szCs w:val="22"/>
              </w:rPr>
            </w:pPr>
          </w:p>
        </w:tc>
        <w:tc>
          <w:tcPr>
            <w:tcW w:w="3168" w:type="dxa"/>
          </w:tcPr>
          <w:p w14:paraId="03F12F64" w14:textId="77777777" w:rsidR="000811C5" w:rsidRPr="000237C4" w:rsidRDefault="000811C5" w:rsidP="00301A56">
            <w:pPr>
              <w:jc w:val="both"/>
              <w:rPr>
                <w:rFonts w:ascii="Arial" w:hAnsi="Arial" w:cs="Arial"/>
                <w:sz w:val="24"/>
                <w:szCs w:val="24"/>
              </w:rPr>
            </w:pPr>
            <w:r w:rsidRPr="00B61956">
              <w:rPr>
                <w:rFonts w:cstheme="minorHAnsi"/>
                <w:b/>
                <w:bCs/>
              </w:rPr>
              <w:t xml:space="preserve"> </w:t>
            </w:r>
            <w:r w:rsidRPr="000237C4">
              <w:rPr>
                <w:rFonts w:ascii="Arial" w:hAnsi="Arial" w:cs="Arial"/>
                <w:b/>
                <w:bCs/>
                <w:sz w:val="24"/>
                <w:szCs w:val="24"/>
              </w:rPr>
              <w:t>ID No.: 2400697</w:t>
            </w:r>
          </w:p>
        </w:tc>
      </w:tr>
      <w:tr w:rsidR="000811C5" w:rsidRPr="00B61956" w14:paraId="4D05B06E" w14:textId="77777777" w:rsidTr="00301A56">
        <w:trPr>
          <w:trHeight w:val="2288"/>
        </w:trPr>
        <w:tc>
          <w:tcPr>
            <w:tcW w:w="10141" w:type="dxa"/>
            <w:gridSpan w:val="2"/>
            <w:shd w:val="clear" w:color="auto" w:fill="FFFFFF"/>
            <w:tcMar>
              <w:top w:w="0" w:type="dxa"/>
              <w:left w:w="108" w:type="dxa"/>
              <w:bottom w:w="0" w:type="dxa"/>
              <w:right w:w="108" w:type="dxa"/>
            </w:tcMar>
          </w:tcPr>
          <w:p w14:paraId="4881B34D" w14:textId="77777777" w:rsidR="000811C5" w:rsidRPr="000237C4" w:rsidRDefault="000811C5" w:rsidP="00301A56">
            <w:pPr>
              <w:spacing w:line="360" w:lineRule="auto"/>
              <w:jc w:val="both"/>
              <w:rPr>
                <w:rFonts w:ascii="Arial" w:hAnsi="Arial" w:cs="Arial"/>
                <w:sz w:val="24"/>
                <w:szCs w:val="24"/>
              </w:rPr>
            </w:pPr>
            <w:r w:rsidRPr="000237C4">
              <w:rPr>
                <w:rFonts w:ascii="Arial" w:hAnsi="Arial" w:cs="Arial"/>
                <w:b/>
                <w:bCs/>
                <w:sz w:val="24"/>
                <w:szCs w:val="24"/>
              </w:rPr>
              <w:t>DRAFT RESEARCH TITLE QUESTION: To what extent does public understanding of the Prevent Duty influence trust in counter-terrorism policing in England and Wales?</w:t>
            </w:r>
          </w:p>
          <w:p w14:paraId="32C8760D" w14:textId="77777777" w:rsidR="000811C5" w:rsidRPr="000237C4" w:rsidRDefault="000811C5" w:rsidP="00301A56">
            <w:pPr>
              <w:tabs>
                <w:tab w:val="left" w:pos="1860"/>
              </w:tabs>
              <w:spacing w:line="360" w:lineRule="auto"/>
              <w:jc w:val="both"/>
              <w:rPr>
                <w:rFonts w:ascii="Arial" w:hAnsi="Arial" w:cs="Arial"/>
                <w:sz w:val="24"/>
                <w:szCs w:val="24"/>
              </w:rPr>
            </w:pPr>
          </w:p>
          <w:p w14:paraId="4F65ABD6" w14:textId="77777777" w:rsidR="000811C5" w:rsidRPr="000237C4" w:rsidRDefault="000811C5" w:rsidP="00301A56">
            <w:pPr>
              <w:tabs>
                <w:tab w:val="left" w:pos="1860"/>
              </w:tabs>
              <w:spacing w:line="360" w:lineRule="auto"/>
              <w:jc w:val="both"/>
              <w:rPr>
                <w:rFonts w:ascii="Arial" w:hAnsi="Arial" w:cs="Arial"/>
                <w:sz w:val="24"/>
                <w:szCs w:val="24"/>
              </w:rPr>
            </w:pPr>
            <w:r w:rsidRPr="000237C4">
              <w:rPr>
                <w:rFonts w:ascii="Arial" w:hAnsi="Arial" w:cs="Arial"/>
                <w:sz w:val="24"/>
                <w:szCs w:val="24"/>
              </w:rPr>
              <w:t>Counter-terrorism remains a key priority within policing in England and Wales, particularly in preventing individuals from being drawn into terrorism. The Prevent Duty forms a central component of this approach, aiming to identify and support individuals at risk of radicalisation through early intervention and safeguarding measures rather than prosecution (Home Office, 2023a). As part of the UK’s wider counter-terrorism strategy, Prevent reflects a shift towards early intervention and risk-based policing (UK Parliament, 2023). This approach has been further reinforced through recent policy developments and reviews, which aim to improve the effectiveness and transparency of Prevent (Home Office, 2024).</w:t>
            </w:r>
          </w:p>
          <w:p w14:paraId="0A7E05CA" w14:textId="77777777" w:rsidR="000811C5" w:rsidRPr="000237C4" w:rsidRDefault="000811C5" w:rsidP="00301A56">
            <w:pPr>
              <w:tabs>
                <w:tab w:val="left" w:pos="1860"/>
              </w:tabs>
              <w:spacing w:line="360" w:lineRule="auto"/>
              <w:jc w:val="both"/>
              <w:rPr>
                <w:rFonts w:ascii="Arial" w:hAnsi="Arial" w:cs="Arial"/>
                <w:sz w:val="24"/>
                <w:szCs w:val="24"/>
              </w:rPr>
            </w:pPr>
          </w:p>
          <w:p w14:paraId="1FB0D014" w14:textId="77777777" w:rsidR="000811C5" w:rsidRPr="000237C4" w:rsidRDefault="000811C5" w:rsidP="00301A56">
            <w:pPr>
              <w:tabs>
                <w:tab w:val="left" w:pos="1860"/>
              </w:tabs>
              <w:spacing w:line="360" w:lineRule="auto"/>
              <w:jc w:val="both"/>
              <w:rPr>
                <w:rFonts w:ascii="Arial" w:hAnsi="Arial" w:cs="Arial"/>
                <w:sz w:val="24"/>
                <w:szCs w:val="24"/>
              </w:rPr>
            </w:pPr>
            <w:r w:rsidRPr="000237C4">
              <w:rPr>
                <w:rFonts w:ascii="Arial" w:hAnsi="Arial" w:cs="Arial"/>
                <w:sz w:val="24"/>
                <w:szCs w:val="24"/>
              </w:rPr>
              <w:t>This topic is worthy of consideration because public trust is fundamental to effective policing, particularly within the UK model of policing by consent (College of Policing, 2015). Recent evidence suggests that public confidence in policing has declined in England and Wales, raising concerns about police legitimacy and effectiveness (UK Parliament, 2024). This is further supported by research from the UK Parliament POST (2024), which highlights ongoing concerns regarding public trust and confidence in policing. Additionally, official inspection findings indicate that maintaining legitimacy remains a key challenge for police forces (HMICFRS, 2023). If a member of the public misunderstands the purpose of Prevent, or perceive it as discriminatory or unfair, this may negatively impact trust and reduce engagement with police.</w:t>
            </w:r>
          </w:p>
          <w:p w14:paraId="5D2B63DC" w14:textId="77777777" w:rsidR="000811C5" w:rsidRPr="000237C4" w:rsidRDefault="000811C5" w:rsidP="00301A56">
            <w:pPr>
              <w:tabs>
                <w:tab w:val="left" w:pos="1860"/>
              </w:tabs>
              <w:spacing w:line="360" w:lineRule="auto"/>
              <w:jc w:val="both"/>
              <w:rPr>
                <w:rFonts w:ascii="Arial" w:hAnsi="Arial" w:cs="Arial"/>
                <w:sz w:val="24"/>
                <w:szCs w:val="24"/>
              </w:rPr>
            </w:pPr>
          </w:p>
          <w:p w14:paraId="64A2CB88" w14:textId="77777777" w:rsidR="000811C5" w:rsidRPr="000237C4" w:rsidRDefault="000811C5" w:rsidP="00301A56">
            <w:pPr>
              <w:tabs>
                <w:tab w:val="left" w:pos="1860"/>
              </w:tabs>
              <w:spacing w:line="360" w:lineRule="auto"/>
              <w:jc w:val="both"/>
              <w:rPr>
                <w:rFonts w:ascii="Arial" w:hAnsi="Arial" w:cs="Arial"/>
                <w:sz w:val="24"/>
                <w:szCs w:val="24"/>
              </w:rPr>
            </w:pPr>
            <w:r w:rsidRPr="000237C4">
              <w:rPr>
                <w:rFonts w:ascii="Arial" w:hAnsi="Arial" w:cs="Arial"/>
                <w:sz w:val="24"/>
                <w:szCs w:val="24"/>
              </w:rPr>
              <w:t>Research also indicates that public understanding of Prevent is inconsistent. Survey findings conducted by ICM Unlimited (2020) indicate that increased awareness of Prevent is associated with more favourable perceptions of the programme. However, more recent research highlights that misunderstanding</w:t>
            </w:r>
            <w:r>
              <w:rPr>
                <w:rFonts w:ascii="Arial" w:hAnsi="Arial" w:cs="Arial"/>
                <w:sz w:val="24"/>
                <w:szCs w:val="24"/>
              </w:rPr>
              <w:t>s</w:t>
            </w:r>
            <w:r w:rsidRPr="000237C4">
              <w:rPr>
                <w:rFonts w:ascii="Arial" w:hAnsi="Arial" w:cs="Arial"/>
                <w:sz w:val="24"/>
                <w:szCs w:val="24"/>
              </w:rPr>
              <w:t xml:space="preserve"> remain common, particularly where knowledge is shaped by media narratives rather than official guidance (Binder and Allen, 2024). Media influence plays a significant role in shaping public perceptions of terrorism, often amplifying fear and influencing how counter-terrorism policies are understood (White, 2020). This is supported by wider policing research, which emphasises the importance of maintaining effective policing outcomes (College of Policing, 2025).</w:t>
            </w:r>
          </w:p>
          <w:p w14:paraId="54670DBA" w14:textId="77777777" w:rsidR="000811C5" w:rsidRPr="000237C4" w:rsidRDefault="000811C5" w:rsidP="00301A56">
            <w:pPr>
              <w:tabs>
                <w:tab w:val="left" w:pos="1860"/>
              </w:tabs>
              <w:spacing w:line="360" w:lineRule="auto"/>
              <w:jc w:val="both"/>
              <w:rPr>
                <w:rFonts w:ascii="Arial" w:hAnsi="Arial" w:cs="Arial"/>
                <w:sz w:val="24"/>
                <w:szCs w:val="24"/>
              </w:rPr>
            </w:pPr>
          </w:p>
          <w:p w14:paraId="108672F0" w14:textId="77777777" w:rsidR="000811C5" w:rsidRPr="000237C4" w:rsidRDefault="000811C5" w:rsidP="00301A56">
            <w:pPr>
              <w:tabs>
                <w:tab w:val="left" w:pos="1860"/>
              </w:tabs>
              <w:spacing w:line="360" w:lineRule="auto"/>
              <w:jc w:val="both"/>
              <w:rPr>
                <w:rFonts w:ascii="Arial" w:hAnsi="Arial" w:cs="Arial"/>
                <w:sz w:val="24"/>
                <w:szCs w:val="24"/>
              </w:rPr>
            </w:pPr>
            <w:r w:rsidRPr="000237C4">
              <w:rPr>
                <w:rFonts w:ascii="Arial" w:hAnsi="Arial" w:cs="Arial"/>
                <w:sz w:val="24"/>
                <w:szCs w:val="24"/>
              </w:rPr>
              <w:t xml:space="preserve">In addition, broader analysis of the Prevent strategy highlights ongoing concerns regarding its implementation and communication. </w:t>
            </w:r>
            <w:proofErr w:type="spellStart"/>
            <w:r w:rsidRPr="000237C4">
              <w:rPr>
                <w:rFonts w:ascii="Arial" w:hAnsi="Arial" w:cs="Arial"/>
                <w:sz w:val="24"/>
                <w:szCs w:val="24"/>
              </w:rPr>
              <w:t>Meleagrou</w:t>
            </w:r>
            <w:proofErr w:type="spellEnd"/>
            <w:r w:rsidRPr="000237C4">
              <w:rPr>
                <w:rFonts w:ascii="Arial" w:hAnsi="Arial" w:cs="Arial"/>
                <w:sz w:val="24"/>
                <w:szCs w:val="24"/>
              </w:rPr>
              <w:t>-Hitchens (2022) identifies inconsistencies in how Prevent is applied, which may contribute to confusion and scepticism among the public. These issues have been further examined in the Independent Review of Prevent (2023), which highlight both strengths and limitations of the policy and the need for improved clarity and effectiveness. These findings demonstrate that Prevent remains a contested policy within both academic and policy discussions, highlighting the need for a more consistent and ideologically focused approach to prevent individuals from becoming involved in terrorism.</w:t>
            </w:r>
          </w:p>
          <w:p w14:paraId="10F416EA" w14:textId="77777777" w:rsidR="000811C5" w:rsidRPr="000237C4" w:rsidRDefault="000811C5" w:rsidP="00301A56">
            <w:pPr>
              <w:tabs>
                <w:tab w:val="left" w:pos="1860"/>
              </w:tabs>
              <w:spacing w:line="360" w:lineRule="auto"/>
              <w:jc w:val="both"/>
              <w:rPr>
                <w:rFonts w:ascii="Arial" w:hAnsi="Arial" w:cs="Arial"/>
                <w:sz w:val="24"/>
                <w:szCs w:val="24"/>
              </w:rPr>
            </w:pPr>
          </w:p>
          <w:p w14:paraId="7F1FCB8C" w14:textId="77777777" w:rsidR="000811C5" w:rsidRPr="000237C4" w:rsidRDefault="000811C5" w:rsidP="00301A56">
            <w:pPr>
              <w:tabs>
                <w:tab w:val="left" w:pos="1860"/>
              </w:tabs>
              <w:spacing w:line="360" w:lineRule="auto"/>
              <w:jc w:val="both"/>
              <w:rPr>
                <w:rFonts w:ascii="Arial" w:hAnsi="Arial" w:cs="Arial"/>
                <w:sz w:val="24"/>
                <w:szCs w:val="24"/>
              </w:rPr>
            </w:pPr>
            <w:r w:rsidRPr="000237C4">
              <w:rPr>
                <w:rFonts w:ascii="Arial" w:hAnsi="Arial" w:cs="Arial"/>
                <w:sz w:val="24"/>
                <w:szCs w:val="24"/>
              </w:rPr>
              <w:t>There are also significant ethical and human rights considerations associated with Prevent. Amnesty International UK (2024) argues that the policy may have a “chilling effect” on freedom of expression and community engagement. Similarly, the UK parliament Joint Committee on Human Rights (2017) highlights concerns regarding fairness, discrimination and the potential disproportionate impact on certain communities. These concerns are particularly important when considering the impact on public trust and the need to maintain legitimacy in policing.</w:t>
            </w:r>
          </w:p>
          <w:p w14:paraId="01D0B113" w14:textId="77777777" w:rsidR="000811C5" w:rsidRPr="000237C4" w:rsidRDefault="000811C5" w:rsidP="00301A56">
            <w:pPr>
              <w:tabs>
                <w:tab w:val="left" w:pos="1860"/>
              </w:tabs>
              <w:spacing w:line="360" w:lineRule="auto"/>
              <w:jc w:val="both"/>
              <w:rPr>
                <w:rFonts w:ascii="Arial" w:hAnsi="Arial" w:cs="Arial"/>
                <w:sz w:val="24"/>
                <w:szCs w:val="24"/>
              </w:rPr>
            </w:pPr>
          </w:p>
          <w:p w14:paraId="3E25D914" w14:textId="77777777" w:rsidR="000811C5" w:rsidRPr="000237C4" w:rsidRDefault="000811C5" w:rsidP="00301A56">
            <w:pPr>
              <w:tabs>
                <w:tab w:val="left" w:pos="1860"/>
              </w:tabs>
              <w:spacing w:line="360" w:lineRule="auto"/>
              <w:jc w:val="both"/>
              <w:rPr>
                <w:rFonts w:ascii="Arial" w:hAnsi="Arial" w:cs="Arial"/>
                <w:sz w:val="24"/>
                <w:szCs w:val="24"/>
              </w:rPr>
            </w:pPr>
            <w:r w:rsidRPr="000237C4">
              <w:rPr>
                <w:rFonts w:ascii="Arial" w:hAnsi="Arial" w:cs="Arial"/>
                <w:sz w:val="24"/>
                <w:szCs w:val="24"/>
              </w:rPr>
              <w:t xml:space="preserve">Overall, this topic is suitable for an undergraduate dissertation because it addresses a contemporary and highly relevant issue within policing. It brings together key themes of </w:t>
            </w:r>
            <w:proofErr w:type="gramStart"/>
            <w:r w:rsidRPr="000237C4">
              <w:rPr>
                <w:rFonts w:ascii="Arial" w:hAnsi="Arial" w:cs="Arial"/>
                <w:sz w:val="24"/>
                <w:szCs w:val="24"/>
              </w:rPr>
              <w:t>counter-terrorism</w:t>
            </w:r>
            <w:proofErr w:type="gramEnd"/>
            <w:r w:rsidRPr="000237C4">
              <w:rPr>
                <w:rFonts w:ascii="Arial" w:hAnsi="Arial" w:cs="Arial"/>
                <w:sz w:val="24"/>
                <w:szCs w:val="24"/>
              </w:rPr>
              <w:t xml:space="preserve">, public perception, legitimacy, trust and civil liberties. Furthermore, it is </w:t>
            </w:r>
            <w:r w:rsidRPr="000237C4">
              <w:rPr>
                <w:rFonts w:ascii="Arial" w:hAnsi="Arial" w:cs="Arial"/>
                <w:sz w:val="24"/>
                <w:szCs w:val="24"/>
              </w:rPr>
              <w:lastRenderedPageBreak/>
              <w:t>practical and achievable within the scope of an undergraduate project, as it allows for the collection of primary data through a public questionnaire. This enables the researcher to explore whether increased public understanding of Prevent leads to greater trust in policing, or whether existing misconceptions continue to undermine public confidence.</w:t>
            </w:r>
          </w:p>
        </w:tc>
      </w:tr>
      <w:tr w:rsidR="000811C5" w:rsidRPr="00B61956" w14:paraId="35598170" w14:textId="77777777" w:rsidTr="00301A56">
        <w:trPr>
          <w:trHeight w:val="3990"/>
        </w:trPr>
        <w:tc>
          <w:tcPr>
            <w:tcW w:w="10141" w:type="dxa"/>
            <w:gridSpan w:val="2"/>
            <w:tcMar>
              <w:top w:w="0" w:type="dxa"/>
              <w:left w:w="108" w:type="dxa"/>
              <w:bottom w:w="0" w:type="dxa"/>
              <w:right w:w="108" w:type="dxa"/>
            </w:tcMar>
          </w:tcPr>
          <w:p w14:paraId="6E4E4679" w14:textId="77777777" w:rsidR="000811C5" w:rsidRPr="000237C4" w:rsidRDefault="000811C5" w:rsidP="00301A56">
            <w:pPr>
              <w:spacing w:line="360" w:lineRule="auto"/>
              <w:jc w:val="both"/>
              <w:rPr>
                <w:rFonts w:ascii="Arial" w:hAnsi="Arial" w:cs="Arial"/>
                <w:b/>
                <w:bCs/>
                <w:sz w:val="24"/>
                <w:szCs w:val="24"/>
              </w:rPr>
            </w:pPr>
            <w:r w:rsidRPr="000237C4">
              <w:rPr>
                <w:rFonts w:ascii="Arial" w:hAnsi="Arial" w:cs="Arial"/>
                <w:b/>
                <w:bCs/>
                <w:sz w:val="24"/>
                <w:szCs w:val="24"/>
              </w:rPr>
              <w:lastRenderedPageBreak/>
              <w:t xml:space="preserve">SUMMARY OF RESEARCH AIM &amp; OBJECTIVES: </w:t>
            </w:r>
          </w:p>
          <w:p w14:paraId="4BF279FB" w14:textId="77777777" w:rsidR="000811C5" w:rsidRPr="000237C4" w:rsidRDefault="000811C5" w:rsidP="00301A56">
            <w:pPr>
              <w:spacing w:line="360" w:lineRule="auto"/>
              <w:rPr>
                <w:rFonts w:ascii="Arial" w:hAnsi="Arial" w:cs="Arial"/>
                <w:sz w:val="24"/>
                <w:szCs w:val="24"/>
              </w:rPr>
            </w:pPr>
            <w:r w:rsidRPr="000237C4">
              <w:rPr>
                <w:rFonts w:ascii="Arial" w:hAnsi="Arial" w:cs="Arial"/>
                <w:sz w:val="24"/>
                <w:szCs w:val="24"/>
              </w:rPr>
              <w:t>Research Aim: To examine the extent to which public understanding of the Prevent Duty influences trust in counter-terrorism policing in England and Wales.</w:t>
            </w:r>
          </w:p>
          <w:p w14:paraId="303E6CEC" w14:textId="77777777" w:rsidR="000811C5" w:rsidRPr="000237C4" w:rsidRDefault="000811C5" w:rsidP="00301A56">
            <w:pPr>
              <w:spacing w:line="360" w:lineRule="auto"/>
              <w:rPr>
                <w:rFonts w:ascii="Arial" w:hAnsi="Arial" w:cs="Arial"/>
                <w:sz w:val="24"/>
                <w:szCs w:val="24"/>
              </w:rPr>
            </w:pPr>
            <w:r w:rsidRPr="000237C4">
              <w:rPr>
                <w:rFonts w:ascii="Arial" w:hAnsi="Arial" w:cs="Arial"/>
                <w:sz w:val="24"/>
                <w:szCs w:val="24"/>
              </w:rPr>
              <w:t xml:space="preserve">Research Objectives: </w:t>
            </w:r>
          </w:p>
          <w:p w14:paraId="65E5724C" w14:textId="77777777" w:rsidR="000811C5" w:rsidRPr="000237C4" w:rsidRDefault="000811C5" w:rsidP="000811C5">
            <w:pPr>
              <w:pStyle w:val="ListParagraph"/>
              <w:numPr>
                <w:ilvl w:val="0"/>
                <w:numId w:val="1"/>
              </w:numPr>
              <w:spacing w:after="0" w:line="360" w:lineRule="auto"/>
              <w:rPr>
                <w:rFonts w:ascii="Arial" w:hAnsi="Arial" w:cs="Arial"/>
                <w:sz w:val="24"/>
                <w:szCs w:val="24"/>
              </w:rPr>
            </w:pPr>
            <w:r w:rsidRPr="000237C4">
              <w:rPr>
                <w:rFonts w:ascii="Arial" w:hAnsi="Arial" w:cs="Arial"/>
                <w:sz w:val="24"/>
                <w:szCs w:val="24"/>
              </w:rPr>
              <w:t>To assess the level of public awareness and understanding of the Prevent Duty.</w:t>
            </w:r>
          </w:p>
          <w:p w14:paraId="2E5EC246" w14:textId="77777777" w:rsidR="000811C5" w:rsidRPr="000237C4" w:rsidRDefault="000811C5" w:rsidP="000811C5">
            <w:pPr>
              <w:pStyle w:val="ListParagraph"/>
              <w:numPr>
                <w:ilvl w:val="0"/>
                <w:numId w:val="1"/>
              </w:numPr>
              <w:spacing w:after="0" w:line="360" w:lineRule="auto"/>
              <w:rPr>
                <w:rFonts w:ascii="Arial" w:hAnsi="Arial" w:cs="Arial"/>
                <w:sz w:val="24"/>
                <w:szCs w:val="24"/>
              </w:rPr>
            </w:pPr>
            <w:r w:rsidRPr="000237C4">
              <w:rPr>
                <w:rFonts w:ascii="Arial" w:hAnsi="Arial" w:cs="Arial"/>
                <w:sz w:val="24"/>
                <w:szCs w:val="24"/>
              </w:rPr>
              <w:t>To identify common misconceptions surrounding the Prevent Duty and its purpose.</w:t>
            </w:r>
          </w:p>
          <w:p w14:paraId="044FCA28" w14:textId="77777777" w:rsidR="000811C5" w:rsidRPr="000237C4" w:rsidRDefault="000811C5" w:rsidP="000811C5">
            <w:pPr>
              <w:pStyle w:val="ListParagraph"/>
              <w:numPr>
                <w:ilvl w:val="0"/>
                <w:numId w:val="1"/>
              </w:numPr>
              <w:spacing w:after="0" w:line="360" w:lineRule="auto"/>
              <w:rPr>
                <w:rFonts w:ascii="Arial" w:hAnsi="Arial" w:cs="Arial"/>
                <w:sz w:val="24"/>
                <w:szCs w:val="24"/>
              </w:rPr>
            </w:pPr>
            <w:r w:rsidRPr="000237C4">
              <w:rPr>
                <w:rFonts w:ascii="Arial" w:hAnsi="Arial" w:cs="Arial"/>
                <w:sz w:val="24"/>
                <w:szCs w:val="24"/>
              </w:rPr>
              <w:t>To examine the relationship between understanding Prevent and levels of trust i</w:t>
            </w:r>
            <w:r>
              <w:rPr>
                <w:rFonts w:ascii="Arial" w:hAnsi="Arial" w:cs="Arial"/>
                <w:sz w:val="24"/>
                <w:szCs w:val="24"/>
              </w:rPr>
              <w:t>n</w:t>
            </w:r>
            <w:r w:rsidRPr="000237C4">
              <w:rPr>
                <w:rFonts w:ascii="Arial" w:hAnsi="Arial" w:cs="Arial"/>
                <w:sz w:val="24"/>
                <w:szCs w:val="24"/>
              </w:rPr>
              <w:t xml:space="preserve"> counter-terrorism policing.</w:t>
            </w:r>
          </w:p>
          <w:p w14:paraId="6F9C8A44" w14:textId="77777777" w:rsidR="000811C5" w:rsidRPr="000811C5" w:rsidRDefault="000811C5" w:rsidP="000811C5">
            <w:pPr>
              <w:pStyle w:val="ListParagraph"/>
              <w:numPr>
                <w:ilvl w:val="0"/>
                <w:numId w:val="1"/>
              </w:numPr>
              <w:spacing w:after="0" w:line="360" w:lineRule="auto"/>
              <w:rPr>
                <w:rFonts w:cs="Arial"/>
              </w:rPr>
            </w:pPr>
            <w:r w:rsidRPr="000237C4">
              <w:rPr>
                <w:rFonts w:ascii="Arial" w:hAnsi="Arial" w:cs="Arial"/>
                <w:sz w:val="24"/>
                <w:szCs w:val="24"/>
              </w:rPr>
              <w:t xml:space="preserve">To explore </w:t>
            </w:r>
            <w:r>
              <w:rPr>
                <w:rFonts w:ascii="Arial" w:hAnsi="Arial" w:cs="Arial"/>
                <w:sz w:val="24"/>
                <w:szCs w:val="24"/>
              </w:rPr>
              <w:t>how participants’ main source of information about Prevent relate to their perceptions of the policy.</w:t>
            </w:r>
          </w:p>
          <w:p w14:paraId="040B0207" w14:textId="73E2087A" w:rsidR="000811C5" w:rsidRPr="000811C5" w:rsidRDefault="000811C5" w:rsidP="000811C5">
            <w:pPr>
              <w:spacing w:after="0" w:line="360" w:lineRule="auto"/>
              <w:ind w:left="360"/>
              <w:rPr>
                <w:rFonts w:cs="Arial"/>
              </w:rPr>
            </w:pPr>
          </w:p>
        </w:tc>
      </w:tr>
      <w:tr w:rsidR="000811C5" w:rsidRPr="000237C4" w14:paraId="1E05E474" w14:textId="77777777" w:rsidTr="000811C5">
        <w:trPr>
          <w:trHeight w:val="3990"/>
        </w:trPr>
        <w:tc>
          <w:tcPr>
            <w:tcW w:w="10141"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F89ED0E" w14:textId="77777777" w:rsidR="000811C5" w:rsidRPr="000811C5" w:rsidRDefault="000811C5" w:rsidP="000811C5">
            <w:pPr>
              <w:spacing w:line="360" w:lineRule="auto"/>
              <w:jc w:val="both"/>
              <w:rPr>
                <w:rFonts w:ascii="Arial" w:hAnsi="Arial" w:cs="Arial"/>
                <w:b/>
                <w:bCs/>
                <w:sz w:val="24"/>
                <w:szCs w:val="24"/>
              </w:rPr>
            </w:pPr>
            <w:r w:rsidRPr="000811C5">
              <w:rPr>
                <w:rFonts w:ascii="Arial" w:hAnsi="Arial" w:cs="Arial"/>
                <w:b/>
                <w:bCs/>
                <w:sz w:val="24"/>
                <w:szCs w:val="24"/>
              </w:rPr>
              <w:t>THEORETICAL CONTEXT:</w:t>
            </w:r>
          </w:p>
          <w:p w14:paraId="69581E0E" w14:textId="77777777" w:rsidR="000811C5" w:rsidRPr="000811C5" w:rsidRDefault="000811C5" w:rsidP="00301A56">
            <w:pPr>
              <w:spacing w:line="360" w:lineRule="auto"/>
              <w:jc w:val="both"/>
              <w:rPr>
                <w:rFonts w:ascii="Arial" w:hAnsi="Arial" w:cs="Arial"/>
                <w:sz w:val="24"/>
                <w:szCs w:val="24"/>
              </w:rPr>
            </w:pPr>
            <w:r w:rsidRPr="000811C5">
              <w:rPr>
                <w:rFonts w:ascii="Arial" w:hAnsi="Arial" w:cs="Arial"/>
                <w:sz w:val="24"/>
                <w:szCs w:val="24"/>
              </w:rPr>
              <w:t>This research will draw upon a wide range of academic, policy and organisational literature to examine the relationship between public understanding of the Prevent Duty and trust in counter-terrorism policing.</w:t>
            </w:r>
          </w:p>
          <w:p w14:paraId="7485F58B" w14:textId="77777777" w:rsidR="000811C5" w:rsidRPr="000811C5" w:rsidRDefault="000811C5" w:rsidP="00301A56">
            <w:pPr>
              <w:spacing w:line="360" w:lineRule="auto"/>
              <w:jc w:val="both"/>
              <w:rPr>
                <w:rStyle w:val="lookup-resultcontent"/>
                <w:rFonts w:ascii="Arial" w:hAnsi="Arial" w:cs="Arial"/>
                <w:sz w:val="24"/>
                <w:szCs w:val="24"/>
              </w:rPr>
            </w:pPr>
          </w:p>
          <w:p w14:paraId="5229DC5E" w14:textId="77777777" w:rsidR="000811C5" w:rsidRPr="000811C5" w:rsidRDefault="000811C5" w:rsidP="00301A56">
            <w:pPr>
              <w:spacing w:line="360" w:lineRule="auto"/>
              <w:jc w:val="both"/>
              <w:rPr>
                <w:rStyle w:val="lookup-resultcontent"/>
                <w:rFonts w:ascii="Arial" w:hAnsi="Arial" w:cs="Arial"/>
                <w:sz w:val="24"/>
                <w:szCs w:val="24"/>
              </w:rPr>
            </w:pPr>
            <w:r w:rsidRPr="000811C5">
              <w:rPr>
                <w:rStyle w:val="lookup-resultcontent"/>
                <w:rFonts w:ascii="Arial" w:hAnsi="Arial" w:cs="Arial"/>
                <w:sz w:val="24"/>
                <w:szCs w:val="24"/>
              </w:rPr>
              <w:t>Key policy sources will be used to establish the purpose and implementation of Prevent. The Home Office (2023) Prevent Duty guidance provides the official framework for the policy, outlining its safeguarding-based approach to prevent radicalisation. This will be supported by the Independent Review of Prevent (2023), which offers a critical evaluation of the policy, highlighting both strengths and areas for improvement. Additional government and parliamentary sources, including UK Parliament reports (2023;2024), will provide context on broader counter-terrorism challenges and declining public trust in policing.</w:t>
            </w:r>
          </w:p>
          <w:p w14:paraId="2AF7DA31" w14:textId="77777777" w:rsidR="000811C5" w:rsidRPr="000811C5" w:rsidRDefault="000811C5" w:rsidP="00301A56">
            <w:pPr>
              <w:spacing w:line="360" w:lineRule="auto"/>
              <w:jc w:val="both"/>
              <w:rPr>
                <w:rStyle w:val="lookup-resultcontent"/>
                <w:rFonts w:ascii="Arial" w:hAnsi="Arial" w:cs="Arial"/>
                <w:sz w:val="24"/>
                <w:szCs w:val="24"/>
              </w:rPr>
            </w:pPr>
          </w:p>
          <w:p w14:paraId="017A4DB1" w14:textId="77777777" w:rsidR="000811C5" w:rsidRPr="000811C5" w:rsidRDefault="000811C5" w:rsidP="00301A56">
            <w:pPr>
              <w:spacing w:line="360" w:lineRule="auto"/>
              <w:jc w:val="both"/>
              <w:rPr>
                <w:rStyle w:val="lookup-resultcontent"/>
                <w:rFonts w:ascii="Arial" w:hAnsi="Arial" w:cs="Arial"/>
                <w:sz w:val="24"/>
                <w:szCs w:val="24"/>
              </w:rPr>
            </w:pPr>
            <w:r w:rsidRPr="000811C5">
              <w:rPr>
                <w:rStyle w:val="lookup-resultcontent"/>
                <w:rFonts w:ascii="Arial" w:hAnsi="Arial" w:cs="Arial"/>
                <w:sz w:val="24"/>
                <w:szCs w:val="24"/>
              </w:rPr>
              <w:lastRenderedPageBreak/>
              <w:t>Academic and research-based literature will be used to explore issues of public perception, legitimacy, and trust. Binder and Allen (2024) provide insight into how Prevent is understood in practise, highlighting inconsistencies in interpretation and implementation. Similarly, survey findings by ICM Unlimited (2020) demonstrate a link between public awareness of Prevent and more favourable perceptions of the policy. Research into media influence, such as White (2020), will also be utilised to examine how public understanding may be shaped by external narratives rather than direct engagement with policy.</w:t>
            </w:r>
          </w:p>
          <w:p w14:paraId="4C032224" w14:textId="77777777" w:rsidR="000811C5" w:rsidRPr="000811C5" w:rsidRDefault="000811C5" w:rsidP="00301A56">
            <w:pPr>
              <w:spacing w:line="360" w:lineRule="auto"/>
              <w:jc w:val="both"/>
              <w:rPr>
                <w:rStyle w:val="lookup-resultcontent"/>
                <w:rFonts w:ascii="Arial" w:hAnsi="Arial" w:cs="Arial"/>
                <w:sz w:val="24"/>
                <w:szCs w:val="24"/>
              </w:rPr>
            </w:pPr>
          </w:p>
          <w:p w14:paraId="2F41AAAD" w14:textId="77777777" w:rsidR="000811C5" w:rsidRPr="000811C5" w:rsidRDefault="000811C5" w:rsidP="00301A56">
            <w:pPr>
              <w:spacing w:line="360" w:lineRule="auto"/>
              <w:jc w:val="both"/>
              <w:rPr>
                <w:rStyle w:val="lookup-resultcontent"/>
                <w:rFonts w:ascii="Arial" w:hAnsi="Arial" w:cs="Arial"/>
                <w:sz w:val="24"/>
                <w:szCs w:val="24"/>
              </w:rPr>
            </w:pPr>
            <w:r w:rsidRPr="000811C5">
              <w:rPr>
                <w:rStyle w:val="lookup-resultcontent"/>
                <w:rFonts w:ascii="Arial" w:hAnsi="Arial" w:cs="Arial"/>
                <w:sz w:val="24"/>
                <w:szCs w:val="24"/>
              </w:rPr>
              <w:t>The research will also draw upon key policing texts to establish a strong theoretical foundation. Blackstone’s Policing Student Handbook (2024) and Blackstone’s Counter-Terrorism Handbook (2019) will be used to contextualise Prevent within modern policing practise, particularly in relation to preventative and intelligence-led approaches. These texts offer detailed insight into contemporary policing principles, including legitimacy, accountability and the importance of public cooperation, while also outlining the operational and legal frameworks underpinning counter-terrorism policing in the UK.</w:t>
            </w:r>
          </w:p>
          <w:p w14:paraId="053D8DDC" w14:textId="77777777" w:rsidR="000811C5" w:rsidRPr="000811C5" w:rsidRDefault="000811C5" w:rsidP="00301A56">
            <w:pPr>
              <w:spacing w:line="360" w:lineRule="auto"/>
              <w:jc w:val="both"/>
              <w:rPr>
                <w:rStyle w:val="lookup-resultcontent"/>
                <w:rFonts w:ascii="Arial" w:hAnsi="Arial" w:cs="Arial"/>
                <w:sz w:val="24"/>
                <w:szCs w:val="24"/>
              </w:rPr>
            </w:pPr>
          </w:p>
          <w:p w14:paraId="2577F0B0" w14:textId="77777777" w:rsidR="000811C5" w:rsidRPr="000811C5" w:rsidRDefault="000811C5" w:rsidP="00301A56">
            <w:pPr>
              <w:spacing w:line="360" w:lineRule="auto"/>
              <w:jc w:val="both"/>
              <w:rPr>
                <w:rStyle w:val="lookup-resultcontent"/>
                <w:rFonts w:ascii="Arial" w:hAnsi="Arial" w:cs="Arial"/>
                <w:sz w:val="24"/>
                <w:szCs w:val="24"/>
              </w:rPr>
            </w:pPr>
            <w:r w:rsidRPr="000811C5">
              <w:rPr>
                <w:rStyle w:val="lookup-resultcontent"/>
                <w:rFonts w:ascii="Arial" w:hAnsi="Arial" w:cs="Arial"/>
                <w:sz w:val="24"/>
                <w:szCs w:val="24"/>
              </w:rPr>
              <w:t>Human rights and equality perspectives will also form a key part of the literature base. Amnesty International UK (2024) and the Equality and Human Rights Commission (2024) both highlight concerns regarding the potential impact of Prevent on civil liberties and community relations. These sources will be used to critically evaluate the ethical implications of counter-terrorism policing.</w:t>
            </w:r>
          </w:p>
          <w:p w14:paraId="05595985" w14:textId="77777777" w:rsidR="000811C5" w:rsidRPr="000811C5" w:rsidRDefault="000811C5" w:rsidP="00301A56">
            <w:pPr>
              <w:spacing w:line="360" w:lineRule="auto"/>
              <w:jc w:val="both"/>
              <w:rPr>
                <w:rStyle w:val="lookup-resultcontent"/>
                <w:rFonts w:ascii="Arial" w:hAnsi="Arial" w:cs="Arial"/>
                <w:sz w:val="24"/>
                <w:szCs w:val="24"/>
              </w:rPr>
            </w:pPr>
          </w:p>
          <w:p w14:paraId="4FCC0507" w14:textId="77777777" w:rsidR="000811C5" w:rsidRPr="000811C5" w:rsidRDefault="000811C5" w:rsidP="00301A56">
            <w:pPr>
              <w:spacing w:line="360" w:lineRule="auto"/>
              <w:jc w:val="both"/>
              <w:rPr>
                <w:rStyle w:val="lookup-resultcontent"/>
                <w:rFonts w:ascii="Arial" w:hAnsi="Arial" w:cs="Arial"/>
                <w:sz w:val="24"/>
                <w:szCs w:val="24"/>
              </w:rPr>
            </w:pPr>
            <w:r w:rsidRPr="000811C5">
              <w:rPr>
                <w:rStyle w:val="lookup-resultcontent"/>
                <w:rFonts w:ascii="Arial" w:hAnsi="Arial" w:cs="Arial"/>
                <w:sz w:val="24"/>
                <w:szCs w:val="24"/>
              </w:rPr>
              <w:t>Additional inspection and organisational reports, including HMICFRS (2023) and research from the College of Policing (2025), will provide further context on issues of public confidence, legitimacy, and policing effectiveness.</w:t>
            </w:r>
          </w:p>
          <w:p w14:paraId="60E9C2D8" w14:textId="77777777" w:rsidR="000811C5" w:rsidRPr="000811C5" w:rsidRDefault="000811C5" w:rsidP="00301A56">
            <w:pPr>
              <w:spacing w:line="360" w:lineRule="auto"/>
              <w:jc w:val="both"/>
              <w:rPr>
                <w:rStyle w:val="lookup-resultcontent"/>
                <w:rFonts w:ascii="Arial" w:hAnsi="Arial" w:cs="Arial"/>
                <w:sz w:val="24"/>
                <w:szCs w:val="24"/>
              </w:rPr>
            </w:pPr>
          </w:p>
          <w:p w14:paraId="1068C2CD" w14:textId="685B670C" w:rsidR="000811C5" w:rsidRPr="000811C5" w:rsidRDefault="000811C5" w:rsidP="00301A56">
            <w:pPr>
              <w:spacing w:line="360" w:lineRule="auto"/>
              <w:jc w:val="both"/>
              <w:rPr>
                <w:rFonts w:ascii="Arial" w:hAnsi="Arial" w:cs="Arial"/>
                <w:sz w:val="24"/>
                <w:szCs w:val="24"/>
              </w:rPr>
            </w:pPr>
            <w:r w:rsidRPr="000811C5">
              <w:rPr>
                <w:rStyle w:val="lookup-resultcontent"/>
                <w:rFonts w:ascii="Arial" w:hAnsi="Arial" w:cs="Arial"/>
                <w:sz w:val="24"/>
                <w:szCs w:val="24"/>
              </w:rPr>
              <w:t>Overall, this research will utilise a combination of government policy documents, academic research, policing textbooks and organisational reports to provide a balanced and comprehensive understanding of the topic.</w:t>
            </w:r>
          </w:p>
        </w:tc>
      </w:tr>
      <w:tr w:rsidR="000811C5" w:rsidRPr="000237C4" w14:paraId="36506391" w14:textId="77777777" w:rsidTr="000811C5">
        <w:trPr>
          <w:trHeight w:val="3990"/>
        </w:trPr>
        <w:tc>
          <w:tcPr>
            <w:tcW w:w="10141"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319EF89" w14:textId="77777777" w:rsidR="000811C5" w:rsidRPr="000811C5" w:rsidRDefault="000811C5" w:rsidP="000811C5">
            <w:pPr>
              <w:spacing w:line="360" w:lineRule="auto"/>
              <w:jc w:val="both"/>
              <w:rPr>
                <w:rFonts w:ascii="Arial" w:hAnsi="Arial" w:cs="Arial"/>
                <w:b/>
                <w:bCs/>
                <w:sz w:val="24"/>
                <w:szCs w:val="24"/>
              </w:rPr>
            </w:pPr>
            <w:r w:rsidRPr="000811C5">
              <w:rPr>
                <w:rFonts w:ascii="Arial" w:hAnsi="Arial" w:cs="Arial"/>
                <w:b/>
                <w:bCs/>
                <w:sz w:val="24"/>
                <w:szCs w:val="24"/>
              </w:rPr>
              <w:lastRenderedPageBreak/>
              <w:t xml:space="preserve">SUMMARY OF RESEARCH –SURVEY METHOD: </w:t>
            </w:r>
          </w:p>
          <w:p w14:paraId="750739DA"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This research will adopt a quantitative research approach, using an online questionnaire to collect primary data from members of the public. A quantitative method has been selected as it allows for the collection of data from a larger sample, enabling patterns and relationships between variables to be identified. This is particularly appropriate for this study, which aims to examine the relationship between public understanding of Prevent Duty and levels of trust in counter-terrorism policing.</w:t>
            </w:r>
          </w:p>
          <w:p w14:paraId="31434D4B" w14:textId="77777777" w:rsidR="000811C5" w:rsidRPr="000811C5" w:rsidRDefault="000811C5" w:rsidP="000811C5">
            <w:pPr>
              <w:spacing w:line="360" w:lineRule="auto"/>
              <w:jc w:val="both"/>
              <w:rPr>
                <w:rFonts w:ascii="Arial" w:hAnsi="Arial" w:cs="Arial"/>
                <w:sz w:val="24"/>
                <w:szCs w:val="24"/>
              </w:rPr>
            </w:pPr>
          </w:p>
          <w:p w14:paraId="7DF8FBB3"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Quantitative survey methods are widely used within policing research to measure public attitudes, perceptions and levels of trust, with government and policing bodies regularly collecting large-scale survey data on public confidence (Home Office, 2023b). Such approaches enable comparisons between demographic groups and the identification of trends over time, supporting the sustainability of a questionnaire-based method for exploring public perceptions of policing and counter-terrorism policy.</w:t>
            </w:r>
          </w:p>
          <w:p w14:paraId="53DD10D7" w14:textId="77777777" w:rsidR="000811C5" w:rsidRPr="000811C5" w:rsidRDefault="000811C5" w:rsidP="000811C5">
            <w:pPr>
              <w:spacing w:line="360" w:lineRule="auto"/>
              <w:jc w:val="both"/>
              <w:rPr>
                <w:rFonts w:ascii="Arial" w:hAnsi="Arial" w:cs="Arial"/>
                <w:sz w:val="24"/>
                <w:szCs w:val="24"/>
              </w:rPr>
            </w:pPr>
          </w:p>
          <w:p w14:paraId="62DBEA09"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The questionnaire will consist primarily of closed-ended questions, including multiple-choice questions like Likert scale items. These will be used to measure participants’ awareness and understanding of Prevent, as well as their attitudes towards counter-terrorism policing. Likert scale questions (e.g. strongly agree to strongly disagree) are commonly used in social research to quantify attitudes and perceptions, allowing responses to be analysed statistically (Bryman, 2016).</w:t>
            </w:r>
          </w:p>
          <w:p w14:paraId="29AE449F" w14:textId="77777777" w:rsidR="000811C5" w:rsidRPr="000811C5" w:rsidRDefault="000811C5" w:rsidP="000811C5">
            <w:pPr>
              <w:spacing w:line="360" w:lineRule="auto"/>
              <w:jc w:val="both"/>
              <w:rPr>
                <w:rFonts w:ascii="Arial" w:hAnsi="Arial" w:cs="Arial"/>
                <w:sz w:val="24"/>
                <w:szCs w:val="24"/>
              </w:rPr>
            </w:pPr>
          </w:p>
          <w:p w14:paraId="1D8B4A13"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In addition, the survey will include a small number of open-ended questions to allow participants to provide further explanation of their views. This mixed approach can provide additional context and insight, </w:t>
            </w:r>
            <w:proofErr w:type="gramStart"/>
            <w:r w:rsidRPr="000811C5">
              <w:rPr>
                <w:rFonts w:ascii="Arial" w:hAnsi="Arial" w:cs="Arial"/>
                <w:sz w:val="24"/>
                <w:szCs w:val="24"/>
              </w:rPr>
              <w:t>supporting</w:t>
            </w:r>
            <w:proofErr w:type="gramEnd"/>
            <w:r w:rsidRPr="000811C5">
              <w:rPr>
                <w:rFonts w:ascii="Arial" w:hAnsi="Arial" w:cs="Arial"/>
                <w:sz w:val="24"/>
                <w:szCs w:val="24"/>
              </w:rPr>
              <w:t xml:space="preserve"> the interpretation of quantitative findings and enhancing the overall understanding of participant responses.</w:t>
            </w:r>
          </w:p>
          <w:p w14:paraId="03A58B3B" w14:textId="77777777" w:rsidR="000811C5" w:rsidRPr="000811C5" w:rsidRDefault="000811C5" w:rsidP="000811C5">
            <w:pPr>
              <w:spacing w:line="360" w:lineRule="auto"/>
              <w:jc w:val="both"/>
              <w:rPr>
                <w:rFonts w:ascii="Arial" w:hAnsi="Arial" w:cs="Arial"/>
                <w:sz w:val="24"/>
                <w:szCs w:val="24"/>
              </w:rPr>
            </w:pPr>
          </w:p>
          <w:p w14:paraId="00DAFF20"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The questionnaire will be distributed using an online survey platform, such as Google Forms or Microsoft Forms. Online surveys are widely used in contemporary research due to their accessibility, cost-effectiveness and ability to reach a broader audience. They also allow for </w:t>
            </w:r>
            <w:r w:rsidRPr="000811C5">
              <w:rPr>
                <w:rFonts w:ascii="Arial" w:hAnsi="Arial" w:cs="Arial"/>
                <w:sz w:val="24"/>
                <w:szCs w:val="24"/>
              </w:rPr>
              <w:lastRenderedPageBreak/>
              <w:t xml:space="preserve">anonymous participation, which is particularly important when exploring sensitive topics such as </w:t>
            </w:r>
            <w:proofErr w:type="gramStart"/>
            <w:r w:rsidRPr="000811C5">
              <w:rPr>
                <w:rFonts w:ascii="Arial" w:hAnsi="Arial" w:cs="Arial"/>
                <w:sz w:val="24"/>
                <w:szCs w:val="24"/>
              </w:rPr>
              <w:t>counter-terrorism</w:t>
            </w:r>
            <w:proofErr w:type="gramEnd"/>
            <w:r w:rsidRPr="000811C5">
              <w:rPr>
                <w:rFonts w:ascii="Arial" w:hAnsi="Arial" w:cs="Arial"/>
                <w:sz w:val="24"/>
                <w:szCs w:val="24"/>
              </w:rPr>
              <w:t>, as it may encourage more honest and reliable responses. Research has shown that anonymous survey methods can promote greater disclosure of sensitive information and reduce response bias, leading to more accurate data (Murdoch et al., 2014).</w:t>
            </w:r>
          </w:p>
          <w:p w14:paraId="6C7A13F0" w14:textId="77777777" w:rsidR="000811C5" w:rsidRPr="000811C5" w:rsidRDefault="000811C5" w:rsidP="000811C5">
            <w:pPr>
              <w:spacing w:line="360" w:lineRule="auto"/>
              <w:jc w:val="both"/>
              <w:rPr>
                <w:rFonts w:ascii="Arial" w:hAnsi="Arial" w:cs="Arial"/>
                <w:sz w:val="24"/>
                <w:szCs w:val="24"/>
              </w:rPr>
            </w:pPr>
          </w:p>
          <w:p w14:paraId="225BC990"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However, there are limitations to this approach. Quantitative surveys may lack depth compared to qualitative methods, meaning responses may be influenced by participants’ interpretation of questions. Additionally, online surveys may introduce sampling bias, as they rely on voluntary participation. Despite these limitations, the method is considered appropriate for this research, as it allows for the identification of general trends and relationships between understanding and trust.</w:t>
            </w:r>
          </w:p>
        </w:tc>
      </w:tr>
      <w:tr w:rsidR="000811C5" w:rsidRPr="000237C4" w14:paraId="541C93E8" w14:textId="77777777" w:rsidTr="000811C5">
        <w:trPr>
          <w:trHeight w:val="2258"/>
        </w:trPr>
        <w:tc>
          <w:tcPr>
            <w:tcW w:w="10141"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5088BBD" w14:textId="77777777" w:rsidR="000811C5" w:rsidRPr="000811C5" w:rsidRDefault="000811C5" w:rsidP="000811C5">
            <w:pPr>
              <w:spacing w:line="360" w:lineRule="auto"/>
              <w:jc w:val="both"/>
              <w:rPr>
                <w:rFonts w:ascii="Arial" w:hAnsi="Arial" w:cs="Arial"/>
                <w:b/>
                <w:bCs/>
                <w:sz w:val="24"/>
                <w:szCs w:val="24"/>
              </w:rPr>
            </w:pPr>
            <w:r w:rsidRPr="000811C5">
              <w:rPr>
                <w:rFonts w:ascii="Arial" w:hAnsi="Arial" w:cs="Arial"/>
                <w:b/>
                <w:bCs/>
                <w:sz w:val="24"/>
                <w:szCs w:val="24"/>
              </w:rPr>
              <w:lastRenderedPageBreak/>
              <w:t xml:space="preserve">SUMMARY OF SAMPLING FRAMEWORK: </w:t>
            </w:r>
          </w:p>
          <w:p w14:paraId="73E5B83C" w14:textId="77777777" w:rsidR="000811C5" w:rsidRPr="000811C5" w:rsidRDefault="000811C5" w:rsidP="00301A56">
            <w:pPr>
              <w:spacing w:line="360" w:lineRule="auto"/>
              <w:jc w:val="both"/>
              <w:rPr>
                <w:rFonts w:ascii="Arial" w:hAnsi="Arial" w:cs="Arial"/>
                <w:sz w:val="24"/>
                <w:szCs w:val="24"/>
              </w:rPr>
            </w:pPr>
            <w:r w:rsidRPr="000811C5">
              <w:rPr>
                <w:rFonts w:ascii="Arial" w:hAnsi="Arial" w:cs="Arial"/>
                <w:sz w:val="24"/>
                <w:szCs w:val="24"/>
              </w:rPr>
              <w:t xml:space="preserve">The target sample for this research will be members of the </w:t>
            </w:r>
            <w:proofErr w:type="gramStart"/>
            <w:r w:rsidRPr="000811C5">
              <w:rPr>
                <w:rFonts w:ascii="Arial" w:hAnsi="Arial" w:cs="Arial"/>
                <w:sz w:val="24"/>
                <w:szCs w:val="24"/>
              </w:rPr>
              <w:t>general public</w:t>
            </w:r>
            <w:proofErr w:type="gramEnd"/>
            <w:r w:rsidRPr="000811C5">
              <w:rPr>
                <w:rFonts w:ascii="Arial" w:hAnsi="Arial" w:cs="Arial"/>
                <w:sz w:val="24"/>
                <w:szCs w:val="24"/>
              </w:rPr>
              <w:t xml:space="preserve"> aged 18 and over within England and Wales. This is appropriate as the study aims to examine public understanding of the Prevent Duty and its influence on trust in counter-terrorism policing. As the research focuses on public perception, it is necessary to gather data from a general population rather than specific professional groups.</w:t>
            </w:r>
          </w:p>
          <w:p w14:paraId="4ED9C930" w14:textId="77777777" w:rsidR="000811C5" w:rsidRPr="000811C5" w:rsidRDefault="000811C5" w:rsidP="00301A56">
            <w:pPr>
              <w:spacing w:line="360" w:lineRule="auto"/>
              <w:jc w:val="both"/>
              <w:rPr>
                <w:rFonts w:ascii="Arial" w:hAnsi="Arial" w:cs="Arial"/>
                <w:sz w:val="24"/>
                <w:szCs w:val="24"/>
              </w:rPr>
            </w:pPr>
          </w:p>
          <w:p w14:paraId="140805CA" w14:textId="77777777" w:rsidR="000811C5" w:rsidRPr="000811C5" w:rsidRDefault="000811C5" w:rsidP="00301A56">
            <w:pPr>
              <w:spacing w:line="360" w:lineRule="auto"/>
              <w:jc w:val="both"/>
              <w:rPr>
                <w:rFonts w:ascii="Arial" w:hAnsi="Arial" w:cs="Arial"/>
                <w:sz w:val="24"/>
                <w:szCs w:val="24"/>
              </w:rPr>
            </w:pPr>
            <w:r w:rsidRPr="000811C5">
              <w:rPr>
                <w:rFonts w:ascii="Arial" w:hAnsi="Arial" w:cs="Arial"/>
                <w:sz w:val="24"/>
                <w:szCs w:val="24"/>
              </w:rPr>
              <w:t>Participants will be recruited using a convenience sampling method, primarily through social media platforms and personal networks. This approach is practical and accessible within the time constraints of an undergraduate study, allowing data to be collected efficiently from a wider audience.</w:t>
            </w:r>
          </w:p>
          <w:p w14:paraId="12D2D793" w14:textId="77777777" w:rsidR="000811C5" w:rsidRPr="000811C5" w:rsidRDefault="000811C5" w:rsidP="00301A56">
            <w:pPr>
              <w:spacing w:line="360" w:lineRule="auto"/>
              <w:jc w:val="both"/>
              <w:rPr>
                <w:rFonts w:ascii="Arial" w:hAnsi="Arial" w:cs="Arial"/>
                <w:sz w:val="24"/>
                <w:szCs w:val="24"/>
              </w:rPr>
            </w:pPr>
          </w:p>
          <w:p w14:paraId="3DA4D6ED" w14:textId="77777777" w:rsidR="000811C5" w:rsidRPr="000811C5" w:rsidRDefault="000811C5" w:rsidP="00301A56">
            <w:pPr>
              <w:spacing w:line="360" w:lineRule="auto"/>
              <w:jc w:val="both"/>
              <w:rPr>
                <w:rFonts w:ascii="Arial" w:hAnsi="Arial" w:cs="Arial"/>
                <w:sz w:val="24"/>
                <w:szCs w:val="24"/>
              </w:rPr>
            </w:pPr>
            <w:r w:rsidRPr="000811C5">
              <w:rPr>
                <w:rFonts w:ascii="Arial" w:hAnsi="Arial" w:cs="Arial"/>
                <w:sz w:val="24"/>
                <w:szCs w:val="24"/>
              </w:rPr>
              <w:t>The anticipated sample size is approximately 50-100 participants, which is sufficient to identify general trends in attitudes and perceptions. Participation will be voluntary and anonymous, with informed consent obtained prior to completion of the questionnaire. This is particularly important given the sensitive nature of the given research topic.</w:t>
            </w:r>
          </w:p>
          <w:p w14:paraId="77D62899" w14:textId="77777777" w:rsidR="000811C5" w:rsidRPr="000811C5" w:rsidRDefault="000811C5" w:rsidP="00301A56">
            <w:pPr>
              <w:spacing w:line="360" w:lineRule="auto"/>
              <w:jc w:val="both"/>
              <w:rPr>
                <w:rFonts w:ascii="Arial" w:hAnsi="Arial" w:cs="Arial"/>
                <w:sz w:val="24"/>
                <w:szCs w:val="24"/>
              </w:rPr>
            </w:pPr>
          </w:p>
          <w:p w14:paraId="6DE06200" w14:textId="1C8623E3"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lastRenderedPageBreak/>
              <w:t>However, there are limitations to this approach. Convenience sampling may result in a sample that is not fully representative of the wider population, and online distribution may exclude individuals who do not regularly use digital platforms. Despite this, the method is appropriate for an exploratory study, as it allows for the efficient collection of data and identification of general patterns</w:t>
            </w:r>
            <w:r>
              <w:rPr>
                <w:rFonts w:ascii="Arial" w:hAnsi="Arial" w:cs="Arial"/>
                <w:sz w:val="24"/>
                <w:szCs w:val="24"/>
              </w:rPr>
              <w:t>.</w:t>
            </w:r>
          </w:p>
        </w:tc>
      </w:tr>
      <w:tr w:rsidR="000811C5" w:rsidRPr="000C23C9" w14:paraId="3DD63207" w14:textId="77777777" w:rsidTr="000811C5">
        <w:trPr>
          <w:trHeight w:val="3990"/>
        </w:trPr>
        <w:tc>
          <w:tcPr>
            <w:tcW w:w="10141"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E4E843" w14:textId="19AF4475" w:rsidR="000811C5" w:rsidRPr="000237C4" w:rsidRDefault="000811C5" w:rsidP="00301A56">
            <w:pPr>
              <w:spacing w:line="360" w:lineRule="auto"/>
              <w:jc w:val="both"/>
              <w:rPr>
                <w:rFonts w:ascii="Arial" w:hAnsi="Arial" w:cs="Arial"/>
                <w:b/>
                <w:bCs/>
                <w:sz w:val="24"/>
                <w:szCs w:val="24"/>
              </w:rPr>
            </w:pPr>
            <w:r w:rsidRPr="000237C4">
              <w:rPr>
                <w:rFonts w:ascii="Arial" w:hAnsi="Arial" w:cs="Arial"/>
                <w:b/>
                <w:bCs/>
                <w:sz w:val="24"/>
                <w:szCs w:val="24"/>
              </w:rPr>
              <w:lastRenderedPageBreak/>
              <w:t>INITIAL REFERENCE LIST:</w:t>
            </w:r>
          </w:p>
          <w:p w14:paraId="5FD624C1"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Amnesty International UK (2024) The Prevent duty and its chilling effect on human rights. Available at: </w:t>
            </w:r>
            <w:hyperlink r:id="rId6" w:tgtFrame="_new" w:history="1">
              <w:r w:rsidRPr="000811C5">
                <w:rPr>
                  <w:rStyle w:val="Hyperlink"/>
                  <w:rFonts w:ascii="Arial" w:hAnsi="Arial" w:cs="Arial"/>
                  <w:sz w:val="24"/>
                  <w:szCs w:val="24"/>
                </w:rPr>
                <w:t>https://media.amnesty.org.uk/documents/AIUK20Briefing20-20The20Prevent20Duty20and20its20Chilling20Effect20on20Hu_G45NByz.pdf</w:t>
              </w:r>
            </w:hyperlink>
            <w:r w:rsidRPr="000811C5">
              <w:rPr>
                <w:rFonts w:ascii="Arial" w:hAnsi="Arial" w:cs="Arial"/>
                <w:sz w:val="24"/>
                <w:szCs w:val="24"/>
              </w:rPr>
              <w:t xml:space="preserve"> (Accessed: 18 April 2026).</w:t>
            </w:r>
          </w:p>
          <w:p w14:paraId="354CF77A"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Binder, J. and Allen, R. (2024) Prevent duty, safeguarding and agency. Nottingham: Nottingham Trent University. Available at: </w:t>
            </w:r>
            <w:hyperlink r:id="rId7" w:tgtFrame="_new" w:history="1">
              <w:r w:rsidRPr="000811C5">
                <w:rPr>
                  <w:rStyle w:val="Hyperlink"/>
                  <w:rFonts w:ascii="Arial" w:hAnsi="Arial" w:cs="Arial"/>
                  <w:sz w:val="24"/>
                  <w:szCs w:val="24"/>
                </w:rPr>
                <w:t>https://www.ntu.ac.uk/media/documents/nce/Prevent-duty%2C-safeguarding-and-agency-NTU-report.pdf</w:t>
              </w:r>
            </w:hyperlink>
            <w:r w:rsidRPr="000811C5">
              <w:rPr>
                <w:rFonts w:ascii="Arial" w:hAnsi="Arial" w:cs="Arial"/>
                <w:sz w:val="24"/>
                <w:szCs w:val="24"/>
              </w:rPr>
              <w:t xml:space="preserve"> (Accessed: 18 April 2026).</w:t>
            </w:r>
          </w:p>
          <w:p w14:paraId="64BEC45B"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Blackstone’s (2019) Blackstone’s counter-terrorism handbook. 4th </w:t>
            </w:r>
            <w:proofErr w:type="spellStart"/>
            <w:r w:rsidRPr="000811C5">
              <w:rPr>
                <w:rFonts w:ascii="Arial" w:hAnsi="Arial" w:cs="Arial"/>
                <w:sz w:val="24"/>
                <w:szCs w:val="24"/>
              </w:rPr>
              <w:t>edn</w:t>
            </w:r>
            <w:proofErr w:type="spellEnd"/>
            <w:r w:rsidRPr="000811C5">
              <w:rPr>
                <w:rFonts w:ascii="Arial" w:hAnsi="Arial" w:cs="Arial"/>
                <w:sz w:val="24"/>
                <w:szCs w:val="24"/>
              </w:rPr>
              <w:t>. Oxford: Oxford University Press.</w:t>
            </w:r>
          </w:p>
          <w:p w14:paraId="057FCA61"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Blackstone’s (2024) Blackstone’s handbook for policing students 2024. Oxford: Oxford University Press.</w:t>
            </w:r>
          </w:p>
          <w:p w14:paraId="12838D42"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Bryman, A. (2016) Social Research Methods. 5th </w:t>
            </w:r>
            <w:proofErr w:type="spellStart"/>
            <w:r w:rsidRPr="000811C5">
              <w:rPr>
                <w:rFonts w:ascii="Arial" w:hAnsi="Arial" w:cs="Arial"/>
                <w:sz w:val="24"/>
                <w:szCs w:val="24"/>
              </w:rPr>
              <w:t>edn</w:t>
            </w:r>
            <w:proofErr w:type="spellEnd"/>
            <w:r w:rsidRPr="000811C5">
              <w:rPr>
                <w:rFonts w:ascii="Arial" w:hAnsi="Arial" w:cs="Arial"/>
                <w:sz w:val="24"/>
                <w:szCs w:val="24"/>
              </w:rPr>
              <w:t>. Oxford: Oxford University Press.</w:t>
            </w:r>
          </w:p>
          <w:p w14:paraId="5BCEE249"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College of Policing (2025) Improving public confidence in the police: An evidence-based guide. Available at: </w:t>
            </w:r>
            <w:hyperlink r:id="rId8" w:history="1">
              <w:r w:rsidRPr="000811C5">
                <w:rPr>
                  <w:rStyle w:val="Hyperlink"/>
                  <w:rFonts w:ascii="Arial" w:hAnsi="Arial" w:cs="Arial"/>
                  <w:sz w:val="24"/>
                  <w:szCs w:val="24"/>
                </w:rPr>
                <w:t>https://assets.college.police.uk/s3fs-public/2025-01/Improving-public-confidence-in-the-police-guide.pdf</w:t>
              </w:r>
            </w:hyperlink>
            <w:r w:rsidRPr="000811C5">
              <w:rPr>
                <w:rFonts w:ascii="Arial" w:hAnsi="Arial" w:cs="Arial"/>
                <w:sz w:val="24"/>
                <w:szCs w:val="24"/>
              </w:rPr>
              <w:t xml:space="preserve"> (Accessed: 19 April 2026).</w:t>
            </w:r>
          </w:p>
          <w:p w14:paraId="2ACBE509"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College of Policing (2015) Professional standards. Available at: </w:t>
            </w:r>
            <w:hyperlink r:id="rId9" w:history="1">
              <w:r w:rsidRPr="000811C5">
                <w:rPr>
                  <w:rStyle w:val="Hyperlink"/>
                  <w:rFonts w:ascii="Arial" w:hAnsi="Arial" w:cs="Arial"/>
                  <w:sz w:val="24"/>
                  <w:szCs w:val="24"/>
                </w:rPr>
                <w:t>https://www.college.police.uk/app/professional-standards</w:t>
              </w:r>
            </w:hyperlink>
            <w:r w:rsidRPr="000811C5">
              <w:rPr>
                <w:rFonts w:ascii="Arial" w:hAnsi="Arial" w:cs="Arial"/>
                <w:sz w:val="24"/>
                <w:szCs w:val="24"/>
              </w:rPr>
              <w:t xml:space="preserve"> (Accessed: 19 April 2026).</w:t>
            </w:r>
          </w:p>
          <w:p w14:paraId="6B1E4DED"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Equality and Human Rights Commission (2024) Response to HMICFRS proposed policing inspection framework and programme 2025–2029. Available at: </w:t>
            </w:r>
            <w:hyperlink r:id="rId10" w:tgtFrame="_new" w:history="1">
              <w:r w:rsidRPr="000811C5">
                <w:rPr>
                  <w:rStyle w:val="Hyperlink"/>
                  <w:rFonts w:ascii="Arial" w:hAnsi="Arial" w:cs="Arial"/>
                  <w:sz w:val="24"/>
                  <w:szCs w:val="24"/>
                </w:rPr>
                <w:t>https://www.equalityhumanrights.com/response-hmicfrs-proposed-policing-inspection-framework-and-programme-2025-2029</w:t>
              </w:r>
            </w:hyperlink>
            <w:r w:rsidRPr="000811C5">
              <w:rPr>
                <w:rFonts w:ascii="Arial" w:hAnsi="Arial" w:cs="Arial"/>
                <w:sz w:val="24"/>
                <w:szCs w:val="24"/>
              </w:rPr>
              <w:t xml:space="preserve"> (Accessed: 18 April 2026).</w:t>
            </w:r>
          </w:p>
          <w:p w14:paraId="04A07E21"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His Majesty’s Inspectorate of Constabulary and Fire &amp; Rescue Services (2024) State of policing: The annual assessment of policing in England and Wales 2023. Available at: </w:t>
            </w:r>
            <w:hyperlink r:id="rId11" w:history="1">
              <w:r w:rsidRPr="000811C5">
                <w:rPr>
                  <w:rStyle w:val="Hyperlink"/>
                  <w:rFonts w:ascii="Arial" w:hAnsi="Arial" w:cs="Arial"/>
                  <w:sz w:val="24"/>
                  <w:szCs w:val="24"/>
                </w:rPr>
                <w:t>https://hmicfrs.justiceinspectorates.gov.uk/publication-html/state-of-policing-the-annual-assessment-of-policing-in-england-and-wales-2023/</w:t>
              </w:r>
            </w:hyperlink>
            <w:r w:rsidRPr="000811C5">
              <w:rPr>
                <w:rFonts w:ascii="Arial" w:hAnsi="Arial" w:cs="Arial"/>
                <w:sz w:val="24"/>
                <w:szCs w:val="24"/>
              </w:rPr>
              <w:t xml:space="preserve"> (Accessed: 19 April 2026).</w:t>
            </w:r>
          </w:p>
          <w:p w14:paraId="1C136360"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Home Office (2024) Independent Review of Prevent. Available at: </w:t>
            </w:r>
            <w:hyperlink r:id="rId12" w:history="1">
              <w:r w:rsidRPr="000811C5">
                <w:rPr>
                  <w:rStyle w:val="Hyperlink"/>
                  <w:rFonts w:ascii="Arial" w:hAnsi="Arial" w:cs="Arial"/>
                  <w:sz w:val="24"/>
                  <w:szCs w:val="24"/>
                </w:rPr>
                <w:t>https://www.gov.uk/government/publications/independent-review-of-prevents-report-and-government-response/independent-review-of-prevent-accessible</w:t>
              </w:r>
            </w:hyperlink>
            <w:r w:rsidRPr="000811C5">
              <w:rPr>
                <w:rFonts w:ascii="Arial" w:hAnsi="Arial" w:cs="Arial"/>
                <w:sz w:val="24"/>
                <w:szCs w:val="24"/>
              </w:rPr>
              <w:t xml:space="preserve"> (Accessed: 19 April 2026).</w:t>
            </w:r>
          </w:p>
          <w:p w14:paraId="2ED813DF"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Home Office (2023a) Prevent duty guidance: England and Wales. Available at: </w:t>
            </w:r>
            <w:hyperlink r:id="rId13" w:tgtFrame="_new" w:history="1">
              <w:r w:rsidRPr="000811C5">
                <w:rPr>
                  <w:rStyle w:val="Hyperlink"/>
                  <w:rFonts w:ascii="Arial" w:hAnsi="Arial" w:cs="Arial"/>
                  <w:sz w:val="24"/>
                  <w:szCs w:val="24"/>
                </w:rPr>
                <w:t>https://www.gov.uk/government/publications/prevent-duty-guidance/prevent-duty-guidance-for-england-and-wales-accessible</w:t>
              </w:r>
            </w:hyperlink>
            <w:r w:rsidRPr="000811C5">
              <w:rPr>
                <w:rFonts w:ascii="Arial" w:hAnsi="Arial" w:cs="Arial"/>
                <w:sz w:val="24"/>
                <w:szCs w:val="24"/>
              </w:rPr>
              <w:t xml:space="preserve"> (Accessed: 18 April 2026).</w:t>
            </w:r>
          </w:p>
          <w:p w14:paraId="327F1C1E"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Home Office (2023b) Public perceptions of policing: A review of research and literature. Available at: </w:t>
            </w:r>
            <w:hyperlink r:id="rId14" w:history="1">
              <w:r w:rsidRPr="000811C5">
                <w:rPr>
                  <w:rStyle w:val="Hyperlink"/>
                  <w:rFonts w:ascii="Arial" w:hAnsi="Arial" w:cs="Arial"/>
                  <w:sz w:val="24"/>
                  <w:szCs w:val="24"/>
                </w:rPr>
                <w:t>https://www.gov.uk/government/publications/public-perceptions-of-policing-a-review-of-research-and-literature/public-perceptions-of-policing-a-review-of-research-and-literature</w:t>
              </w:r>
            </w:hyperlink>
            <w:r w:rsidRPr="000811C5">
              <w:rPr>
                <w:rFonts w:ascii="Arial" w:hAnsi="Arial" w:cs="Arial"/>
                <w:sz w:val="24"/>
                <w:szCs w:val="24"/>
              </w:rPr>
              <w:t xml:space="preserve"> (Accessed: 20 April 2026).</w:t>
            </w:r>
          </w:p>
          <w:p w14:paraId="51667706"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ICM Unlimited (2020) Prevent Survey Findings Report. London: Home Office. Available at: </w:t>
            </w:r>
            <w:hyperlink r:id="rId15" w:tgtFrame="_new" w:history="1">
              <w:r w:rsidRPr="000811C5">
                <w:rPr>
                  <w:rStyle w:val="Hyperlink"/>
                  <w:rFonts w:ascii="Arial" w:hAnsi="Arial" w:cs="Arial"/>
                  <w:sz w:val="24"/>
                  <w:szCs w:val="24"/>
                </w:rPr>
                <w:t>https://assets.publishing.service.gov.uk/media/5f9946938fa8f5790cd3a24e/Annex_B_-_Prevent_Survey_findings_report__1_.pdf</w:t>
              </w:r>
            </w:hyperlink>
            <w:r w:rsidRPr="000811C5">
              <w:rPr>
                <w:rFonts w:ascii="Arial" w:hAnsi="Arial" w:cs="Arial"/>
                <w:sz w:val="24"/>
                <w:szCs w:val="24"/>
              </w:rPr>
              <w:t xml:space="preserve"> (Accessed: 18 April 2026).</w:t>
            </w:r>
          </w:p>
          <w:p w14:paraId="62F10FFF" w14:textId="77777777" w:rsidR="000811C5" w:rsidRPr="000811C5" w:rsidRDefault="000811C5" w:rsidP="000811C5">
            <w:pPr>
              <w:spacing w:line="360" w:lineRule="auto"/>
              <w:jc w:val="both"/>
              <w:rPr>
                <w:rFonts w:ascii="Arial" w:hAnsi="Arial" w:cs="Arial"/>
                <w:sz w:val="24"/>
                <w:szCs w:val="24"/>
              </w:rPr>
            </w:pPr>
            <w:proofErr w:type="spellStart"/>
            <w:r w:rsidRPr="000811C5">
              <w:rPr>
                <w:rFonts w:ascii="Arial" w:hAnsi="Arial" w:cs="Arial"/>
                <w:sz w:val="24"/>
                <w:szCs w:val="24"/>
              </w:rPr>
              <w:t>Meleagrou</w:t>
            </w:r>
            <w:proofErr w:type="spellEnd"/>
            <w:r w:rsidRPr="000811C5">
              <w:rPr>
                <w:rFonts w:ascii="Arial" w:hAnsi="Arial" w:cs="Arial"/>
                <w:sz w:val="24"/>
                <w:szCs w:val="24"/>
              </w:rPr>
              <w:t xml:space="preserve">-Hitchens, A. (2022) The UK Prevent Strategy: A literature review, 2011–2021. Available at: </w:t>
            </w:r>
            <w:hyperlink r:id="rId16" w:history="1">
              <w:r w:rsidRPr="000811C5">
                <w:rPr>
                  <w:rStyle w:val="Hyperlink"/>
                  <w:rFonts w:ascii="Arial" w:hAnsi="Arial" w:cs="Arial"/>
                  <w:sz w:val="24"/>
                  <w:szCs w:val="24"/>
                </w:rPr>
                <w:t>https://counterextremism.org.uk/wp-content/uploads/2022/10/UK_Prevent_Strategy_11-21_WEB.pdf</w:t>
              </w:r>
            </w:hyperlink>
            <w:r w:rsidRPr="000811C5">
              <w:rPr>
                <w:rFonts w:ascii="Arial" w:hAnsi="Arial" w:cs="Arial"/>
                <w:sz w:val="24"/>
                <w:szCs w:val="24"/>
              </w:rPr>
              <w:t xml:space="preserve"> (Accessed: 18 April 2026).</w:t>
            </w:r>
          </w:p>
          <w:p w14:paraId="54FF9C47"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Murdoch, M., Simon, A.B., </w:t>
            </w:r>
            <w:proofErr w:type="spellStart"/>
            <w:r w:rsidRPr="000811C5">
              <w:rPr>
                <w:rFonts w:ascii="Arial" w:hAnsi="Arial" w:cs="Arial"/>
                <w:sz w:val="24"/>
                <w:szCs w:val="24"/>
              </w:rPr>
              <w:t>Polusny</w:t>
            </w:r>
            <w:proofErr w:type="spellEnd"/>
            <w:r w:rsidRPr="000811C5">
              <w:rPr>
                <w:rFonts w:ascii="Arial" w:hAnsi="Arial" w:cs="Arial"/>
                <w:sz w:val="24"/>
                <w:szCs w:val="24"/>
              </w:rPr>
              <w:t xml:space="preserve">, M.A., Bangerter, A.K., Grill, J.P., </w:t>
            </w:r>
            <w:proofErr w:type="spellStart"/>
            <w:r w:rsidRPr="000811C5">
              <w:rPr>
                <w:rFonts w:ascii="Arial" w:hAnsi="Arial" w:cs="Arial"/>
                <w:sz w:val="24"/>
                <w:szCs w:val="24"/>
              </w:rPr>
              <w:t>Noorbaloochi</w:t>
            </w:r>
            <w:proofErr w:type="spellEnd"/>
            <w:r w:rsidRPr="000811C5">
              <w:rPr>
                <w:rFonts w:ascii="Arial" w:hAnsi="Arial" w:cs="Arial"/>
                <w:sz w:val="24"/>
                <w:szCs w:val="24"/>
              </w:rPr>
              <w:t xml:space="preserve">, S. and Partin, M.R. (2014) Impact of different privacy conditions and incentives on survey response rate, participant representativeness, and disclosure of sensitive information: a randomised controlled trial. BMC Medical Research Methodology, 14. Available at: </w:t>
            </w:r>
            <w:hyperlink r:id="rId17" w:history="1">
              <w:r w:rsidRPr="000811C5">
                <w:rPr>
                  <w:rStyle w:val="Hyperlink"/>
                  <w:rFonts w:ascii="Arial" w:hAnsi="Arial" w:cs="Arial"/>
                  <w:sz w:val="24"/>
                  <w:szCs w:val="24"/>
                </w:rPr>
                <w:t>https://pmc.ncbi.nlm.nih.gov/articles/PMC4112969/</w:t>
              </w:r>
            </w:hyperlink>
            <w:r w:rsidRPr="000811C5">
              <w:rPr>
                <w:rFonts w:ascii="Arial" w:hAnsi="Arial" w:cs="Arial"/>
                <w:sz w:val="24"/>
                <w:szCs w:val="24"/>
              </w:rPr>
              <w:t xml:space="preserve"> (Accessed: 20 April 2026).</w:t>
            </w:r>
          </w:p>
          <w:p w14:paraId="6D1B262F"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UK Parliament (2023) Combatting new forms of extremism. Available at: </w:t>
            </w:r>
            <w:hyperlink r:id="rId18" w:tgtFrame="_new" w:history="1">
              <w:r w:rsidRPr="000811C5">
                <w:rPr>
                  <w:rStyle w:val="Hyperlink"/>
                  <w:rFonts w:ascii="Arial" w:hAnsi="Arial" w:cs="Arial"/>
                  <w:sz w:val="24"/>
                  <w:szCs w:val="24"/>
                </w:rPr>
                <w:t>https://committees.parliament.uk/publications/52458/documents/291283/default/</w:t>
              </w:r>
            </w:hyperlink>
            <w:r w:rsidRPr="000811C5">
              <w:rPr>
                <w:rFonts w:ascii="Arial" w:hAnsi="Arial" w:cs="Arial"/>
                <w:sz w:val="24"/>
                <w:szCs w:val="24"/>
              </w:rPr>
              <w:t xml:space="preserve"> (Accessed: 18 April 2026).</w:t>
            </w:r>
          </w:p>
          <w:p w14:paraId="4594C379"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UK Parliament (2017) Counter-terrorism policy and human rights. Available at: </w:t>
            </w:r>
            <w:hyperlink r:id="rId19" w:history="1">
              <w:r w:rsidRPr="000811C5">
                <w:rPr>
                  <w:rStyle w:val="Hyperlink"/>
                  <w:rFonts w:ascii="Arial" w:hAnsi="Arial" w:cs="Arial"/>
                  <w:sz w:val="24"/>
                  <w:szCs w:val="24"/>
                </w:rPr>
                <w:t>https://publications.parliament.uk/pa/jt201617/jtselect/jtrights/105/105.pdf</w:t>
              </w:r>
            </w:hyperlink>
            <w:r w:rsidRPr="000811C5">
              <w:rPr>
                <w:rFonts w:ascii="Arial" w:hAnsi="Arial" w:cs="Arial"/>
                <w:sz w:val="24"/>
                <w:szCs w:val="24"/>
              </w:rPr>
              <w:t xml:space="preserve"> (Accessed: 19 April 2026).</w:t>
            </w:r>
          </w:p>
          <w:p w14:paraId="771BD018"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lastRenderedPageBreak/>
              <w:t xml:space="preserve">UK Parliament (2021) Free for all? Freedom of expression in the digital age. Available at: </w:t>
            </w:r>
            <w:hyperlink r:id="rId20" w:tgtFrame="_new" w:history="1">
              <w:r w:rsidRPr="000811C5">
                <w:rPr>
                  <w:rStyle w:val="Hyperlink"/>
                  <w:rFonts w:ascii="Arial" w:hAnsi="Arial" w:cs="Arial"/>
                  <w:sz w:val="24"/>
                  <w:szCs w:val="24"/>
                </w:rPr>
                <w:t>https://committees.parliament.uk/publications/6878/documents/72529/default/</w:t>
              </w:r>
            </w:hyperlink>
            <w:r w:rsidRPr="000811C5">
              <w:rPr>
                <w:rFonts w:ascii="Arial" w:hAnsi="Arial" w:cs="Arial"/>
                <w:sz w:val="24"/>
                <w:szCs w:val="24"/>
              </w:rPr>
              <w:t xml:space="preserve"> (Accessed: 18 April 2026).</w:t>
            </w:r>
          </w:p>
          <w:p w14:paraId="010B3271" w14:textId="77777777" w:rsidR="000811C5" w:rsidRPr="000811C5" w:rsidRDefault="000811C5" w:rsidP="000811C5">
            <w:pPr>
              <w:spacing w:line="360" w:lineRule="auto"/>
              <w:jc w:val="both"/>
              <w:rPr>
                <w:rFonts w:ascii="Arial" w:hAnsi="Arial" w:cs="Arial"/>
                <w:sz w:val="24"/>
                <w:szCs w:val="24"/>
              </w:rPr>
            </w:pPr>
            <w:r w:rsidRPr="000811C5">
              <w:rPr>
                <w:rFonts w:ascii="Arial" w:hAnsi="Arial" w:cs="Arial"/>
                <w:sz w:val="24"/>
                <w:szCs w:val="24"/>
              </w:rPr>
              <w:t xml:space="preserve">UK Parliament (2024) Public trust and confidence in the police. Available at: </w:t>
            </w:r>
            <w:hyperlink r:id="rId21" w:history="1">
              <w:r w:rsidRPr="000811C5">
                <w:rPr>
                  <w:rStyle w:val="Hyperlink"/>
                  <w:rFonts w:ascii="Arial" w:hAnsi="Arial" w:cs="Arial"/>
                  <w:sz w:val="24"/>
                  <w:szCs w:val="24"/>
                </w:rPr>
                <w:t>https://post.parliament.uk/public-trust-and-confidence-in-the-police/</w:t>
              </w:r>
            </w:hyperlink>
            <w:r w:rsidRPr="000811C5">
              <w:rPr>
                <w:rFonts w:ascii="Arial" w:hAnsi="Arial" w:cs="Arial"/>
                <w:sz w:val="24"/>
                <w:szCs w:val="24"/>
              </w:rPr>
              <w:t xml:space="preserve"> (Accessed: 18 April 2026).</w:t>
            </w:r>
          </w:p>
          <w:p w14:paraId="259AC722" w14:textId="77777777" w:rsidR="000811C5" w:rsidRPr="000811C5" w:rsidRDefault="000811C5" w:rsidP="000811C5">
            <w:pPr>
              <w:spacing w:line="360" w:lineRule="auto"/>
              <w:jc w:val="both"/>
              <w:rPr>
                <w:rFonts w:ascii="Arial" w:hAnsi="Arial" w:cs="Arial"/>
                <w:b/>
                <w:bCs/>
                <w:sz w:val="24"/>
                <w:szCs w:val="24"/>
              </w:rPr>
            </w:pPr>
            <w:r w:rsidRPr="000811C5">
              <w:rPr>
                <w:rFonts w:ascii="Arial" w:hAnsi="Arial" w:cs="Arial"/>
                <w:sz w:val="24"/>
                <w:szCs w:val="24"/>
              </w:rPr>
              <w:t xml:space="preserve">White, J. (2020) Terrorism and the mass media. London: Royal United Services Institute. Available at: </w:t>
            </w:r>
            <w:hyperlink r:id="rId22" w:history="1">
              <w:r w:rsidRPr="000811C5">
                <w:rPr>
                  <w:rStyle w:val="Hyperlink"/>
                  <w:rFonts w:ascii="Arial" w:hAnsi="Arial" w:cs="Arial"/>
                  <w:sz w:val="24"/>
                  <w:szCs w:val="24"/>
                </w:rPr>
                <w:t>https://static.rusi.org/terrorism_and_the_mass_media_final_web_version.pdf</w:t>
              </w:r>
            </w:hyperlink>
            <w:r w:rsidRPr="000811C5">
              <w:rPr>
                <w:rFonts w:ascii="Arial" w:hAnsi="Arial" w:cs="Arial"/>
                <w:sz w:val="24"/>
                <w:szCs w:val="24"/>
              </w:rPr>
              <w:t xml:space="preserve"> (Accessed: 18 April 2026).</w:t>
            </w:r>
          </w:p>
        </w:tc>
      </w:tr>
    </w:tbl>
    <w:p w14:paraId="64C55B12" w14:textId="77777777" w:rsidR="007415EC" w:rsidRDefault="007415EC"/>
    <w:sectPr w:rsidR="00741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B71755"/>
    <w:multiLevelType w:val="hybridMultilevel"/>
    <w:tmpl w:val="92BE0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792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1C5"/>
    <w:rsid w:val="000811C5"/>
    <w:rsid w:val="001140F6"/>
    <w:rsid w:val="007415EC"/>
    <w:rsid w:val="00B56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F2E94"/>
  <w15:chartTrackingRefBased/>
  <w15:docId w15:val="{F264CDD1-B37A-4FDD-8B1B-CD3CAA2AC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1C5"/>
    <w:pPr>
      <w:spacing w:line="259" w:lineRule="auto"/>
    </w:pPr>
    <w:rPr>
      <w:sz w:val="22"/>
      <w:szCs w:val="22"/>
    </w:rPr>
  </w:style>
  <w:style w:type="paragraph" w:styleId="Heading1">
    <w:name w:val="heading 1"/>
    <w:basedOn w:val="Normal"/>
    <w:next w:val="Normal"/>
    <w:link w:val="Heading1Char"/>
    <w:uiPriority w:val="9"/>
    <w:qFormat/>
    <w:rsid w:val="00081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1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1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1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1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1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1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1C5"/>
    <w:rPr>
      <w:rFonts w:eastAsiaTheme="majorEastAsia" w:cstheme="majorBidi"/>
      <w:color w:val="272727" w:themeColor="text1" w:themeTint="D8"/>
    </w:rPr>
  </w:style>
  <w:style w:type="paragraph" w:styleId="Title">
    <w:name w:val="Title"/>
    <w:basedOn w:val="Normal"/>
    <w:next w:val="Normal"/>
    <w:link w:val="TitleChar"/>
    <w:uiPriority w:val="10"/>
    <w:qFormat/>
    <w:rsid w:val="00081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1C5"/>
    <w:pPr>
      <w:spacing w:before="160"/>
      <w:jc w:val="center"/>
    </w:pPr>
    <w:rPr>
      <w:i/>
      <w:iCs/>
      <w:color w:val="404040" w:themeColor="text1" w:themeTint="BF"/>
    </w:rPr>
  </w:style>
  <w:style w:type="character" w:customStyle="1" w:styleId="QuoteChar">
    <w:name w:val="Quote Char"/>
    <w:basedOn w:val="DefaultParagraphFont"/>
    <w:link w:val="Quote"/>
    <w:uiPriority w:val="29"/>
    <w:rsid w:val="000811C5"/>
    <w:rPr>
      <w:i/>
      <w:iCs/>
      <w:color w:val="404040" w:themeColor="text1" w:themeTint="BF"/>
    </w:rPr>
  </w:style>
  <w:style w:type="paragraph" w:styleId="ListParagraph">
    <w:name w:val="List Paragraph"/>
    <w:basedOn w:val="Normal"/>
    <w:uiPriority w:val="34"/>
    <w:qFormat/>
    <w:rsid w:val="000811C5"/>
    <w:pPr>
      <w:ind w:left="720"/>
      <w:contextualSpacing/>
    </w:pPr>
  </w:style>
  <w:style w:type="character" w:styleId="IntenseEmphasis">
    <w:name w:val="Intense Emphasis"/>
    <w:basedOn w:val="DefaultParagraphFont"/>
    <w:uiPriority w:val="21"/>
    <w:qFormat/>
    <w:rsid w:val="000811C5"/>
    <w:rPr>
      <w:i/>
      <w:iCs/>
      <w:color w:val="0F4761" w:themeColor="accent1" w:themeShade="BF"/>
    </w:rPr>
  </w:style>
  <w:style w:type="paragraph" w:styleId="IntenseQuote">
    <w:name w:val="Intense Quote"/>
    <w:basedOn w:val="Normal"/>
    <w:next w:val="Normal"/>
    <w:link w:val="IntenseQuoteChar"/>
    <w:uiPriority w:val="30"/>
    <w:qFormat/>
    <w:rsid w:val="00081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1C5"/>
    <w:rPr>
      <w:i/>
      <w:iCs/>
      <w:color w:val="0F4761" w:themeColor="accent1" w:themeShade="BF"/>
    </w:rPr>
  </w:style>
  <w:style w:type="character" w:styleId="IntenseReference">
    <w:name w:val="Intense Reference"/>
    <w:basedOn w:val="DefaultParagraphFont"/>
    <w:uiPriority w:val="32"/>
    <w:qFormat/>
    <w:rsid w:val="000811C5"/>
    <w:rPr>
      <w:b/>
      <w:bCs/>
      <w:smallCaps/>
      <w:color w:val="0F4761" w:themeColor="accent1" w:themeShade="BF"/>
      <w:spacing w:val="5"/>
    </w:rPr>
  </w:style>
  <w:style w:type="table" w:styleId="TableGrid">
    <w:name w:val="Table Grid"/>
    <w:basedOn w:val="TableNormal"/>
    <w:uiPriority w:val="59"/>
    <w:rsid w:val="000811C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0811C5"/>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0811C5"/>
    <w:rPr>
      <w:rFonts w:ascii="Arial" w:eastAsia="Times New Roman" w:hAnsi="Arial" w:cs="Times New Roman"/>
      <w:kern w:val="0"/>
      <w:szCs w:val="20"/>
      <w14:ligatures w14:val="none"/>
    </w:rPr>
  </w:style>
  <w:style w:type="character" w:styleId="Hyperlink">
    <w:name w:val="Hyperlink"/>
    <w:basedOn w:val="DefaultParagraphFont"/>
    <w:uiPriority w:val="99"/>
    <w:unhideWhenUsed/>
    <w:rsid w:val="000811C5"/>
    <w:rPr>
      <w:color w:val="467886" w:themeColor="hyperlink"/>
      <w:u w:val="single"/>
    </w:rPr>
  </w:style>
  <w:style w:type="character" w:customStyle="1" w:styleId="lookup-resultcontent">
    <w:name w:val="lookup-result__content"/>
    <w:rsid w:val="000811C5"/>
  </w:style>
  <w:style w:type="character" w:styleId="UnresolvedMention">
    <w:name w:val="Unresolved Mention"/>
    <w:basedOn w:val="DefaultParagraphFont"/>
    <w:uiPriority w:val="99"/>
    <w:semiHidden/>
    <w:unhideWhenUsed/>
    <w:rsid w:val="00081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5-01/Improving-public-confidence-in-the-police-guide.pdf" TargetMode="External"/><Relationship Id="rId13" Type="http://schemas.openxmlformats.org/officeDocument/2006/relationships/hyperlink" Target="https://www.gov.uk/government/publications/prevent-duty-guidance/prevent-duty-guidance-for-england-and-wales-accessible" TargetMode="External"/><Relationship Id="rId18" Type="http://schemas.openxmlformats.org/officeDocument/2006/relationships/hyperlink" Target="https://committees.parliament.uk/publications/52458/documents/291283/default/" TargetMode="External"/><Relationship Id="rId3" Type="http://schemas.openxmlformats.org/officeDocument/2006/relationships/settings" Target="settings.xml"/><Relationship Id="rId21" Type="http://schemas.openxmlformats.org/officeDocument/2006/relationships/hyperlink" Target="https://post.parliament.uk/public-trust-and-confidence-in-the-police/" TargetMode="External"/><Relationship Id="rId7" Type="http://schemas.openxmlformats.org/officeDocument/2006/relationships/hyperlink" Target="https://www.ntu.ac.uk/media/documents/nce/Prevent-duty%2C-safeguarding-and-agency-NTU-report.pdf" TargetMode="External"/><Relationship Id="rId12" Type="http://schemas.openxmlformats.org/officeDocument/2006/relationships/hyperlink" Target="https://www.gov.uk/government/publications/independent-review-of-prevents-report-and-government-response/independent-review-of-prevent-accessible" TargetMode="External"/><Relationship Id="rId17" Type="http://schemas.openxmlformats.org/officeDocument/2006/relationships/hyperlink" Target="https://pmc.ncbi.nlm.nih.gov/articles/PMC4112969/" TargetMode="External"/><Relationship Id="rId2" Type="http://schemas.openxmlformats.org/officeDocument/2006/relationships/styles" Target="styles.xml"/><Relationship Id="rId16" Type="http://schemas.openxmlformats.org/officeDocument/2006/relationships/hyperlink" Target="https://counterextremism.org.uk/wp-content/uploads/2022/10/UK_Prevent_Strategy_11-21_WEB.pdf" TargetMode="External"/><Relationship Id="rId20" Type="http://schemas.openxmlformats.org/officeDocument/2006/relationships/hyperlink" Target="https://committees.parliament.uk/publications/6878/documents/72529/default/" TargetMode="External"/><Relationship Id="rId1" Type="http://schemas.openxmlformats.org/officeDocument/2006/relationships/numbering" Target="numbering.xml"/><Relationship Id="rId6" Type="http://schemas.openxmlformats.org/officeDocument/2006/relationships/hyperlink" Target="https://media.amnesty.org.uk/documents/AIUK20Briefing20-20The20Prevent20Duty20and20its20Chilling20Effect20on20Hu_G45NByz.pdf" TargetMode="External"/><Relationship Id="rId11" Type="http://schemas.openxmlformats.org/officeDocument/2006/relationships/hyperlink" Target="https://hmicfrs.justiceinspectorates.gov.uk/publication-html/state-of-policing-the-annual-assessment-of-policing-in-england-and-wales-2023/"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assets.publishing.service.gov.uk/media/5f9946938fa8f5790cd3a24e/Annex_B_-_Prevent_Survey_findings_report__1_.pdf" TargetMode="External"/><Relationship Id="rId23" Type="http://schemas.openxmlformats.org/officeDocument/2006/relationships/fontTable" Target="fontTable.xml"/><Relationship Id="rId10" Type="http://schemas.openxmlformats.org/officeDocument/2006/relationships/hyperlink" Target="https://www.equalityhumanrights.com/response-hmicfrs-proposed-policing-inspection-framework-and-programme-2025-2029" TargetMode="External"/><Relationship Id="rId19" Type="http://schemas.openxmlformats.org/officeDocument/2006/relationships/hyperlink" Target="https://publications.parliament.uk/pa/jt201617/jtselect/jtrights/105/105.pdf" TargetMode="External"/><Relationship Id="rId4" Type="http://schemas.openxmlformats.org/officeDocument/2006/relationships/webSettings" Target="webSettings.xml"/><Relationship Id="rId9" Type="http://schemas.openxmlformats.org/officeDocument/2006/relationships/hyperlink" Target="https://www.college.police.uk/app/professional-standards" TargetMode="External"/><Relationship Id="rId14" Type="http://schemas.openxmlformats.org/officeDocument/2006/relationships/hyperlink" Target="https://www.gov.uk/government/publications/public-perceptions-of-policing-a-review-of-research-and-literature/public-perceptions-of-policing-a-review-of-research-and-literature" TargetMode="External"/><Relationship Id="rId22" Type="http://schemas.openxmlformats.org/officeDocument/2006/relationships/hyperlink" Target="https://static.rusi.org/terrorism_and_the_mass_media_final_web_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2820</Words>
  <Characters>16080</Characters>
  <Application>Microsoft Office Word</Application>
  <DocSecurity>0</DocSecurity>
  <Lines>134</Lines>
  <Paragraphs>37</Paragraphs>
  <ScaleCrop>false</ScaleCrop>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Hughes</dc:creator>
  <cp:keywords/>
  <dc:description/>
  <cp:lastModifiedBy>Charlie Hughes</cp:lastModifiedBy>
  <cp:revision>1</cp:revision>
  <dcterms:created xsi:type="dcterms:W3CDTF">2026-09-30T17:14:00Z</dcterms:created>
  <dcterms:modified xsi:type="dcterms:W3CDTF">2026-09-30T17:20:00Z</dcterms:modified>
</cp:coreProperties>
</file>