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A5755" w14:textId="77777777" w:rsidR="006010A0" w:rsidRPr="006010A0" w:rsidRDefault="006010A0" w:rsidP="006010A0">
      <w:pPr>
        <w:rPr>
          <w:b/>
          <w:bCs/>
          <w:u w:val="single"/>
        </w:rPr>
      </w:pPr>
      <w:r w:rsidRPr="006010A0">
        <w:rPr>
          <w:b/>
          <w:bCs/>
          <w:u w:val="single"/>
        </w:rPr>
        <w:t>Email 1.</w:t>
      </w:r>
    </w:p>
    <w:p w14:paraId="3DA5426D" w14:textId="77777777" w:rsidR="006010A0" w:rsidRDefault="006010A0" w:rsidP="006010A0">
      <w:r>
        <w:t xml:space="preserve">I understand </w:t>
      </w:r>
      <w:r w:rsidRPr="006B28C8">
        <w:rPr>
          <w:color w:val="000000" w:themeColor="text1"/>
        </w:rPr>
        <w:t xml:space="preserve">how you feel about the amount of your time you spend on things relating to regulations and </w:t>
      </w:r>
      <w:r>
        <w:t xml:space="preserve">that this can sometimes feel like </w:t>
      </w:r>
      <w:r w:rsidRPr="006B28C8">
        <w:rPr>
          <w:color w:val="000000" w:themeColor="text1"/>
        </w:rPr>
        <w:t xml:space="preserve">this time would be better </w:t>
      </w:r>
      <w:r>
        <w:t>invested in more proactive work that improves the employment experience. At the same, it is essential to remember that employment law exists for good reasons and the work we do in this area directly strengthen</w:t>
      </w:r>
      <w:r w:rsidRPr="006B28C8">
        <w:rPr>
          <w:color w:val="000000" w:themeColor="text1"/>
        </w:rPr>
        <w:t>s</w:t>
      </w:r>
      <w:r>
        <w:t xml:space="preserve"> the Trust’s fairness, reptation and stability. </w:t>
      </w:r>
    </w:p>
    <w:p w14:paraId="07F234AE" w14:textId="77777777" w:rsidR="006010A0" w:rsidRDefault="006010A0" w:rsidP="006010A0">
      <w:r>
        <w:t>Employment regulation</w:t>
      </w:r>
      <w:r w:rsidRPr="006B28C8">
        <w:rPr>
          <w:color w:val="000000" w:themeColor="text1"/>
        </w:rPr>
        <w:t>s</w:t>
      </w:r>
      <w:r>
        <w:t xml:space="preserve"> aim is to create a fair working environment and protect the rights of the employees. Without such regulations, employees would be at much higher risk of unfair treatment due to imbalance of power between a large organisation like our NHS trust and an individual member of staff (Bingham, 2016). Legislation such as </w:t>
      </w:r>
      <w:r w:rsidRPr="006B28C8">
        <w:rPr>
          <w:color w:val="000000" w:themeColor="text1"/>
        </w:rPr>
        <w:t>T</w:t>
      </w:r>
      <w:r>
        <w:t>he Employment Rights Act, Working Time Regulations and Equality Act</w:t>
      </w:r>
      <w:r w:rsidRPr="006B28C8">
        <w:rPr>
          <w:color w:val="000000" w:themeColor="text1"/>
        </w:rPr>
        <w:t>,</w:t>
      </w:r>
      <w:r>
        <w:rPr>
          <w:color w:val="FF0000"/>
        </w:rPr>
        <w:t xml:space="preserve"> </w:t>
      </w:r>
      <w:r>
        <w:t xml:space="preserve">create transparency and consistency which can strengthen employees trust in the organisation. In the NHS, this is essential for maintaining staff trust and supporting psychological safety (Kersley et al., 2013). </w:t>
      </w:r>
    </w:p>
    <w:p w14:paraId="71DBABF5" w14:textId="64111D94" w:rsidR="006010A0" w:rsidRDefault="006010A0" w:rsidP="006010A0">
      <w:r>
        <w:t xml:space="preserve">Employment regulations also act as a protective barrier, helping to stop exploitation or </w:t>
      </w:r>
      <w:r w:rsidR="001E3355">
        <w:t>poor working conditions</w:t>
      </w:r>
      <w:r>
        <w:t xml:space="preserve">. </w:t>
      </w:r>
      <w:r w:rsidR="001E3355">
        <w:t xml:space="preserve">By setting clear boundaries that employer must follow they reduce </w:t>
      </w:r>
      <w:r>
        <w:t xml:space="preserve">the likelihood of grievance, disputes and legal action that would require significantly more time and resources at a later stage </w:t>
      </w:r>
      <w:r w:rsidR="0092523B">
        <w:t>(Daniels, 2021)</w:t>
      </w:r>
      <w:r>
        <w:t xml:space="preserve">. </w:t>
      </w:r>
    </w:p>
    <w:p w14:paraId="1360D16A" w14:textId="17DA4812" w:rsidR="006010A0" w:rsidRDefault="006010A0" w:rsidP="006010A0">
      <w:r>
        <w:t xml:space="preserve">Employment legislation </w:t>
      </w:r>
      <w:r w:rsidRPr="006B28C8">
        <w:rPr>
          <w:color w:val="000000" w:themeColor="text1"/>
        </w:rPr>
        <w:t xml:space="preserve">also </w:t>
      </w:r>
      <w:r>
        <w:t>helps to protect minority and disadvantage groups, supporting equality, diversity and inclusion. Legislation like the Equality Act provide essential safeguards against discrimination and promote greater equality</w:t>
      </w:r>
      <w:r w:rsidR="0092523B">
        <w:t xml:space="preserve"> (Hepple, 2014). This</w:t>
      </w:r>
      <w:r>
        <w:t xml:space="preserve"> sits firmly within NHS values and strengthens our commitment to develop a diverse and inclusive workforce.</w:t>
      </w:r>
    </w:p>
    <w:p w14:paraId="044E8948" w14:textId="77777777" w:rsidR="006010A0" w:rsidRDefault="006010A0" w:rsidP="006010A0">
      <w:r>
        <w:t>Additionally, employment law strengthens the position of trade unions, allowing them to represent employees effectively and act as trusted partners throughout consultation and negotiation.  In the NHS, this level of stability is essential. It helps a stable employee relations environment and enables early intervention before issues escalate. Although regulations can sometimes increase administrative work and operational spending, the overall benefits such us fairness, reduced risk, safety and improve</w:t>
      </w:r>
      <w:r w:rsidRPr="006B28C8">
        <w:rPr>
          <w:color w:val="000000" w:themeColor="text1"/>
        </w:rPr>
        <w:t>d</w:t>
      </w:r>
      <w:r>
        <w:t xml:space="preserve"> morale and retention are far more beneficial in a healthcare setting (Blyton and Turnbull,2004).</w:t>
      </w:r>
    </w:p>
    <w:p w14:paraId="2170CA52" w14:textId="292EB0D1" w:rsidR="001E3355" w:rsidRDefault="001E3355" w:rsidP="006010A0">
      <w:r>
        <w:t xml:space="preserve">Research suggests that regulation </w:t>
      </w:r>
      <w:r w:rsidR="005A2031">
        <w:t xml:space="preserve">delivers the best benefit for lower-paid, less secured workers, where statutory protections significantly </w:t>
      </w:r>
      <w:r w:rsidR="00781DF5">
        <w:t>reduce</w:t>
      </w:r>
      <w:r w:rsidR="005A2031">
        <w:t xml:space="preserve"> risk.</w:t>
      </w:r>
      <w:r w:rsidR="00781DF5">
        <w:t xml:space="preserve"> However, the impact of regulation can be uneven and carers and disabled employees can still face barriers the legal protections in place</w:t>
      </w:r>
      <w:r w:rsidR="0092523B">
        <w:t xml:space="preserve"> (Ruberry and Grimsh</w:t>
      </w:r>
      <w:r w:rsidR="009A5E87">
        <w:t xml:space="preserve">aw, 2011). </w:t>
      </w:r>
      <w:r w:rsidR="009D4BC6">
        <w:t xml:space="preserve">This is why applying law fairly, consistently and with empathy remains such an important part of our role. </w:t>
      </w:r>
    </w:p>
    <w:p w14:paraId="53F5445B" w14:textId="77777777" w:rsidR="006010A0" w:rsidRDefault="3A9816DF" w:rsidP="006010A0">
      <w:r>
        <w:lastRenderedPageBreak/>
        <w:t>For these reasons, the time spent on regulatory work is not a destruction from improving the employee experience- it is one of the core elements that supports it.</w:t>
      </w:r>
    </w:p>
    <w:p w14:paraId="6516CDA8" w14:textId="77777777" w:rsidR="006010A0" w:rsidRPr="006010A0" w:rsidRDefault="006010A0" w:rsidP="006010A0">
      <w:pPr>
        <w:rPr>
          <w:b/>
          <w:bCs/>
          <w:u w:val="single"/>
        </w:rPr>
      </w:pPr>
      <w:r w:rsidRPr="006010A0">
        <w:rPr>
          <w:b/>
          <w:bCs/>
          <w:u w:val="single"/>
        </w:rPr>
        <w:t>Email 2.</w:t>
      </w:r>
    </w:p>
    <w:p w14:paraId="36DC9CDE" w14:textId="77777777" w:rsidR="006010A0" w:rsidRDefault="006010A0" w:rsidP="006010A0">
      <w:r>
        <w:t xml:space="preserve">This briefing presents the position clearly and supporting it with relevant examples from employment law and the work of employment tribunals. </w:t>
      </w:r>
    </w:p>
    <w:p w14:paraId="487ACDA2" w14:textId="77777777" w:rsidR="006010A0" w:rsidRDefault="3A9816DF" w:rsidP="006010A0">
      <w:r>
        <w:t>Originally created in 1964 to deal with disputes about industrial training levies, employment tribunals have grown into the primary forum for upholding key statutory rights such as redundancy payments, unfair dismissal and the discrimination safeguards now brought together under the Equality Act 2010. During the UK’s EU membership (1973-2020), employment tribunal jurisdiction was significantly informed by EU directives with ECJ holding the final say on interpretation where EU law applied (Barnard, 2020).</w:t>
      </w:r>
    </w:p>
    <w:p w14:paraId="2A2FA9A7" w14:textId="77777777" w:rsidR="006010A0" w:rsidRDefault="006010A0" w:rsidP="006010A0">
      <w:r>
        <w:t>Before the UK left the EU, UK courts were required to follow ECJ decisions because EU law was directly effective. However, under the EU (Withdrawal) Act 2018, EU law was converted into “retained EU law” along with the ECJ case law to provide stability and continuity (Craig, 2020).</w:t>
      </w:r>
    </w:p>
    <w:p w14:paraId="645AF24B" w14:textId="064BA306" w:rsidR="0035443C" w:rsidRDefault="006010A0" w:rsidP="00117584">
      <w:r>
        <w:t xml:space="preserve">Through the Retained EU Law (Revocation and Reform) Act 2023 the former body of retained EU law was replaced with assimilated </w:t>
      </w:r>
      <w:proofErr w:type="gramStart"/>
      <w:r>
        <w:t>law</w:t>
      </w:r>
      <w:proofErr w:type="gramEnd"/>
      <w:r>
        <w:t xml:space="preserve"> and the supremacy of EU law was removed, ensuring UK law is the primary source of authority in almost all cases. As of 1 January 2024, the UK courts were given authority to move away from ECJ case law on matter of principle, alongside new procedures allowing employment tribunals to seek guidance from the Court of Appeal or the UK Supreme Court. Although UK courts can now confirm, revise or reject earlier ECJ ruling, they are still required to take it into consideration where relevant to support consistent approach in legal interpretation, as highlighted in guidance issued after Brexit (Craig and de Burca, 2020).</w:t>
      </w:r>
    </w:p>
    <w:p w14:paraId="577B663D" w14:textId="71194013" w:rsidR="00117584" w:rsidRDefault="00117584" w:rsidP="00117584">
      <w:r>
        <w:t>This naturally leads to the question of how earlier ECJ decisions still stand as a good law, whether they still binding UK court or whether they can now set aside. The</w:t>
      </w:r>
      <w:r w:rsidR="00130A69">
        <w:t xml:space="preserve"> position is more complex: pre-Brexit ECJ ruling still guide UK </w:t>
      </w:r>
      <w:proofErr w:type="gramStart"/>
      <w:r w:rsidR="00130A69">
        <w:t>courts</w:t>
      </w:r>
      <w:proofErr w:type="gramEnd"/>
      <w:r w:rsidR="00130A69">
        <w:t xml:space="preserve"> but they no longer carry binding authority</w:t>
      </w:r>
      <w:r w:rsidR="009A5E87">
        <w:t xml:space="preserve"> (Elliott and Thomas, 2024).</w:t>
      </w:r>
      <w:r w:rsidR="00130A69">
        <w:t xml:space="preserve"> They cannot just be ignored but tribunals and courts can </w:t>
      </w:r>
      <w:r w:rsidR="00577A8B">
        <w:t xml:space="preserve">move away from them if there is a solid reason. Only the higher court have the power to formally change or depart from ECJ principals. </w:t>
      </w:r>
      <w:r>
        <w:t xml:space="preserve"> </w:t>
      </w:r>
    </w:p>
    <w:p w14:paraId="7A51008E" w14:textId="42048FF9" w:rsidR="006010A0" w:rsidRDefault="006010A0" w:rsidP="006010A0">
      <w:r>
        <w:t>The approach applied in Chief Constable of the PSNI v Agnew (2023)</w:t>
      </w:r>
      <w:r w:rsidR="00577A8B">
        <w:t>. The Supreme Court reviewed the ECJ’s holiday pay principals but declined to follow it strictly</w:t>
      </w:r>
      <w:r w:rsidR="00F60FAC">
        <w:t>, instead adapting the approach to reflect the requirements of UK legislation.</w:t>
      </w:r>
      <w:r>
        <w:t xml:space="preserve"> </w:t>
      </w:r>
      <w:r w:rsidR="00F60FAC">
        <w:t xml:space="preserve">This shows that ECJ authority still matter but UK courts now apply their own independent judgment and decide for themselves whether to follow, adjust or move away from them </w:t>
      </w:r>
      <w:r>
        <w:t>(</w:t>
      </w:r>
      <w:r w:rsidR="009A5E87">
        <w:t>Daniels</w:t>
      </w:r>
      <w:r>
        <w:t>, 202</w:t>
      </w:r>
      <w:r w:rsidR="009A5E87">
        <w:t>1</w:t>
      </w:r>
      <w:r>
        <w:t xml:space="preserve">). </w:t>
      </w:r>
    </w:p>
    <w:p w14:paraId="104595AB" w14:textId="77777777" w:rsidR="00577A8B" w:rsidRDefault="00577A8B" w:rsidP="006010A0"/>
    <w:p w14:paraId="3DABF338" w14:textId="77777777" w:rsidR="00117584" w:rsidRDefault="00117584" w:rsidP="006010A0"/>
    <w:p w14:paraId="62A9315E" w14:textId="77777777" w:rsidR="006010A0" w:rsidRPr="006010A0" w:rsidRDefault="006010A0" w:rsidP="006010A0">
      <w:pPr>
        <w:rPr>
          <w:b/>
          <w:bCs/>
          <w:u w:val="single"/>
        </w:rPr>
      </w:pPr>
      <w:r w:rsidRPr="006010A0">
        <w:rPr>
          <w:b/>
          <w:bCs/>
          <w:u w:val="single"/>
        </w:rPr>
        <w:t>Email 3.</w:t>
      </w:r>
    </w:p>
    <w:p w14:paraId="0EF040CD" w14:textId="77777777" w:rsidR="00406167" w:rsidRDefault="00406167" w:rsidP="00406167">
      <w:r>
        <w:t xml:space="preserve">You asked for clarification on when a role can lawfully be restricted to either man or women. The Equality Act 2010 provides a framework for these decisions, so I have highlighted the essential points below to support your decision-making (Fredman, 2011). </w:t>
      </w:r>
    </w:p>
    <w:p w14:paraId="31F2B970" w14:textId="1446089C" w:rsidR="00406167" w:rsidRDefault="00406167" w:rsidP="00406167">
      <w:r>
        <w:t>Under the Equality Act 2010, recruitment and selection processes must be</w:t>
      </w:r>
      <w:r w:rsidRPr="00E73C00">
        <w:t xml:space="preserve"> </w:t>
      </w:r>
      <w:r>
        <w:t>fair, open and free from discrimination. The Act provides protection from being treated unfavourably because of the nine protected characteristics, including sex</w:t>
      </w:r>
      <w:r w:rsidR="00A64E39">
        <w:t xml:space="preserve"> (CIPD,2023).</w:t>
      </w:r>
      <w:r>
        <w:t xml:space="preserve"> Generally, we cannot say that the job must be done by a man or a woman, as it would be direct sex discrimination unless clear occupational requirement applies.</w:t>
      </w:r>
    </w:p>
    <w:p w14:paraId="47C0C3AC" w14:textId="77777777" w:rsidR="00406167" w:rsidRDefault="00406167" w:rsidP="00406167">
      <w:r>
        <w:t xml:space="preserve">This exception is known as a Genuine Occupational Requirement (GOR) and is set out in Schedule 9 of the Equality Act 2010. A GOR only applies when a particular sex is necessary for the role. The employer must show that the requirement is reasonable, necessary and that no less discriminatory option is available. This mean our recruitment decisions need to be focus on applicants’ skills and experience, not gender (Bamforth, Malik and </w:t>
      </w:r>
      <w:proofErr w:type="spellStart"/>
      <w:r>
        <w:t>O’Cinneide</w:t>
      </w:r>
      <w:proofErr w:type="spellEnd"/>
      <w:r>
        <w:t xml:space="preserve">, 2017). </w:t>
      </w:r>
    </w:p>
    <w:p w14:paraId="491F69FC" w14:textId="77777777" w:rsidR="00406167" w:rsidRDefault="00406167" w:rsidP="00406167">
      <w:r>
        <w:t xml:space="preserve">There are only </w:t>
      </w:r>
      <w:r w:rsidRPr="00E73C00">
        <w:t>a</w:t>
      </w:r>
      <w:r>
        <w:t xml:space="preserve"> few limited circumstances where a GOR </w:t>
      </w:r>
      <w:r w:rsidRPr="00E73C00">
        <w:t xml:space="preserve">requirements </w:t>
      </w:r>
      <w:r>
        <w:t xml:space="preserve">can be legally justified.  It only applies when we can clearly show that the role truly depends on post – holder being of a particular sex, that this approach is proportionate and supported by clear evidence. This can include same -sex search duties, intimate personal care, positions in women-only or safeguarding-sensitive environment where </w:t>
      </w:r>
      <w:r w:rsidRPr="00E73C00">
        <w:t xml:space="preserve">a </w:t>
      </w:r>
      <w:r>
        <w:t>female employee is required. This might also apply to acting or modelling (McColgan, 2014).</w:t>
      </w:r>
    </w:p>
    <w:p w14:paraId="5531D3D8" w14:textId="77777777" w:rsidR="00406167" w:rsidRDefault="00406167" w:rsidP="00406167">
      <w:r>
        <w:t xml:space="preserve"> However, many situations would not satisfy the legal criteria. Things like customer performance, team balance or relying on gender stereotypes or assumption about role models cannot be used as a valid reason. We also cannot rely on general culture or social expectations unless they have a clear, job-related reason that can be evidenced (Smith and Baker, 2023).</w:t>
      </w:r>
    </w:p>
    <w:p w14:paraId="7398E380" w14:textId="77777777" w:rsidR="00406167" w:rsidRDefault="00406167" w:rsidP="00406167">
      <w:r>
        <w:t xml:space="preserve">Case law underlines that these exceptions should only be used in limited situations. In Etam plc v Rowan (1989), it was decided that such requirements must be essential rather than based on convenience. Additionally, Croft v Royal Mail Group pls (2003) highlighted the importance of balancing dignity and discrimination rights, ensuring any restrictions required to be proportionate and justified.  </w:t>
      </w:r>
    </w:p>
    <w:p w14:paraId="4B5CA421" w14:textId="77777777" w:rsidR="00406167" w:rsidRDefault="00406167" w:rsidP="00406167">
      <w:r>
        <w:t xml:space="preserve">In conclusion, limiting a role to a specific sex is lawful only where a Genuine Occupational Requirements under Schedule 9 is clearly proven. The requirement must </w:t>
      </w:r>
      <w:r>
        <w:lastRenderedPageBreak/>
        <w:t>be essential, fair and supported by evidence and with no other reasonable option available.</w:t>
      </w:r>
    </w:p>
    <w:p w14:paraId="5867C6B7" w14:textId="77777777" w:rsidR="006010A0" w:rsidRPr="006010A0" w:rsidRDefault="006010A0" w:rsidP="006010A0">
      <w:pPr>
        <w:rPr>
          <w:b/>
          <w:bCs/>
          <w:u w:val="single"/>
        </w:rPr>
      </w:pPr>
      <w:r w:rsidRPr="006010A0">
        <w:rPr>
          <w:b/>
          <w:bCs/>
          <w:u w:val="single"/>
        </w:rPr>
        <w:t>Email 4.</w:t>
      </w:r>
    </w:p>
    <w:p w14:paraId="18B87F57" w14:textId="77777777" w:rsidR="00406167" w:rsidRDefault="00406167" w:rsidP="00406167">
      <w:r>
        <w:t xml:space="preserve">I understand why you would want to recognise their </w:t>
      </w:r>
      <w:proofErr w:type="gramStart"/>
      <w:r>
        <w:t>contribution</w:t>
      </w:r>
      <w:proofErr w:type="gramEnd"/>
      <w:r>
        <w:t xml:space="preserve"> but this proposal raises key equal pay risks that we will need to look at before </w:t>
      </w:r>
      <w:proofErr w:type="gramStart"/>
      <w:r>
        <w:t>making a decision</w:t>
      </w:r>
      <w:proofErr w:type="gramEnd"/>
      <w:r>
        <w:t xml:space="preserve">. </w:t>
      </w:r>
    </w:p>
    <w:p w14:paraId="78F9E9E5" w14:textId="77777777" w:rsidR="00406167" w:rsidRDefault="00406167" w:rsidP="00406167">
      <w:r>
        <w:t xml:space="preserve">The Equality Act 2010 ensures that women and men have the same legal right to receive the same pay for equal work. This is a firm legal </w:t>
      </w:r>
      <w:proofErr w:type="gramStart"/>
      <w:r>
        <w:t>requirement</w:t>
      </w:r>
      <w:proofErr w:type="gramEnd"/>
      <w:r>
        <w:t xml:space="preserve"> and it applies no matter of the employer’s motivation or budged availability. Equal pay rules operate within three key areas. It applies when where roles are similar, work that’s been equivalent through a scheme like Agenda for Change or when different roles still involving similar levels of skills, responsibility, effort and decision-making (Collins, Ewing and McColgan, 2019). To make an equal pay claim, the claimant must identify someone of the opposite sex, working for the same employer, who is on higher pay or better conditions. You can compare with current colleague or someone who did it before but not with someone who has not started yet. Importantly, equal pay claims apply to specific contractual terms such as pay band, rather than overall employment benefits (Pitt, 2021).  </w:t>
      </w:r>
    </w:p>
    <w:p w14:paraId="268EE65C" w14:textId="77777777" w:rsidR="00406167" w:rsidRDefault="00406167" w:rsidP="00406167">
      <w:r>
        <w:t xml:space="preserve">In our Trust, </w:t>
      </w:r>
      <w:proofErr w:type="gramStart"/>
      <w:r>
        <w:t>the majority of</w:t>
      </w:r>
      <w:proofErr w:type="gramEnd"/>
      <w:r>
        <w:t xml:space="preserve"> HCAs are appointed at band A under Agenda for Change and around 80% of the people in these roles are women. If two male HCAs were moved to band B without review would allow female HCAs doing similar work to use them as comparators. This could result in claims of unequal pay for carrying out similar duties for lower pay, exposing the Trust to a vulnerable legal position (Cabrelli, 2020). </w:t>
      </w:r>
    </w:p>
    <w:p w14:paraId="53282E1D" w14:textId="7B3E7B0D" w:rsidR="00406167" w:rsidRDefault="00406167" w:rsidP="00406167">
      <w:r>
        <w:t xml:space="preserve">In Enderby v </w:t>
      </w:r>
      <w:proofErr w:type="spellStart"/>
      <w:r>
        <w:t>Frenchay</w:t>
      </w:r>
      <w:proofErr w:type="spellEnd"/>
      <w:r>
        <w:t xml:space="preserve"> Health Authority (1993), the court confirmed that employer must provide objective reasons for paying differently in jobs of equal value. Similarly, Hayward v </w:t>
      </w:r>
      <w:proofErr w:type="spellStart"/>
      <w:r>
        <w:t>Cammell</w:t>
      </w:r>
      <w:proofErr w:type="spellEnd"/>
      <w:r>
        <w:t xml:space="preserve"> Laird (1988) confirmed that when the pay gap is found, the responsibility shifts to employer to justify it</w:t>
      </w:r>
      <w:r w:rsidR="00A64E39">
        <w:t xml:space="preserve"> (Smith and Baker,2023)</w:t>
      </w:r>
      <w:r>
        <w:t>.</w:t>
      </w:r>
    </w:p>
    <w:p w14:paraId="477DEE71" w14:textId="77777777" w:rsidR="00406167" w:rsidRDefault="00406167" w:rsidP="00406167">
      <w:r>
        <w:t xml:space="preserve">A pay difference can only be justified if the Trust can show that one of the accepted legal defences applies. This require proving the roles differences, that the work is not of equal value or that the pay gap is due to real factor not linked to sex. Even if funding is available or a wish to reward performance, </w:t>
      </w:r>
      <w:r w:rsidRPr="0077402F">
        <w:rPr>
          <w:color w:val="000000" w:themeColor="text1"/>
        </w:rPr>
        <w:t xml:space="preserve">this </w:t>
      </w:r>
      <w:r>
        <w:t xml:space="preserve">would not, on its own, justify the pay difference (Deakin and Morris, 2021). </w:t>
      </w:r>
    </w:p>
    <w:p w14:paraId="45315212" w14:textId="77777777" w:rsidR="00406167" w:rsidRDefault="00406167" w:rsidP="00406167">
      <w:r>
        <w:t xml:space="preserve">This means that if the banding were to increase, it would need to be supported by a formal review of the role using the Agenda of Change process. I am happy to look at other options such as acting up, temporary duties or non- consolidate payments, which could recognise their contribution without raising equal pay concerns. </w:t>
      </w:r>
    </w:p>
    <w:p w14:paraId="0FA1F9E4" w14:textId="77777777" w:rsidR="00E26C58" w:rsidRPr="00C91322" w:rsidRDefault="00E26C58" w:rsidP="00E26C58">
      <w:pPr>
        <w:rPr>
          <w:b/>
          <w:bCs/>
          <w:u w:val="single"/>
        </w:rPr>
      </w:pPr>
      <w:r w:rsidRPr="00C91322">
        <w:rPr>
          <w:b/>
          <w:bCs/>
          <w:u w:val="single"/>
        </w:rPr>
        <w:t>Email 5.</w:t>
      </w:r>
    </w:p>
    <w:p w14:paraId="53FC4BA9" w14:textId="287D3ADB" w:rsidR="00E26C58" w:rsidRDefault="00E26C58" w:rsidP="00E26C58">
      <w:r>
        <w:t xml:space="preserve">The examples below highlight when a change to working hours might form </w:t>
      </w:r>
      <w:r w:rsidR="00406167">
        <w:t xml:space="preserve">the </w:t>
      </w:r>
      <w:r>
        <w:t>basis of a valid claim, depending on the specific circumstances.</w:t>
      </w:r>
    </w:p>
    <w:p w14:paraId="10EF7634" w14:textId="4D1EEF48" w:rsidR="00E26C58" w:rsidRDefault="6E2434E8" w:rsidP="00E26C58">
      <w:r>
        <w:lastRenderedPageBreak/>
        <w:t xml:space="preserve">Under section 95(1)(c) of the Employment Rights Act 1996, constructive dismissal takes place when an employee resigns because the employer has committed a fundamental </w:t>
      </w:r>
      <w:r w:rsidR="00F557FF">
        <w:t xml:space="preserve">(repudiatory) </w:t>
      </w:r>
      <w:r>
        <w:t>breach of contract. A</w:t>
      </w:r>
      <w:r w:rsidR="00F557FF">
        <w:t xml:space="preserve"> repudiatory breach is a major breach of contract such as a significant change to working hours without authority or agreement</w:t>
      </w:r>
      <w:r>
        <w:t xml:space="preserve"> (Barnett,2020). </w:t>
      </w:r>
    </w:p>
    <w:p w14:paraId="4D965A45" w14:textId="6F2EE36E" w:rsidR="00E26C58" w:rsidRDefault="00E26C58" w:rsidP="00E26C58">
      <w:r>
        <w:t>A similarly high-risk example would be a significant increase in contractual hours without additional pay or the withdrawal of a long- standing working patterns such as compressed hours or fixed working days that the employee has come to depend on.</w:t>
      </w:r>
      <w:r w:rsidR="00CA2F71">
        <w:t xml:space="preserve"> If brought in without consultation or agreement a tribunal could treat this as a repudiatory breach.</w:t>
      </w:r>
      <w:r>
        <w:t xml:space="preserve"> A reduction in guaranteed hours or unpredicted scheduling that materially affects an employee’s income and work-life balance, this could be viewed as a breach of the implied term of mutual trust and confidence (</w:t>
      </w:r>
      <w:r w:rsidR="00A56372">
        <w:t>Dentons, 2025</w:t>
      </w:r>
      <w:proofErr w:type="gramStart"/>
      <w:r w:rsidR="00A56372">
        <w:t xml:space="preserve">) </w:t>
      </w:r>
      <w:r>
        <w:t>.</w:t>
      </w:r>
      <w:proofErr w:type="gramEnd"/>
      <w:r>
        <w:t xml:space="preserve"> </w:t>
      </w:r>
    </w:p>
    <w:p w14:paraId="1C11D772" w14:textId="77777777" w:rsidR="00E26C58" w:rsidRDefault="00E26C58" w:rsidP="00E26C58">
      <w:r>
        <w:t xml:space="preserve">On the other hand, there are circumstances where the facts are less likely to support a constructive dismissal claim. For example, if the contract provides a properly drafted flexibility clause, allowing the Trust to adjust working hours to meet service demands in a fair and reasonable way. In the same way, where the Trust introduce small or temporary changes to address immediate operational needs and these are implemented with consultations and reasonable notice, this would not be viewed as a fundamental breach (IDS, 2024). </w:t>
      </w:r>
    </w:p>
    <w:p w14:paraId="7382E3BD" w14:textId="77777777" w:rsidR="00E26C58" w:rsidRDefault="00E26C58" w:rsidP="00E26C58">
      <w:r>
        <w:t xml:space="preserve">Employee conduct is another important factor to assess. If the employee continues to work under the new arrangements for a period without raising a formal complaint, a tribunal could view this as implied acceptance of the challenge. If the employee resigned because they secured another position or for personal reasons, the constructive dismissal claim is unlikely to succeed (McMullen and Bowers, 2023).  </w:t>
      </w:r>
    </w:p>
    <w:p w14:paraId="533572ED" w14:textId="395581A5" w:rsidR="00CA2F71" w:rsidRDefault="005F227A" w:rsidP="00E26C58">
      <w:r>
        <w:t xml:space="preserve">Since the employee now resigned, the central question is whether the resignation was triggered by a repudiatory breach. If so, the employee could pursue a </w:t>
      </w:r>
      <w:r w:rsidR="001C7D98">
        <w:t>constructive</w:t>
      </w:r>
      <w:r>
        <w:t xml:space="preserve"> dismissal claim</w:t>
      </w:r>
      <w:r w:rsidR="001C7D98">
        <w:t xml:space="preserve">, </w:t>
      </w:r>
      <w:proofErr w:type="gramStart"/>
      <w:r w:rsidR="001C7D98">
        <w:t>as long as</w:t>
      </w:r>
      <w:proofErr w:type="gramEnd"/>
      <w:r w:rsidR="001C7D98">
        <w:t xml:space="preserve"> it is filed within the time limits of three months less one day, subject to ACAS Early Conciliation.</w:t>
      </w:r>
    </w:p>
    <w:p w14:paraId="6B1D0734" w14:textId="7E88D9A7" w:rsidR="001C7D98" w:rsidRDefault="001C7D98" w:rsidP="00E26C58">
      <w:r>
        <w:t xml:space="preserve">I would recommend </w:t>
      </w:r>
      <w:r w:rsidR="00426567">
        <w:t>checking</w:t>
      </w:r>
      <w:r>
        <w:t xml:space="preserve"> the contract, the scale of the change and whether proper consultation took place.</w:t>
      </w:r>
      <w:r w:rsidR="00426567">
        <w:t xml:space="preserve"> We should also check correspondence to see if they raised any correspondence. If there is a risk, engaging in early resolution process, such as without-prejudice discussions, could help reduce liability.</w:t>
      </w:r>
    </w:p>
    <w:p w14:paraId="4867FB1C" w14:textId="6F7E1696" w:rsidR="00E26C58" w:rsidRDefault="6E2434E8" w:rsidP="00E26C58">
      <w:r>
        <w:t xml:space="preserve">Please let me know if you would find it helpful to discuss the contractual terms or the consultation steps further. </w:t>
      </w:r>
    </w:p>
    <w:p w14:paraId="5C1B1BE1" w14:textId="77777777" w:rsidR="0029068E" w:rsidRPr="004032D6" w:rsidRDefault="0029068E" w:rsidP="0029068E">
      <w:pPr>
        <w:rPr>
          <w:b/>
          <w:bCs/>
          <w:u w:val="single"/>
        </w:rPr>
      </w:pPr>
      <w:r w:rsidRPr="004032D6">
        <w:rPr>
          <w:b/>
          <w:bCs/>
          <w:u w:val="single"/>
        </w:rPr>
        <w:t>Email 6.</w:t>
      </w:r>
    </w:p>
    <w:p w14:paraId="17096168" w14:textId="6C4C585E" w:rsidR="0029068E" w:rsidRDefault="0029068E" w:rsidP="0029068E">
      <w:r>
        <w:t xml:space="preserve">I understand the wish to progress the reorganisation quickly, however dismissing under-performers with minimal consultation would not meet legal requirements. </w:t>
      </w:r>
      <w:r w:rsidR="0016102E">
        <w:t>R</w:t>
      </w:r>
      <w:r>
        <w:t xml:space="preserve">edundancy </w:t>
      </w:r>
      <w:r>
        <w:lastRenderedPageBreak/>
        <w:t xml:space="preserve">has a specific legal definition and applies where the roles are reduced, not concerns about </w:t>
      </w:r>
      <w:r w:rsidR="0016102E">
        <w:t xml:space="preserve">an </w:t>
      </w:r>
      <w:r>
        <w:t>individual’s capability or performance.</w:t>
      </w:r>
    </w:p>
    <w:p w14:paraId="5DEA7E03" w14:textId="77777777" w:rsidR="0029068E" w:rsidRDefault="0029068E" w:rsidP="0029068E">
      <w:r>
        <w:t xml:space="preserve">Under section 139 of the Employment Rights Act 1996, redundancy arises when the Trust’s need for employees to carry out work of </w:t>
      </w:r>
      <w:proofErr w:type="gramStart"/>
      <w:r>
        <w:t>particular kind</w:t>
      </w:r>
      <w:proofErr w:type="gramEnd"/>
      <w:r>
        <w:t xml:space="preserve"> or in the specific location, has reduced or come to an end. Using performance issues as a redundancy carries a strong risk of unfair dismissal claims (Deakin and Morris, 2023).</w:t>
      </w:r>
    </w:p>
    <w:p w14:paraId="07F131E1" w14:textId="07BF554B" w:rsidR="0029068E" w:rsidRDefault="0029068E" w:rsidP="0029068E">
      <w:r>
        <w:t>With around fifty posts at risk, the Trust must meet the collective consultation requirements under the Trade Union and Labour Relations (Consolidation) Act 1992</w:t>
      </w:r>
      <w:r w:rsidR="0016102E">
        <w:t xml:space="preserve"> (TULRCA)</w:t>
      </w:r>
      <w:r>
        <w:t>. In these circumstances, the Trust must engage in a minimum 30- day collective consultation with trade unions or elected representatives, as well as submission of an HR1 form. If the employer fails to meet its obligations, the tribunal can order a protective award of up to 90 days’ pay for each employee affected (Collins, Ewing and McColgan, 2019).</w:t>
      </w:r>
    </w:p>
    <w:p w14:paraId="4B1330B9" w14:textId="77777777" w:rsidR="0029068E" w:rsidRDefault="0029068E" w:rsidP="0029068E">
      <w:r>
        <w:t>Employers must provide meaningful consultation, they must explain why the changes are being proposed, who is affected, outline the proposed selection process, the planned timetables and how redundancy entitlement have been calculated. Individual consultation is essential, employers are required to consider alternatives to redundancy, including redeployment (Cabrelli, 2022).</w:t>
      </w:r>
    </w:p>
    <w:p w14:paraId="3A40F496" w14:textId="77777777" w:rsidR="0029068E" w:rsidRDefault="0029068E" w:rsidP="0029068E">
      <w:r>
        <w:t>Selection must be fair, evidence-based and not discriminate against any employee. Employees with two or more years’ service are entitled to statutory redundancy pay – 1.5 weeks’ pay for each year of work aged 41to 64, one week’s pay for each year aged 22 to 40 and 0.5 weeks’ pay for each year under 21, subject to statutory cap in addition to their notice period (Lewis and Sargeant, 2023).</w:t>
      </w:r>
    </w:p>
    <w:p w14:paraId="68F3EDFD" w14:textId="77777777" w:rsidR="0029068E" w:rsidRDefault="0029068E" w:rsidP="0029068E">
      <w:r>
        <w:t>Considering complexity and potential risks, I recommend involving HR at the early stage to guide the planning, consultation and selection stages and to ensure the process remain legally compliant and lawful.</w:t>
      </w:r>
    </w:p>
    <w:p w14:paraId="3E1A8DE0" w14:textId="77777777" w:rsidR="006E17B5" w:rsidRPr="00E0460C" w:rsidRDefault="006E17B5" w:rsidP="006E17B5">
      <w:pPr>
        <w:rPr>
          <w:b/>
          <w:bCs/>
          <w:u w:val="single"/>
        </w:rPr>
      </w:pPr>
      <w:r w:rsidRPr="00E0460C">
        <w:rPr>
          <w:b/>
          <w:bCs/>
          <w:u w:val="single"/>
        </w:rPr>
        <w:t>Email 7</w:t>
      </w:r>
    </w:p>
    <w:p w14:paraId="1BC1A5B7" w14:textId="2686028E" w:rsidR="006E17B5" w:rsidRDefault="006E17B5" w:rsidP="006E17B5">
      <w:r>
        <w:t xml:space="preserve">As conversation progress regarding the potential alignment and consolidation of our pharmacy services with neighbouring Trust, we must carefully assess the employment law implications under the Transfer of Undertakings (Protection of Employment) Regulations 2006 (TUPE). The regulations are design to protect </w:t>
      </w:r>
      <w:proofErr w:type="gramStart"/>
      <w:r>
        <w:t>employees</w:t>
      </w:r>
      <w:proofErr w:type="gramEnd"/>
      <w:r>
        <w:t xml:space="preserve"> rights during transfer of service from one employer to another</w:t>
      </w:r>
      <w:r w:rsidR="00096F7F">
        <w:t xml:space="preserve"> (Daniels, 2021)</w:t>
      </w:r>
      <w:r>
        <w:t xml:space="preserve">. </w:t>
      </w:r>
    </w:p>
    <w:p w14:paraId="6EFF2110" w14:textId="052ED469" w:rsidR="006E17B5" w:rsidRDefault="006E17B5" w:rsidP="006E17B5">
      <w:r>
        <w:t xml:space="preserve">TUPE can apply when a relevant transfer occurs, either through the transfer of an organised economic entity or a change in who provides a particular service. In practice TUPE could apply where a clearly identifiable pharmacy function transfer to our Trust and continues to operate in a similar way. For example, if the same team of pharmacies, support staff and technicians moves across to our Trust to continue providing pharmacy </w:t>
      </w:r>
      <w:r>
        <w:lastRenderedPageBreak/>
        <w:t>services, even in a more centralised form, this would strongly suggest TUPE transfer (</w:t>
      </w:r>
      <w:r w:rsidR="00A56372">
        <w:t>CIPD, 2025)</w:t>
      </w:r>
      <w:r>
        <w:t>.</w:t>
      </w:r>
    </w:p>
    <w:p w14:paraId="4CA45CDF" w14:textId="77777777" w:rsidR="006E17B5" w:rsidRDefault="006E17B5" w:rsidP="006E17B5">
      <w:r>
        <w:t>TUPE also covers service provision changes, including situations where activities are outsourced, moved to a new contractor or brought back in-house. However, TUPE regulations do not apply in all cases. TUPE does not apply to a one-off or short-temp arrangements, the simple buying of equipment with no staff moving or a share transfer where the employer stays the same (Pitt, 2022).</w:t>
      </w:r>
    </w:p>
    <w:p w14:paraId="588BACCE" w14:textId="77777777" w:rsidR="006E17B5" w:rsidRDefault="006E17B5" w:rsidP="006E17B5">
      <w:r>
        <w:t xml:space="preserve">If TUPE applies, employees who are assigned to the undertaking of service will automatically transfer to the new employer. When employees transfer, their contracts transfer unchanged, ensuring that pay, working hours, leave and continuity of service are protected. The Trust that takes on the employees becomes responsible for all associated rights, duties and liabilities including any existing claims (Honeyball and Bowers, 2022). </w:t>
      </w:r>
    </w:p>
    <w:p w14:paraId="017133DB" w14:textId="77777777" w:rsidR="006E17B5" w:rsidRDefault="006E17B5" w:rsidP="006E17B5">
      <w:r>
        <w:t>Changes to terms and conditions made purely because of the transfer, in most cases, will be void. Changes are only allowed if there is a genuine Economic, Technical and Organisational (ETO) reason that entails changes in the workforce. For example, a restructure driven by technological change or the removal of duplicate roles after integration may meet the ETO reason if handled correctly (McMullen and Bowers, 2023).</w:t>
      </w:r>
    </w:p>
    <w:p w14:paraId="6EDF03F1" w14:textId="77777777" w:rsidR="006E17B5" w:rsidRDefault="006E17B5" w:rsidP="006E17B5">
      <w:r>
        <w:t>Employees benefit from strong protection against any dismissals connected to the transfer. If the transfer is the main reason for the dismissal, the dismissal will be automatically unfair, even if it takes place shortly before transfer. If the employee resigns in response to a contractual breach or major detrimental change, the law may regard this as a dismissal (Emir, 2026).</w:t>
      </w:r>
    </w:p>
    <w:p w14:paraId="7CA714E8" w14:textId="77777777" w:rsidR="006E17B5" w:rsidRDefault="006E17B5" w:rsidP="006E17B5">
      <w:r>
        <w:t>Finally, TUPE requires employers to inform and consult with affected employees or their representatives. This involves informing employees that the transfer is happening, the reason for it, the expected timing, what it will mean and any proposed measures. If the employer fails to comply a protective award of up to 13 weeks’ pay for each affected employee (IDS, 2025).</w:t>
      </w:r>
    </w:p>
    <w:p w14:paraId="30DA044A" w14:textId="77777777" w:rsidR="006E17B5" w:rsidRDefault="006E17B5" w:rsidP="006E17B5">
      <w:r>
        <w:t xml:space="preserve">Engaging HR, staff representative and trade union is a key to ensuring compliance and maintain staff confidence throughout the process.  </w:t>
      </w:r>
    </w:p>
    <w:p w14:paraId="6D0B74E8" w14:textId="77777777" w:rsidR="00E12C57" w:rsidRPr="00811B18" w:rsidRDefault="00E12C57" w:rsidP="00E12C57">
      <w:pPr>
        <w:rPr>
          <w:b/>
          <w:bCs/>
          <w:u w:val="single"/>
        </w:rPr>
      </w:pPr>
      <w:r w:rsidRPr="00811B18">
        <w:rPr>
          <w:b/>
          <w:bCs/>
          <w:u w:val="single"/>
        </w:rPr>
        <w:t>Email 8.</w:t>
      </w:r>
    </w:p>
    <w:p w14:paraId="6B90D84C" w14:textId="77777777" w:rsidR="00E12C57" w:rsidRDefault="00E12C57" w:rsidP="00E12C57">
      <w:r>
        <w:t>Thank you for your enquiry regarding the holiday pay for the nurse bank staff working in your department. As bank staff typically work on ad-hoc basis, holiday pay must be calculated strictly in line with statutory rules to ensure fairness and legal compliance.</w:t>
      </w:r>
    </w:p>
    <w:p w14:paraId="2EC6CABB" w14:textId="76F4D11A" w:rsidR="00E12C57" w:rsidRDefault="00E12C57" w:rsidP="00E12C57">
      <w:r>
        <w:t xml:space="preserve">The Working Time Regulations 1998 provide both the right to paid annual leave and how holiday pay should be calculated. The fundamental requirement is that the holiday pay </w:t>
      </w:r>
      <w:r>
        <w:lastRenderedPageBreak/>
        <w:t>should match normal earnings so that taking annual leave dose not result in any financial loss (</w:t>
      </w:r>
      <w:r w:rsidR="00A56372">
        <w:t>CIPD, 2026)</w:t>
      </w:r>
      <w:r>
        <w:t>.</w:t>
      </w:r>
    </w:p>
    <w:p w14:paraId="1B5C29CC" w14:textId="77777777" w:rsidR="00E12C57" w:rsidRDefault="00E12C57" w:rsidP="00E12C57">
      <w:r>
        <w:t xml:space="preserve">In most cases, the working week used for holiday pay calculations runs from Sunday to Saturday. The calculations should use the worker’s latest full week of work, ending on or before the first day of leave. If pay is calculated using different seven-day cycle, the employer should apply the same cycle for holiday pay to keep calculation accurate (Freedland et al., 2023). </w:t>
      </w:r>
    </w:p>
    <w:p w14:paraId="39BC43FD" w14:textId="77777777" w:rsidR="00E12C57" w:rsidRDefault="00E12C57" w:rsidP="00E12C57">
      <w:r>
        <w:t xml:space="preserve">If an employee has fixed hours and set weekly wage, their holiday pay is calculated using their regular weekly pay. This applies equally to full-time and part-time employees. However, bank nurses are classed as irregular-hours workers so different rules applies. For such workers, the calculation must use their average earnings from the last 52 paid weeks. Any weeks with no work was carried out must be excluded. If the worker hasn’t worked 52 paid weeks, base the calculation on the eeks they have worked. This ensures that holiday pay accurately reflect the true variation in shift pattern (CIPD, 2022). </w:t>
      </w:r>
    </w:p>
    <w:p w14:paraId="06890254" w14:textId="77777777" w:rsidR="00E12C57" w:rsidRDefault="00E12C57" w:rsidP="00E12C57">
      <w:r>
        <w:t xml:space="preserve">Holiday pay must also include every element of normal earnings. This covers contractual payments like shift enhancements, payments for seniority or qualifications and regularly paid overtime. Failure to include these elements could result in underpayment and breaching legal requirements (Moffatt, 2020). </w:t>
      </w:r>
    </w:p>
    <w:p w14:paraId="512AF395" w14:textId="77777777" w:rsidR="00E12C57" w:rsidRDefault="00E12C57" w:rsidP="00E12C57">
      <w:r>
        <w:t xml:space="preserve">Under the recent amendments to the Regulations, rolled-up holiday pay is now allowed but only for irregular-hours and part-year workers. Under this approach, holiday pay is delivered through a 12.07% uplift to the worker’s earnings to cover their holiday pay. The payment is required to be made at the close of each period and must be distinctly itemised on the payslip. For all other workers group, the practice of rolled-up holiday pay is still unlawful (ACAS, 2026). </w:t>
      </w:r>
    </w:p>
    <w:p w14:paraId="77CF7544" w14:textId="77777777" w:rsidR="00E12C57" w:rsidRDefault="00E12C57" w:rsidP="00E12C57">
      <w:r>
        <w:t>When these principals are followed, holiday pay for bank nurses is legal, clear and fair.</w:t>
      </w:r>
    </w:p>
    <w:p w14:paraId="282AAB94" w14:textId="77777777" w:rsidR="0016102E" w:rsidRPr="00490921" w:rsidRDefault="0016102E" w:rsidP="0016102E">
      <w:pPr>
        <w:rPr>
          <w:b/>
          <w:bCs/>
          <w:u w:val="single"/>
        </w:rPr>
      </w:pPr>
      <w:r w:rsidRPr="00490921">
        <w:rPr>
          <w:b/>
          <w:bCs/>
          <w:u w:val="single"/>
        </w:rPr>
        <w:t>Email 9</w:t>
      </w:r>
    </w:p>
    <w:p w14:paraId="08052722" w14:textId="4DAA64EC" w:rsidR="0016102E" w:rsidRDefault="0016102E" w:rsidP="0016102E">
      <w:r>
        <w:t xml:space="preserve">Thank you for contacting me to discuss the arrangements available in relation to your maternity leave and shared paternal leave. Both routes offer statutory rights and leave after </w:t>
      </w:r>
      <w:proofErr w:type="gramStart"/>
      <w:r>
        <w:t>childbirth</w:t>
      </w:r>
      <w:proofErr w:type="gramEnd"/>
      <w:r>
        <w:t xml:space="preserve"> but they operate different in terms of purpose, structure and pay. Understanding these differences will make it easier for you and your partner to choose the option that suits you best</w:t>
      </w:r>
      <w:r w:rsidR="00096F7F">
        <w:t xml:space="preserve"> (Daniels, 2021)</w:t>
      </w:r>
      <w:r>
        <w:t xml:space="preserve">.   </w:t>
      </w:r>
    </w:p>
    <w:p w14:paraId="48BAF913" w14:textId="68053EF4" w:rsidR="0016102E" w:rsidRDefault="0016102E" w:rsidP="0016102E">
      <w:r>
        <w:t xml:space="preserve">Statutory maternity leave is an entitlement available exclusively to birth mothers. The entitlement covers up to 52 weeks of leave, made up of Ordinary Maternity Leave (OML) and Additional Maternity Leave (AML). During both stages of maternity, your contact continues as normal, ensuring that your continuity of service is not affected. All contractual benefits apart from pay continue, including annual leave accrual and any </w:t>
      </w:r>
      <w:r>
        <w:lastRenderedPageBreak/>
        <w:t>changes to your terms and conditions, including national pay awards or incremental progression. If you come back within the first 26 weeks of leave, or your maternity and shared parental leave does not exceed 26 weeks, you are entitled to return to the same job on equally favourable terms (CIPD, 2026).</w:t>
      </w:r>
    </w:p>
    <w:p w14:paraId="47F230CF" w14:textId="77777777" w:rsidR="0016102E" w:rsidRDefault="0016102E" w:rsidP="0016102E">
      <w:r>
        <w:t xml:space="preserve">Statutory Maternity Pay (SMP) often makes the early part of maternity leave more financially beneficial. If eligible, you can receive up to 39 weeks of SMP, with the first six weeks paid at 90% of your average earnings. The higher early payment can offer better financial stability after birth. If you don’t qualify for SMP, you could still be able to claim Maternity Allowance (GOV.UK, 2026). </w:t>
      </w:r>
    </w:p>
    <w:p w14:paraId="3147460C" w14:textId="4226B67B" w:rsidR="0016102E" w:rsidRDefault="0016102E" w:rsidP="0016102E">
      <w:r>
        <w:t xml:space="preserve">Shared Paternal Leave (SPL) works in a different way. Once the compulsory maternity leave period has been taken, the rest can be turned into SPL and shared with a partner. This arrangement allows parents to share as much as 50 weeks of leave and 37 weeks of pay. This could mean you take the first months off to recover and bond with your baby, then come back to work while your partner uses SPL or you might both take leave at the same time (Emir, 2022). However, the eligibility rules for SPL are stricter. Both parents are required to meet specific employment and earnings </w:t>
      </w:r>
      <w:proofErr w:type="gramStart"/>
      <w:r>
        <w:t>criteria</w:t>
      </w:r>
      <w:proofErr w:type="gramEnd"/>
      <w:r>
        <w:t xml:space="preserve"> and SPL can only be taken by employees, not workers. Shared Paternal Pay is paid at the flat rate, which is typically lower than SMP and would require more careful budgeting (Lewis and Sargeant, 2023). </w:t>
      </w:r>
    </w:p>
    <w:p w14:paraId="165713D4" w14:textId="77777777" w:rsidR="0016102E" w:rsidRDefault="0016102E" w:rsidP="0016102E">
      <w:r>
        <w:t xml:space="preserve">To summarise, maternity leave gives more protection and higher early-stage pay, while SPL offers flexibility and shared care. </w:t>
      </w:r>
    </w:p>
    <w:p w14:paraId="25A05AD9" w14:textId="77777777" w:rsidR="0016102E" w:rsidRDefault="0016102E" w:rsidP="0016102E">
      <w:r>
        <w:t>The decision will depend on your financial situation, your partner’s eligibility and how you plan to share childcare.</w:t>
      </w:r>
    </w:p>
    <w:p w14:paraId="13C9FE77" w14:textId="77777777" w:rsidR="0016102E" w:rsidRDefault="0016102E" w:rsidP="0016102E">
      <w:r>
        <w:t>Please let me know, if you would like to talk through your situation in more detail.</w:t>
      </w:r>
    </w:p>
    <w:p w14:paraId="4733E795" w14:textId="77777777" w:rsidR="0016102E" w:rsidRPr="00365CFB" w:rsidRDefault="0016102E" w:rsidP="0016102E">
      <w:pPr>
        <w:rPr>
          <w:b/>
          <w:bCs/>
          <w:u w:val="single"/>
        </w:rPr>
      </w:pPr>
      <w:r w:rsidRPr="00365CFB">
        <w:rPr>
          <w:b/>
          <w:bCs/>
          <w:u w:val="single"/>
        </w:rPr>
        <w:t>Email 10.</w:t>
      </w:r>
    </w:p>
    <w:p w14:paraId="2D481C7E" w14:textId="77777777" w:rsidR="0016102E" w:rsidRDefault="0016102E" w:rsidP="0016102E">
      <w:r>
        <w:t>I understand your concern about the flexible working request made by the newly appointed administrative officer, including the impact on service delivery and the possibility of similar requests from others. However, it is important that the request is administrated strictly under the statutory rules to reduce legal risk to the Trust.</w:t>
      </w:r>
    </w:p>
    <w:p w14:paraId="4279CDB0" w14:textId="77777777" w:rsidR="0016102E" w:rsidRDefault="0016102E" w:rsidP="0016102E">
      <w:r>
        <w:t xml:space="preserve">Under section 80F of the Employment Rights Act 1996, every employee can submit a statutory flexible working request from the first day of employment </w:t>
      </w:r>
      <w:proofErr w:type="gramStart"/>
      <w:r>
        <w:t>as long as</w:t>
      </w:r>
      <w:proofErr w:type="gramEnd"/>
      <w:r>
        <w:t xml:space="preserve"> they haven’t made two requests in the past 12-months. A request can cover changes to hours, the days they work or place of work, including remote working arrangements. The right is to request flexible hours, not a guaranteed right to get it (Tolley’s Employment Law Handbook, 2024).</w:t>
      </w:r>
    </w:p>
    <w:p w14:paraId="55D4B074" w14:textId="77777777" w:rsidR="0016102E" w:rsidRDefault="0016102E" w:rsidP="0016102E">
      <w:r>
        <w:t xml:space="preserve">Once a valid request has been made, the employer must deal with it fairly within two months unless both parties agree to extend the period. This includes assessing the </w:t>
      </w:r>
      <w:r>
        <w:lastRenderedPageBreak/>
        <w:t>request objectively, thinking through how it would work in practice for the service and discussing with employee before making decision. The employer can accept it, offer a trial period or refuse it (CIPD, 2024).</w:t>
      </w:r>
    </w:p>
    <w:p w14:paraId="5B8231F9" w14:textId="77777777" w:rsidR="0016102E" w:rsidRDefault="0016102E" w:rsidP="0016102E">
      <w:r>
        <w:t>If the request is turn down, the employer must base the decision on one or more of the eight statutory business reasons. These include situations were agreeing to the request would reduce quality of performance, difficulty to reorganise duties among the team or a negative impact on meeting service demand. Employer cannot refuse a request simply to avoid setting a precedent or concerns about similar future requests as neither create a lawful ground for refusal.  A refusal must be supported by role-specific evidence, rather than general assumptions (TUC, 2025).</w:t>
      </w:r>
    </w:p>
    <w:p w14:paraId="2CC40383" w14:textId="77777777" w:rsidR="0016102E" w:rsidRDefault="0016102E" w:rsidP="0016102E">
      <w:r>
        <w:t>If you have concerns that remote working could affect supervision, responsiveness or confidentiality a short trial period could be appropriate. This shows that the Trust has taken the request seriously and can strengthen its position if challenged (Armstrong, 2020).</w:t>
      </w:r>
    </w:p>
    <w:p w14:paraId="76C77B33" w14:textId="77777777" w:rsidR="0016102E" w:rsidRDefault="0016102E" w:rsidP="0016102E">
      <w:r>
        <w:t xml:space="preserve">A failure to comply with the statutory process, using wrong facts or any unfavourable treatment because the employee made a request could expose the Trust at risk of tribunal processing. If claim succeed, tribunal can instruct the employer to reconsider the request and award up to eight weeks’ pay. In more serious cases, the employee could bring claims for unlawful detriment or automatic unfair dismissal (Acas,2024). </w:t>
      </w:r>
    </w:p>
    <w:p w14:paraId="5DCE3FB9" w14:textId="77777777" w:rsidR="0016102E" w:rsidRDefault="0016102E" w:rsidP="0016102E">
      <w:r>
        <w:t>In summary, any decision to refuse should be evidence-based, handled fairly and fall within the statutory rules.</w:t>
      </w:r>
    </w:p>
    <w:p w14:paraId="4C6F8123" w14:textId="77777777" w:rsidR="0016102E" w:rsidRDefault="0016102E" w:rsidP="0016102E">
      <w:r>
        <w:t>Do let me know if you would like help assessing the request or documenting the decision-making process.</w:t>
      </w:r>
    </w:p>
    <w:p w14:paraId="6CB9E8E3" w14:textId="5FB7F840" w:rsidR="0016102E" w:rsidRPr="00073371" w:rsidRDefault="00073371" w:rsidP="0016102E">
      <w:pPr>
        <w:rPr>
          <w:b/>
          <w:bCs/>
          <w:u w:val="single"/>
        </w:rPr>
      </w:pPr>
      <w:r w:rsidRPr="00073371">
        <w:rPr>
          <w:b/>
          <w:bCs/>
          <w:u w:val="single"/>
        </w:rPr>
        <w:t>References:</w:t>
      </w:r>
    </w:p>
    <w:p w14:paraId="24D1877E" w14:textId="77777777" w:rsidR="00073371" w:rsidRPr="00F76E04" w:rsidRDefault="00073371" w:rsidP="00073371">
      <w:pPr>
        <w:spacing w:line="240" w:lineRule="auto"/>
        <w:rPr>
          <w:sz w:val="22"/>
          <w:szCs w:val="22"/>
        </w:rPr>
      </w:pPr>
      <w:r w:rsidRPr="00F76E04">
        <w:rPr>
          <w:sz w:val="22"/>
          <w:szCs w:val="22"/>
        </w:rPr>
        <w:t xml:space="preserve">ACAS (2024) </w:t>
      </w:r>
      <w:r w:rsidRPr="00F76E04">
        <w:rPr>
          <w:i/>
          <w:iCs/>
          <w:sz w:val="22"/>
          <w:szCs w:val="22"/>
        </w:rPr>
        <w:t>Code of Practice on requests for flexible working</w:t>
      </w:r>
      <w:r w:rsidRPr="00F76E04">
        <w:rPr>
          <w:sz w:val="22"/>
          <w:szCs w:val="22"/>
        </w:rPr>
        <w:t>. London: Advisory, Conciliation and Arbitration Service (</w:t>
      </w:r>
      <w:proofErr w:type="spellStart"/>
      <w:r w:rsidRPr="00F76E04">
        <w:rPr>
          <w:sz w:val="22"/>
          <w:szCs w:val="22"/>
        </w:rPr>
        <w:t>Acas</w:t>
      </w:r>
      <w:proofErr w:type="spellEnd"/>
      <w:r w:rsidRPr="00F76E04">
        <w:rPr>
          <w:sz w:val="22"/>
          <w:szCs w:val="22"/>
        </w:rPr>
        <w:t>). Available at: https://www.acas.org.uk/code-of-practice-on-requests-for-flexible-working (Accessed: 14 April 2026)</w:t>
      </w:r>
    </w:p>
    <w:p w14:paraId="1547ABDE"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ACAS (2024) </w:t>
      </w:r>
      <w:r w:rsidRPr="00F76E04">
        <w:rPr>
          <w:rFonts w:asciiTheme="minorHAnsi" w:hAnsiTheme="minorHAnsi" w:cs="Segoe UI"/>
          <w:i/>
          <w:iCs/>
          <w:sz w:val="22"/>
          <w:szCs w:val="22"/>
        </w:rPr>
        <w:t>Flexible working requests: employer responsibilities</w:t>
      </w:r>
      <w:r w:rsidRPr="00F76E04">
        <w:rPr>
          <w:rFonts w:asciiTheme="minorHAnsi" w:hAnsiTheme="minorHAnsi" w:cs="Segoe UI"/>
          <w:sz w:val="22"/>
          <w:szCs w:val="22"/>
        </w:rPr>
        <w:t>. Available at: https://www.acas.org.uk (Accessed: 27 April 2026).</w:t>
      </w:r>
    </w:p>
    <w:p w14:paraId="799914E0"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ACAS (2026) </w:t>
      </w:r>
      <w:r w:rsidRPr="00F76E04">
        <w:rPr>
          <w:rFonts w:asciiTheme="minorHAnsi" w:hAnsiTheme="minorHAnsi" w:cs="Segoe UI"/>
          <w:i/>
          <w:iCs/>
          <w:sz w:val="22"/>
          <w:szCs w:val="22"/>
        </w:rPr>
        <w:t>Holiday pay and entitlement guidance</w:t>
      </w:r>
      <w:r w:rsidRPr="00F76E04">
        <w:rPr>
          <w:rFonts w:asciiTheme="minorHAnsi" w:hAnsiTheme="minorHAnsi" w:cs="Segoe UI"/>
          <w:sz w:val="22"/>
          <w:szCs w:val="22"/>
        </w:rPr>
        <w:t>. Available at: https://www.acas.org.uk (Accessed: 29 April 2026).</w:t>
      </w:r>
    </w:p>
    <w:p w14:paraId="00C2BC2E" w14:textId="77777777" w:rsidR="00073371" w:rsidRPr="00F76E04" w:rsidRDefault="00073371" w:rsidP="00073371">
      <w:pPr>
        <w:spacing w:line="240" w:lineRule="auto"/>
        <w:rPr>
          <w:sz w:val="22"/>
          <w:szCs w:val="22"/>
        </w:rPr>
      </w:pPr>
      <w:r w:rsidRPr="00F76E04">
        <w:rPr>
          <w:sz w:val="22"/>
          <w:szCs w:val="22"/>
        </w:rPr>
        <w:t xml:space="preserve">ACAS (2026) </w:t>
      </w:r>
      <w:r w:rsidRPr="00F76E04">
        <w:rPr>
          <w:i/>
          <w:iCs/>
          <w:sz w:val="22"/>
          <w:szCs w:val="22"/>
        </w:rPr>
        <w:t>Rolled-up holiday pay</w:t>
      </w:r>
      <w:r w:rsidRPr="00F76E04">
        <w:rPr>
          <w:sz w:val="22"/>
          <w:szCs w:val="22"/>
        </w:rPr>
        <w:t>. Available at: https://www.acas.org.uk/irregular-hours-and-part-year-workers/rolled-up-holiday-pay (Accessed: 13 May 2026).</w:t>
      </w:r>
    </w:p>
    <w:p w14:paraId="49B9EC47" w14:textId="77777777" w:rsidR="00073371" w:rsidRPr="00F76E04" w:rsidRDefault="00073371" w:rsidP="00073371">
      <w:pPr>
        <w:spacing w:line="240" w:lineRule="auto"/>
        <w:rPr>
          <w:sz w:val="22"/>
          <w:szCs w:val="22"/>
        </w:rPr>
      </w:pPr>
      <w:r w:rsidRPr="00F76E04">
        <w:rPr>
          <w:sz w:val="22"/>
          <w:szCs w:val="22"/>
        </w:rPr>
        <w:t xml:space="preserve">Armstrong, M. (2020) Armstrong’s Handbook of Human Resource Management Practice. 15th </w:t>
      </w:r>
      <w:proofErr w:type="spellStart"/>
      <w:r w:rsidRPr="00F76E04">
        <w:rPr>
          <w:sz w:val="22"/>
          <w:szCs w:val="22"/>
        </w:rPr>
        <w:t>edn</w:t>
      </w:r>
      <w:proofErr w:type="spellEnd"/>
      <w:r w:rsidRPr="00F76E04">
        <w:rPr>
          <w:sz w:val="22"/>
          <w:szCs w:val="22"/>
        </w:rPr>
        <w:t>. London: Kogan Page.</w:t>
      </w:r>
    </w:p>
    <w:p w14:paraId="7CAA4924"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Bamforth, N., Malik, M. and </w:t>
      </w:r>
      <w:proofErr w:type="spellStart"/>
      <w:r w:rsidRPr="00F76E04">
        <w:rPr>
          <w:rFonts w:asciiTheme="minorHAnsi" w:hAnsiTheme="minorHAnsi" w:cs="Segoe UI"/>
          <w:sz w:val="22"/>
          <w:szCs w:val="22"/>
        </w:rPr>
        <w:t>O’Cinneide</w:t>
      </w:r>
      <w:proofErr w:type="spellEnd"/>
      <w:r w:rsidRPr="00F76E04">
        <w:rPr>
          <w:rFonts w:asciiTheme="minorHAnsi" w:hAnsiTheme="minorHAnsi" w:cs="Segoe UI"/>
          <w:sz w:val="22"/>
          <w:szCs w:val="22"/>
        </w:rPr>
        <w:t xml:space="preserve">, C. (2017) </w:t>
      </w:r>
      <w:r w:rsidRPr="00F76E04">
        <w:rPr>
          <w:rStyle w:val="Emphasis"/>
          <w:rFonts w:asciiTheme="minorHAnsi" w:hAnsiTheme="minorHAnsi" w:cs="Segoe UI"/>
          <w:sz w:val="22"/>
          <w:szCs w:val="22"/>
        </w:rPr>
        <w:t>Discrimination Law: Theory and Context</w:t>
      </w:r>
      <w:r w:rsidRPr="00F76E04">
        <w:rPr>
          <w:rFonts w:asciiTheme="minorHAnsi" w:hAnsiTheme="minorHAnsi" w:cs="Segoe UI"/>
          <w:sz w:val="22"/>
          <w:szCs w:val="22"/>
        </w:rPr>
        <w:t xml:space="preserve">. 2nd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London: Sweet &amp; Maxwell.</w:t>
      </w:r>
    </w:p>
    <w:p w14:paraId="2BC4DE38"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lastRenderedPageBreak/>
        <w:t xml:space="preserve">Barnard, C. (2020) </w:t>
      </w:r>
      <w:r w:rsidRPr="00F76E04">
        <w:rPr>
          <w:rStyle w:val="Emphasis"/>
          <w:rFonts w:asciiTheme="minorHAnsi" w:hAnsiTheme="minorHAnsi" w:cs="Segoe UI"/>
          <w:sz w:val="22"/>
          <w:szCs w:val="22"/>
        </w:rPr>
        <w:t>EU Employment Law</w:t>
      </w:r>
      <w:r w:rsidRPr="00F76E04">
        <w:rPr>
          <w:rFonts w:asciiTheme="minorHAnsi" w:hAnsiTheme="minorHAnsi" w:cs="Segoe UI"/>
          <w:sz w:val="22"/>
          <w:szCs w:val="22"/>
        </w:rPr>
        <w:t xml:space="preserve">. 6th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Oxford: Oxford University Press.</w:t>
      </w:r>
    </w:p>
    <w:p w14:paraId="3A8DD2CD" w14:textId="77777777" w:rsidR="00073371" w:rsidRPr="00F76E04" w:rsidRDefault="00073371" w:rsidP="00073371">
      <w:pPr>
        <w:spacing w:after="0" w:line="240" w:lineRule="auto"/>
        <w:rPr>
          <w:rFonts w:eastAsia="Times New Roman" w:cs="Segoe UI"/>
          <w:kern w:val="0"/>
          <w:sz w:val="22"/>
          <w:szCs w:val="22"/>
          <w:lang w:eastAsia="en-GB"/>
          <w14:ligatures w14:val="none"/>
        </w:rPr>
      </w:pPr>
      <w:r w:rsidRPr="00F76E04">
        <w:rPr>
          <w:rFonts w:eastAsia="Times New Roman" w:cs="Segoe UI"/>
          <w:kern w:val="0"/>
          <w:sz w:val="22"/>
          <w:szCs w:val="22"/>
          <w:lang w:eastAsia="en-GB"/>
          <w14:ligatures w14:val="none"/>
        </w:rPr>
        <w:t xml:space="preserve">Barnett, D. (2020) </w:t>
      </w:r>
      <w:r w:rsidRPr="00F76E04">
        <w:rPr>
          <w:rFonts w:eastAsia="Times New Roman" w:cs="Segoe UI"/>
          <w:i/>
          <w:iCs/>
          <w:kern w:val="0"/>
          <w:sz w:val="22"/>
          <w:szCs w:val="22"/>
          <w:lang w:eastAsia="en-GB"/>
          <w14:ligatures w14:val="none"/>
        </w:rPr>
        <w:t>Constructive dismissal</w:t>
      </w:r>
      <w:r w:rsidRPr="00F76E04">
        <w:rPr>
          <w:rFonts w:eastAsia="Times New Roman" w:cs="Segoe UI"/>
          <w:kern w:val="0"/>
          <w:sz w:val="22"/>
          <w:szCs w:val="22"/>
          <w:lang w:eastAsia="en-GB"/>
          <w14:ligatures w14:val="none"/>
        </w:rPr>
        <w:t xml:space="preserve">. 7th </w:t>
      </w:r>
      <w:proofErr w:type="spellStart"/>
      <w:r w:rsidRPr="00F76E04">
        <w:rPr>
          <w:rFonts w:eastAsia="Times New Roman" w:cs="Segoe UI"/>
          <w:kern w:val="0"/>
          <w:sz w:val="22"/>
          <w:szCs w:val="22"/>
          <w:lang w:eastAsia="en-GB"/>
          <w14:ligatures w14:val="none"/>
        </w:rPr>
        <w:t>edn</w:t>
      </w:r>
      <w:proofErr w:type="spellEnd"/>
      <w:r w:rsidRPr="00F76E04">
        <w:rPr>
          <w:rFonts w:eastAsia="Times New Roman" w:cs="Segoe UI"/>
          <w:kern w:val="0"/>
          <w:sz w:val="22"/>
          <w:szCs w:val="22"/>
          <w:lang w:eastAsia="en-GB"/>
          <w14:ligatures w14:val="none"/>
        </w:rPr>
        <w:t>. London: Employment Law Library.</w:t>
      </w:r>
    </w:p>
    <w:p w14:paraId="6DDCCEBF"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Barnett, H. (2020) </w:t>
      </w:r>
      <w:r w:rsidRPr="00F76E04">
        <w:rPr>
          <w:rStyle w:val="Emphasis"/>
          <w:rFonts w:asciiTheme="minorHAnsi" w:hAnsiTheme="minorHAnsi" w:cs="Segoe UI"/>
          <w:sz w:val="22"/>
          <w:szCs w:val="22"/>
        </w:rPr>
        <w:t>Employment Law</w:t>
      </w:r>
      <w:r w:rsidRPr="00F76E04">
        <w:rPr>
          <w:rFonts w:asciiTheme="minorHAnsi" w:hAnsiTheme="minorHAnsi" w:cs="Segoe UI"/>
          <w:sz w:val="22"/>
          <w:szCs w:val="22"/>
        </w:rPr>
        <w:t xml:space="preserve">. 13th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Harlow: Pearson.</w:t>
      </w:r>
    </w:p>
    <w:p w14:paraId="4AF47224"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Bingham, T. (2016) </w:t>
      </w:r>
      <w:r w:rsidRPr="00F76E04">
        <w:rPr>
          <w:rStyle w:val="Emphasis"/>
          <w:rFonts w:asciiTheme="minorHAnsi" w:hAnsiTheme="minorHAnsi" w:cs="Segoe UI"/>
          <w:sz w:val="22"/>
          <w:szCs w:val="22"/>
        </w:rPr>
        <w:t>The Rule of Law</w:t>
      </w:r>
      <w:r w:rsidRPr="00F76E04">
        <w:rPr>
          <w:rFonts w:asciiTheme="minorHAnsi" w:hAnsiTheme="minorHAnsi" w:cs="Segoe UI"/>
          <w:sz w:val="22"/>
          <w:szCs w:val="22"/>
        </w:rPr>
        <w:t>. London: Penguin.</w:t>
      </w:r>
    </w:p>
    <w:p w14:paraId="1ECBB98E"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Blyton, P. and Turnbull, P. (2004) </w:t>
      </w:r>
      <w:r w:rsidRPr="00F76E04">
        <w:rPr>
          <w:rStyle w:val="Emphasis"/>
          <w:rFonts w:asciiTheme="minorHAnsi" w:hAnsiTheme="minorHAnsi" w:cs="Segoe UI"/>
          <w:sz w:val="22"/>
          <w:szCs w:val="22"/>
        </w:rPr>
        <w:t>The Dynamics of Employee Relations</w:t>
      </w:r>
      <w:r w:rsidRPr="00F76E04">
        <w:rPr>
          <w:rFonts w:asciiTheme="minorHAnsi" w:hAnsiTheme="minorHAnsi" w:cs="Segoe UI"/>
          <w:sz w:val="22"/>
          <w:szCs w:val="22"/>
        </w:rPr>
        <w:t xml:space="preserve">. 3rd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Basingstoke: Palgrave Macmillan.</w:t>
      </w:r>
    </w:p>
    <w:p w14:paraId="089A3456"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Cabrelli, D. (2020) </w:t>
      </w:r>
      <w:r w:rsidRPr="00F76E04">
        <w:rPr>
          <w:rStyle w:val="Emphasis"/>
          <w:rFonts w:asciiTheme="minorHAnsi" w:hAnsiTheme="minorHAnsi" w:cs="Segoe UI"/>
          <w:sz w:val="22"/>
          <w:szCs w:val="22"/>
        </w:rPr>
        <w:t>Employment Law in Context</w:t>
      </w:r>
      <w:r w:rsidRPr="00F76E04">
        <w:rPr>
          <w:rFonts w:asciiTheme="minorHAnsi" w:hAnsiTheme="minorHAnsi" w:cs="Segoe UI"/>
          <w:sz w:val="22"/>
          <w:szCs w:val="22"/>
        </w:rPr>
        <w:t xml:space="preserve">. 4th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Oxford: Oxford University Press.</w:t>
      </w:r>
      <w:r w:rsidRPr="00F76E04">
        <w:rPr>
          <w:rFonts w:asciiTheme="minorHAnsi" w:hAnsiTheme="minorHAnsi" w:cs="Segoe UI"/>
          <w:sz w:val="22"/>
          <w:szCs w:val="22"/>
        </w:rPr>
        <w:br/>
        <w:t xml:space="preserve">Cabrelli, D. (2022) </w:t>
      </w:r>
      <w:r w:rsidRPr="00F76E04">
        <w:rPr>
          <w:rStyle w:val="Emphasis"/>
          <w:rFonts w:asciiTheme="minorHAnsi" w:hAnsiTheme="minorHAnsi" w:cs="Segoe UI"/>
          <w:sz w:val="22"/>
          <w:szCs w:val="22"/>
        </w:rPr>
        <w:t>Employment Law</w:t>
      </w:r>
      <w:r w:rsidRPr="00F76E04">
        <w:rPr>
          <w:rFonts w:asciiTheme="minorHAnsi" w:hAnsiTheme="minorHAnsi" w:cs="Segoe UI"/>
          <w:sz w:val="22"/>
          <w:szCs w:val="22"/>
        </w:rPr>
        <w:t xml:space="preserve">. 4th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Oxford: Oxford University Press.</w:t>
      </w:r>
    </w:p>
    <w:p w14:paraId="1ED6801D" w14:textId="77777777" w:rsidR="00073371" w:rsidRPr="00F76E04" w:rsidRDefault="00073371" w:rsidP="00073371">
      <w:pPr>
        <w:spacing w:line="240" w:lineRule="auto"/>
        <w:rPr>
          <w:sz w:val="22"/>
          <w:szCs w:val="22"/>
        </w:rPr>
      </w:pPr>
      <w:r w:rsidRPr="00F76E04">
        <w:rPr>
          <w:sz w:val="22"/>
          <w:szCs w:val="22"/>
        </w:rPr>
        <w:t xml:space="preserve">Cabrelli, D. (2022) </w:t>
      </w:r>
      <w:r w:rsidRPr="00F76E04">
        <w:rPr>
          <w:i/>
          <w:iCs/>
          <w:sz w:val="22"/>
          <w:szCs w:val="22"/>
        </w:rPr>
        <w:t>Employment Law in Context</w:t>
      </w:r>
      <w:r w:rsidRPr="00F76E04">
        <w:rPr>
          <w:sz w:val="22"/>
          <w:szCs w:val="22"/>
        </w:rPr>
        <w:t xml:space="preserve">. 4th </w:t>
      </w:r>
      <w:proofErr w:type="spellStart"/>
      <w:r w:rsidRPr="00F76E04">
        <w:rPr>
          <w:sz w:val="22"/>
          <w:szCs w:val="22"/>
        </w:rPr>
        <w:t>edn</w:t>
      </w:r>
      <w:proofErr w:type="spellEnd"/>
      <w:r w:rsidRPr="00F76E04">
        <w:rPr>
          <w:sz w:val="22"/>
          <w:szCs w:val="22"/>
        </w:rPr>
        <w:t>. Oxford: Oxford University Press.</w:t>
      </w:r>
    </w:p>
    <w:p w14:paraId="25FDAD35"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CIPD (2022) </w:t>
      </w:r>
      <w:r w:rsidRPr="00F76E04">
        <w:rPr>
          <w:rStyle w:val="Emphasis"/>
          <w:rFonts w:asciiTheme="minorHAnsi" w:hAnsiTheme="minorHAnsi" w:cs="Segoe UI"/>
          <w:sz w:val="22"/>
          <w:szCs w:val="22"/>
        </w:rPr>
        <w:t>Holiday pay and entitlement factsheet</w:t>
      </w:r>
      <w:r w:rsidRPr="00F76E04">
        <w:rPr>
          <w:rFonts w:asciiTheme="minorHAnsi" w:hAnsiTheme="minorHAnsi" w:cs="Segoe UI"/>
          <w:sz w:val="22"/>
          <w:szCs w:val="22"/>
        </w:rPr>
        <w:t>. Available at</w:t>
      </w:r>
      <w:r w:rsidRPr="00F76E04">
        <w:rPr>
          <w:rFonts w:asciiTheme="minorHAnsi" w:hAnsiTheme="minorHAnsi" w:cs="Segoe UI"/>
          <w:color w:val="000000" w:themeColor="text1"/>
          <w:sz w:val="22"/>
          <w:szCs w:val="22"/>
        </w:rPr>
        <w:t xml:space="preserve">: </w:t>
      </w:r>
      <w:hyperlink r:id="rId4" w:history="1">
        <w:r w:rsidRPr="00F76E04">
          <w:rPr>
            <w:rStyle w:val="Hyperlink"/>
            <w:rFonts w:asciiTheme="minorHAnsi" w:hAnsiTheme="minorHAnsi" w:cs="Segoe UI"/>
            <w:color w:val="000000" w:themeColor="text1"/>
            <w:sz w:val="22"/>
            <w:szCs w:val="22"/>
            <w:u w:val="none"/>
          </w:rPr>
          <w:t>https://www.cipd.co.uk</w:t>
        </w:r>
      </w:hyperlink>
      <w:r w:rsidRPr="00F76E04">
        <w:rPr>
          <w:rFonts w:asciiTheme="minorHAnsi" w:hAnsiTheme="minorHAnsi" w:cs="Segoe UI"/>
          <w:sz w:val="22"/>
          <w:szCs w:val="22"/>
        </w:rPr>
        <w:t xml:space="preserve"> (Accessed: 24 May 2026)</w:t>
      </w:r>
      <w:r w:rsidRPr="00F76E04">
        <w:rPr>
          <w:rFonts w:asciiTheme="minorHAnsi" w:hAnsiTheme="minorHAnsi" w:cs="Segoe UI"/>
          <w:sz w:val="22"/>
          <w:szCs w:val="22"/>
        </w:rPr>
        <w:br/>
        <w:t xml:space="preserve">CIPD (2023) </w:t>
      </w:r>
      <w:r w:rsidRPr="00F76E04">
        <w:rPr>
          <w:rStyle w:val="Emphasis"/>
          <w:rFonts w:asciiTheme="minorHAnsi" w:hAnsiTheme="minorHAnsi" w:cs="Segoe UI"/>
          <w:sz w:val="22"/>
          <w:szCs w:val="22"/>
        </w:rPr>
        <w:t>Discrimination and the Equality Act 2010</w:t>
      </w:r>
      <w:r w:rsidRPr="00F76E04">
        <w:rPr>
          <w:rFonts w:asciiTheme="minorHAnsi" w:hAnsiTheme="minorHAnsi" w:cs="Segoe UI"/>
          <w:sz w:val="22"/>
          <w:szCs w:val="22"/>
        </w:rPr>
        <w:t xml:space="preserve">. Available at: </w:t>
      </w:r>
      <w:hyperlink r:id="rId5" w:history="1">
        <w:r w:rsidRPr="00F76E04">
          <w:rPr>
            <w:rStyle w:val="Hyperlink"/>
            <w:rFonts w:asciiTheme="minorHAnsi" w:hAnsiTheme="minorHAnsi" w:cs="Segoe UI"/>
            <w:color w:val="000000" w:themeColor="text1"/>
            <w:sz w:val="22"/>
            <w:szCs w:val="22"/>
            <w:u w:val="none"/>
          </w:rPr>
          <w:t>https://www.cipd.co.uk</w:t>
        </w:r>
      </w:hyperlink>
      <w:r w:rsidRPr="00F76E04">
        <w:rPr>
          <w:rFonts w:asciiTheme="minorHAnsi" w:hAnsiTheme="minorHAnsi" w:cs="Segoe UI"/>
          <w:sz w:val="22"/>
          <w:szCs w:val="22"/>
        </w:rPr>
        <w:t xml:space="preserve"> (Accessed: 13 April 2026)</w:t>
      </w:r>
      <w:r w:rsidRPr="00F76E04">
        <w:rPr>
          <w:rFonts w:asciiTheme="minorHAnsi" w:hAnsiTheme="minorHAnsi" w:cs="Segoe UI"/>
          <w:sz w:val="22"/>
          <w:szCs w:val="22"/>
        </w:rPr>
        <w:br/>
        <w:t xml:space="preserve">CIPD (2024) </w:t>
      </w:r>
      <w:r w:rsidRPr="00F76E04">
        <w:rPr>
          <w:rStyle w:val="Emphasis"/>
          <w:rFonts w:asciiTheme="minorHAnsi" w:hAnsiTheme="minorHAnsi" w:cs="Segoe UI"/>
          <w:sz w:val="22"/>
          <w:szCs w:val="22"/>
        </w:rPr>
        <w:t>Flexible working: law and practice</w:t>
      </w:r>
      <w:r w:rsidRPr="00F76E04">
        <w:rPr>
          <w:rFonts w:asciiTheme="minorHAnsi" w:hAnsiTheme="minorHAnsi" w:cs="Segoe UI"/>
          <w:sz w:val="22"/>
          <w:szCs w:val="22"/>
        </w:rPr>
        <w:t xml:space="preserve">. Available at: </w:t>
      </w:r>
      <w:hyperlink r:id="rId6" w:history="1">
        <w:r w:rsidRPr="00F76E04">
          <w:rPr>
            <w:rStyle w:val="Hyperlink"/>
            <w:rFonts w:asciiTheme="minorHAnsi" w:hAnsiTheme="minorHAnsi" w:cs="Segoe UI"/>
            <w:color w:val="000000" w:themeColor="text1"/>
            <w:sz w:val="22"/>
            <w:szCs w:val="22"/>
            <w:u w:val="none"/>
          </w:rPr>
          <w:t>https://www.cipd.co.uk</w:t>
        </w:r>
      </w:hyperlink>
      <w:r w:rsidRPr="00F76E04">
        <w:rPr>
          <w:rFonts w:asciiTheme="minorHAnsi" w:hAnsiTheme="minorHAnsi" w:cs="Segoe UI"/>
          <w:color w:val="000000" w:themeColor="text1"/>
          <w:sz w:val="22"/>
          <w:szCs w:val="22"/>
        </w:rPr>
        <w:t xml:space="preserve"> (Accessed: 15 May 2026)</w:t>
      </w:r>
      <w:r w:rsidRPr="00F76E04">
        <w:rPr>
          <w:rFonts w:asciiTheme="minorHAnsi" w:hAnsiTheme="minorHAnsi" w:cs="Segoe UI"/>
          <w:color w:val="000000" w:themeColor="text1"/>
          <w:sz w:val="22"/>
          <w:szCs w:val="22"/>
        </w:rPr>
        <w:br/>
      </w:r>
      <w:r w:rsidRPr="00F76E04">
        <w:rPr>
          <w:rFonts w:asciiTheme="minorHAnsi" w:hAnsiTheme="minorHAnsi" w:cs="Segoe UI"/>
          <w:sz w:val="22"/>
          <w:szCs w:val="22"/>
        </w:rPr>
        <w:t xml:space="preserve">CIPD (2025) </w:t>
      </w:r>
      <w:r w:rsidRPr="00F76E04">
        <w:rPr>
          <w:rStyle w:val="Emphasis"/>
          <w:rFonts w:asciiTheme="minorHAnsi" w:hAnsiTheme="minorHAnsi" w:cs="Segoe UI"/>
          <w:sz w:val="22"/>
          <w:szCs w:val="22"/>
        </w:rPr>
        <w:t>TUPE: an overview</w:t>
      </w:r>
      <w:r w:rsidRPr="00F76E04">
        <w:rPr>
          <w:rFonts w:asciiTheme="minorHAnsi" w:hAnsiTheme="minorHAnsi" w:cs="Segoe UI"/>
          <w:sz w:val="22"/>
          <w:szCs w:val="22"/>
        </w:rPr>
        <w:t xml:space="preserve">. Available at: </w:t>
      </w:r>
      <w:hyperlink r:id="rId7" w:history="1">
        <w:r w:rsidRPr="00F76E04">
          <w:rPr>
            <w:rStyle w:val="Hyperlink"/>
            <w:rFonts w:asciiTheme="minorHAnsi" w:hAnsiTheme="minorHAnsi" w:cs="Segoe UI"/>
            <w:color w:val="000000" w:themeColor="text1"/>
            <w:sz w:val="22"/>
            <w:szCs w:val="22"/>
            <w:u w:val="none"/>
          </w:rPr>
          <w:t>https://www.cipd.co.uk</w:t>
        </w:r>
      </w:hyperlink>
      <w:r w:rsidRPr="00F76E04">
        <w:rPr>
          <w:rFonts w:asciiTheme="minorHAnsi" w:hAnsiTheme="minorHAnsi" w:cs="Segoe UI"/>
          <w:sz w:val="22"/>
          <w:szCs w:val="22"/>
        </w:rPr>
        <w:t xml:space="preserve"> (Accessed: 13 May 2026)</w:t>
      </w:r>
      <w:r w:rsidRPr="00F76E04">
        <w:rPr>
          <w:rFonts w:asciiTheme="minorHAnsi" w:hAnsiTheme="minorHAnsi" w:cs="Segoe UI"/>
          <w:sz w:val="22"/>
          <w:szCs w:val="22"/>
        </w:rPr>
        <w:br/>
        <w:t xml:space="preserve">CIPD (2026) </w:t>
      </w:r>
      <w:r w:rsidRPr="00F76E04">
        <w:rPr>
          <w:rStyle w:val="Emphasis"/>
          <w:rFonts w:asciiTheme="minorHAnsi" w:hAnsiTheme="minorHAnsi" w:cs="Segoe UI"/>
          <w:sz w:val="22"/>
          <w:szCs w:val="22"/>
        </w:rPr>
        <w:t>Maternity, paternity and shared parental leave</w:t>
      </w:r>
      <w:r w:rsidRPr="00F76E04">
        <w:rPr>
          <w:rFonts w:asciiTheme="minorHAnsi" w:hAnsiTheme="minorHAnsi" w:cs="Segoe UI"/>
          <w:sz w:val="22"/>
          <w:szCs w:val="22"/>
        </w:rPr>
        <w:t xml:space="preserve">. Available at: </w:t>
      </w:r>
      <w:hyperlink r:id="rId8" w:history="1">
        <w:r w:rsidRPr="00F76E04">
          <w:rPr>
            <w:rStyle w:val="Hyperlink"/>
            <w:rFonts w:asciiTheme="minorHAnsi" w:hAnsiTheme="minorHAnsi" w:cs="Segoe UI"/>
            <w:color w:val="000000" w:themeColor="text1"/>
            <w:sz w:val="22"/>
            <w:szCs w:val="22"/>
            <w:u w:val="none"/>
          </w:rPr>
          <w:t>https://www.cipd.co.uk</w:t>
        </w:r>
      </w:hyperlink>
      <w:r w:rsidRPr="00F76E04">
        <w:rPr>
          <w:rFonts w:asciiTheme="minorHAnsi" w:hAnsiTheme="minorHAnsi" w:cs="Segoe UI"/>
          <w:color w:val="000000" w:themeColor="text1"/>
          <w:sz w:val="22"/>
          <w:szCs w:val="22"/>
        </w:rPr>
        <w:t xml:space="preserve"> </w:t>
      </w:r>
      <w:r w:rsidRPr="00F76E04">
        <w:rPr>
          <w:rFonts w:asciiTheme="minorHAnsi" w:hAnsiTheme="minorHAnsi" w:cs="Segoe UI"/>
          <w:sz w:val="22"/>
          <w:szCs w:val="22"/>
        </w:rPr>
        <w:t>(Accessed: 20 April 2026)</w:t>
      </w:r>
    </w:p>
    <w:p w14:paraId="0FEA8779" w14:textId="77777777" w:rsidR="00073371" w:rsidRPr="00F76E04" w:rsidRDefault="00073371" w:rsidP="00073371">
      <w:pPr>
        <w:spacing w:line="240" w:lineRule="auto"/>
        <w:rPr>
          <w:sz w:val="22"/>
          <w:szCs w:val="22"/>
        </w:rPr>
      </w:pPr>
      <w:r w:rsidRPr="00F76E04">
        <w:rPr>
          <w:sz w:val="22"/>
          <w:szCs w:val="22"/>
        </w:rPr>
        <w:t xml:space="preserve">CIPD (2024) Flexible working: People manager guide. London: Chartered Institute of Personnel and Development. Available at: </w:t>
      </w:r>
      <w:hyperlink r:id="rId9" w:history="1">
        <w:r w:rsidRPr="00F76E04">
          <w:rPr>
            <w:rStyle w:val="Hyperlink"/>
            <w:color w:val="000000" w:themeColor="text1"/>
            <w:sz w:val="22"/>
            <w:szCs w:val="22"/>
            <w:u w:val="none"/>
          </w:rPr>
          <w:t>https://www.cipd.org/uk/knowledge/guides/flexible-working-manager-guide</w:t>
        </w:r>
      </w:hyperlink>
      <w:r w:rsidRPr="00F76E04">
        <w:rPr>
          <w:sz w:val="22"/>
          <w:szCs w:val="22"/>
        </w:rPr>
        <w:t xml:space="preserve"> (Accessed: 21 April 2026</w:t>
      </w:r>
    </w:p>
    <w:p w14:paraId="335BEFCB" w14:textId="77777777" w:rsidR="00073371" w:rsidRPr="00F76E04" w:rsidRDefault="00073371" w:rsidP="00073371">
      <w:pPr>
        <w:spacing w:line="240" w:lineRule="auto"/>
        <w:rPr>
          <w:sz w:val="22"/>
          <w:szCs w:val="22"/>
        </w:rPr>
      </w:pPr>
      <w:r w:rsidRPr="00F76E04">
        <w:rPr>
          <w:sz w:val="22"/>
          <w:szCs w:val="22"/>
        </w:rPr>
        <w:t xml:space="preserve">CIPD (2025) </w:t>
      </w:r>
      <w:r w:rsidRPr="00F76E04">
        <w:rPr>
          <w:i/>
          <w:iCs/>
          <w:sz w:val="22"/>
          <w:szCs w:val="22"/>
        </w:rPr>
        <w:t>TUPE: an introduction</w:t>
      </w:r>
      <w:r w:rsidRPr="00F76E04">
        <w:rPr>
          <w:sz w:val="22"/>
          <w:szCs w:val="22"/>
        </w:rPr>
        <w:t>. Available at: https://www.cipd.org/uk/knowledge/factsheets/tupe-factsheet/ (Accessed: 13 May 2026).</w:t>
      </w:r>
    </w:p>
    <w:p w14:paraId="690B197B" w14:textId="77777777" w:rsidR="00073371" w:rsidRPr="00F76E04" w:rsidRDefault="00073371" w:rsidP="00073371">
      <w:pPr>
        <w:spacing w:line="240" w:lineRule="auto"/>
        <w:rPr>
          <w:sz w:val="22"/>
          <w:szCs w:val="22"/>
        </w:rPr>
      </w:pPr>
      <w:r w:rsidRPr="00F76E04">
        <w:rPr>
          <w:sz w:val="22"/>
          <w:szCs w:val="22"/>
        </w:rPr>
        <w:t xml:space="preserve">CIPD (2026) </w:t>
      </w:r>
      <w:r w:rsidRPr="00F76E04">
        <w:rPr>
          <w:i/>
          <w:iCs/>
          <w:sz w:val="22"/>
          <w:szCs w:val="22"/>
        </w:rPr>
        <w:t>Annual leave: UK employment law</w:t>
      </w:r>
      <w:r w:rsidRPr="00F76E04">
        <w:rPr>
          <w:sz w:val="22"/>
          <w:szCs w:val="22"/>
        </w:rPr>
        <w:t>. Available at: https://www.cipd.org/uk/knowledge/employment-law/holidays/ (Accessed: 2 May 2026).</w:t>
      </w:r>
    </w:p>
    <w:p w14:paraId="69DD829C" w14:textId="77777777" w:rsidR="00073371" w:rsidRPr="00F76E04" w:rsidRDefault="00073371" w:rsidP="00073371">
      <w:pPr>
        <w:spacing w:line="240" w:lineRule="auto"/>
        <w:rPr>
          <w:sz w:val="22"/>
          <w:szCs w:val="22"/>
        </w:rPr>
      </w:pPr>
      <w:r w:rsidRPr="00F76E04">
        <w:rPr>
          <w:sz w:val="22"/>
          <w:szCs w:val="22"/>
        </w:rPr>
        <w:t xml:space="preserve">CIPD (2026) </w:t>
      </w:r>
      <w:r w:rsidRPr="00F76E04">
        <w:rPr>
          <w:i/>
          <w:iCs/>
          <w:sz w:val="22"/>
          <w:szCs w:val="22"/>
        </w:rPr>
        <w:t>Maternity, paternity and adoption rights</w:t>
      </w:r>
      <w:r w:rsidRPr="00F76E04">
        <w:rPr>
          <w:sz w:val="22"/>
          <w:szCs w:val="22"/>
        </w:rPr>
        <w:t>. Available at: https://www.cipd.org/uk/knowledge/factsheets/maternity-paternity-rights-factsheet/ (Accessed: 14 May 2026).</w:t>
      </w:r>
    </w:p>
    <w:p w14:paraId="71E88F55" w14:textId="77777777" w:rsidR="00073371" w:rsidRPr="00F76E04" w:rsidRDefault="00073371" w:rsidP="00073371">
      <w:pPr>
        <w:spacing w:line="240" w:lineRule="auto"/>
        <w:rPr>
          <w:sz w:val="22"/>
          <w:szCs w:val="22"/>
        </w:rPr>
      </w:pPr>
      <w:r w:rsidRPr="00F76E04">
        <w:rPr>
          <w:sz w:val="22"/>
          <w:szCs w:val="22"/>
        </w:rPr>
        <w:t xml:space="preserve">CIPP (2022) </w:t>
      </w:r>
      <w:r w:rsidRPr="00F76E04">
        <w:rPr>
          <w:i/>
          <w:iCs/>
          <w:sz w:val="22"/>
          <w:szCs w:val="22"/>
        </w:rPr>
        <w:t>Holiday pay and entitlement</w:t>
      </w:r>
      <w:r w:rsidRPr="00F76E04">
        <w:rPr>
          <w:sz w:val="22"/>
          <w:szCs w:val="22"/>
        </w:rPr>
        <w:t>. Available at: https://www.cipp.org.uk/resourceLibrary/holiday-pay-and-entitlement.html (Accessed: 13 May 2026).</w:t>
      </w:r>
    </w:p>
    <w:p w14:paraId="01CFA8F8"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Collins, H., Ewing, K. and McColgan, A. (2019) </w:t>
      </w:r>
      <w:r w:rsidRPr="00F76E04">
        <w:rPr>
          <w:rStyle w:val="Emphasis"/>
          <w:rFonts w:asciiTheme="minorHAnsi" w:hAnsiTheme="minorHAnsi" w:cs="Segoe UI"/>
          <w:sz w:val="22"/>
          <w:szCs w:val="22"/>
        </w:rPr>
        <w:t>Labour Law</w:t>
      </w:r>
      <w:r w:rsidRPr="00F76E04">
        <w:rPr>
          <w:rFonts w:asciiTheme="minorHAnsi" w:hAnsiTheme="minorHAnsi" w:cs="Segoe UI"/>
          <w:sz w:val="22"/>
          <w:szCs w:val="22"/>
        </w:rPr>
        <w:t>. Cambridge: Cambridge University Press.</w:t>
      </w:r>
    </w:p>
    <w:p w14:paraId="1691D397" w14:textId="77777777" w:rsidR="00073371" w:rsidRPr="00F76E04" w:rsidRDefault="00073371" w:rsidP="00073371">
      <w:pPr>
        <w:spacing w:line="240" w:lineRule="auto"/>
        <w:rPr>
          <w:sz w:val="22"/>
          <w:szCs w:val="22"/>
        </w:rPr>
      </w:pPr>
      <w:r w:rsidRPr="00F76E04">
        <w:rPr>
          <w:sz w:val="22"/>
          <w:szCs w:val="22"/>
        </w:rPr>
        <w:t xml:space="preserve">Collins, H., Ewing, K.D. and McColgan, A. (2019) </w:t>
      </w:r>
      <w:r w:rsidRPr="00F76E04">
        <w:rPr>
          <w:i/>
          <w:iCs/>
          <w:sz w:val="22"/>
          <w:szCs w:val="22"/>
        </w:rPr>
        <w:t>Labour Law</w:t>
      </w:r>
      <w:r w:rsidRPr="00F76E04">
        <w:rPr>
          <w:sz w:val="22"/>
          <w:szCs w:val="22"/>
        </w:rPr>
        <w:t xml:space="preserve">. 2nd </w:t>
      </w:r>
      <w:proofErr w:type="spellStart"/>
      <w:r w:rsidRPr="00F76E04">
        <w:rPr>
          <w:sz w:val="22"/>
          <w:szCs w:val="22"/>
        </w:rPr>
        <w:t>edn</w:t>
      </w:r>
      <w:proofErr w:type="spellEnd"/>
      <w:r w:rsidRPr="00F76E04">
        <w:rPr>
          <w:sz w:val="22"/>
          <w:szCs w:val="22"/>
        </w:rPr>
        <w:t>. Cambridge: Cambridge University Press.</w:t>
      </w:r>
    </w:p>
    <w:p w14:paraId="736F02C0"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Craig, P. (2020) </w:t>
      </w:r>
      <w:r w:rsidRPr="00F76E04">
        <w:rPr>
          <w:rStyle w:val="Emphasis"/>
          <w:rFonts w:asciiTheme="minorHAnsi" w:hAnsiTheme="minorHAnsi" w:cs="Segoe UI"/>
          <w:sz w:val="22"/>
          <w:szCs w:val="22"/>
        </w:rPr>
        <w:t>EU Administrative Law</w:t>
      </w:r>
      <w:r w:rsidRPr="00F76E04">
        <w:rPr>
          <w:rFonts w:asciiTheme="minorHAnsi" w:hAnsiTheme="minorHAnsi" w:cs="Segoe UI"/>
          <w:sz w:val="22"/>
          <w:szCs w:val="22"/>
        </w:rPr>
        <w:t>. Oxford: Oxford University Press.</w:t>
      </w:r>
      <w:r w:rsidRPr="00F76E04">
        <w:rPr>
          <w:rFonts w:asciiTheme="minorHAnsi" w:hAnsiTheme="minorHAnsi" w:cs="Segoe UI"/>
          <w:sz w:val="22"/>
          <w:szCs w:val="22"/>
        </w:rPr>
        <w:br/>
        <w:t xml:space="preserve">Craig, P. and de </w:t>
      </w:r>
      <w:proofErr w:type="spellStart"/>
      <w:r w:rsidRPr="00F76E04">
        <w:rPr>
          <w:rFonts w:asciiTheme="minorHAnsi" w:hAnsiTheme="minorHAnsi" w:cs="Segoe UI"/>
          <w:sz w:val="22"/>
          <w:szCs w:val="22"/>
        </w:rPr>
        <w:t>Búrca</w:t>
      </w:r>
      <w:proofErr w:type="spellEnd"/>
      <w:r w:rsidRPr="00F76E04">
        <w:rPr>
          <w:rFonts w:asciiTheme="minorHAnsi" w:hAnsiTheme="minorHAnsi" w:cs="Segoe UI"/>
          <w:sz w:val="22"/>
          <w:szCs w:val="22"/>
        </w:rPr>
        <w:t xml:space="preserve">, G. (2020) </w:t>
      </w:r>
      <w:r w:rsidRPr="00F76E04">
        <w:rPr>
          <w:rStyle w:val="Emphasis"/>
          <w:rFonts w:asciiTheme="minorHAnsi" w:hAnsiTheme="minorHAnsi" w:cs="Segoe UI"/>
          <w:sz w:val="22"/>
          <w:szCs w:val="22"/>
        </w:rPr>
        <w:t>EU Law: Text, Cases and Materials</w:t>
      </w:r>
      <w:r w:rsidRPr="00F76E04">
        <w:rPr>
          <w:rFonts w:asciiTheme="minorHAnsi" w:hAnsiTheme="minorHAnsi" w:cs="Segoe UI"/>
          <w:sz w:val="22"/>
          <w:szCs w:val="22"/>
        </w:rPr>
        <w:t xml:space="preserve">. 7th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Oxford: Oxford University Press.</w:t>
      </w:r>
    </w:p>
    <w:p w14:paraId="04C967C1"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Daniels, K. (2021) </w:t>
      </w:r>
      <w:r w:rsidRPr="00F76E04">
        <w:rPr>
          <w:rStyle w:val="Emphasis"/>
          <w:rFonts w:asciiTheme="minorHAnsi" w:hAnsiTheme="minorHAnsi" w:cs="Segoe UI"/>
          <w:sz w:val="22"/>
          <w:szCs w:val="22"/>
        </w:rPr>
        <w:t>Employment Law for HR and Business Students</w:t>
      </w:r>
      <w:r w:rsidRPr="00F76E04">
        <w:rPr>
          <w:rFonts w:asciiTheme="minorHAnsi" w:hAnsiTheme="minorHAnsi" w:cs="Segoe UI"/>
          <w:sz w:val="22"/>
          <w:szCs w:val="22"/>
        </w:rPr>
        <w:t xml:space="preserve">. 10th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London: Chartered Institute of Personnel and Development.</w:t>
      </w:r>
    </w:p>
    <w:p w14:paraId="3D9E0F16"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Deakin, S. and Morris, G. (2021) </w:t>
      </w:r>
      <w:r w:rsidRPr="00F76E04">
        <w:rPr>
          <w:rStyle w:val="Emphasis"/>
          <w:rFonts w:asciiTheme="minorHAnsi" w:hAnsiTheme="minorHAnsi" w:cs="Segoe UI"/>
          <w:sz w:val="22"/>
          <w:szCs w:val="22"/>
        </w:rPr>
        <w:t>Labour Law</w:t>
      </w:r>
      <w:r w:rsidRPr="00F76E04">
        <w:rPr>
          <w:rFonts w:asciiTheme="minorHAnsi" w:hAnsiTheme="minorHAnsi" w:cs="Segoe UI"/>
          <w:sz w:val="22"/>
          <w:szCs w:val="22"/>
        </w:rPr>
        <w:t xml:space="preserve">. 7th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Oxford: Hart Publishing.</w:t>
      </w:r>
      <w:r w:rsidRPr="00F76E04">
        <w:rPr>
          <w:rFonts w:asciiTheme="minorHAnsi" w:hAnsiTheme="minorHAnsi" w:cs="Segoe UI"/>
          <w:sz w:val="22"/>
          <w:szCs w:val="22"/>
        </w:rPr>
        <w:br/>
        <w:t xml:space="preserve">Deakin, S. and Morris, G. (2023) </w:t>
      </w:r>
      <w:r w:rsidRPr="00F76E04">
        <w:rPr>
          <w:rStyle w:val="Emphasis"/>
          <w:rFonts w:asciiTheme="minorHAnsi" w:hAnsiTheme="minorHAnsi" w:cs="Segoe UI"/>
          <w:sz w:val="22"/>
          <w:szCs w:val="22"/>
        </w:rPr>
        <w:t>Labour Law</w:t>
      </w:r>
      <w:r w:rsidRPr="00F76E04">
        <w:rPr>
          <w:rFonts w:asciiTheme="minorHAnsi" w:hAnsiTheme="minorHAnsi" w:cs="Segoe UI"/>
          <w:sz w:val="22"/>
          <w:szCs w:val="22"/>
        </w:rPr>
        <w:t xml:space="preserve">. 8th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Oxford: Hart Publishing.</w:t>
      </w:r>
    </w:p>
    <w:p w14:paraId="73B58CC4"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lastRenderedPageBreak/>
        <w:t xml:space="preserve">Dentons (2025) </w:t>
      </w:r>
      <w:r w:rsidRPr="00F76E04">
        <w:rPr>
          <w:rStyle w:val="Emphasis"/>
          <w:rFonts w:asciiTheme="minorHAnsi" w:hAnsiTheme="minorHAnsi" w:cs="Segoe UI"/>
          <w:sz w:val="22"/>
          <w:szCs w:val="22"/>
        </w:rPr>
        <w:t>Constructive dismissal guidance</w:t>
      </w:r>
      <w:r w:rsidRPr="00F76E04">
        <w:rPr>
          <w:rFonts w:asciiTheme="minorHAnsi" w:hAnsiTheme="minorHAnsi" w:cs="Segoe UI"/>
          <w:sz w:val="22"/>
          <w:szCs w:val="22"/>
        </w:rPr>
        <w:t>. Available at</w:t>
      </w:r>
      <w:r w:rsidRPr="00F76E04">
        <w:rPr>
          <w:rFonts w:asciiTheme="minorHAnsi" w:hAnsiTheme="minorHAnsi" w:cs="Segoe UI"/>
          <w:color w:val="000000" w:themeColor="text1"/>
          <w:sz w:val="22"/>
          <w:szCs w:val="22"/>
        </w:rPr>
        <w:t xml:space="preserve">: </w:t>
      </w:r>
      <w:hyperlink r:id="rId10" w:history="1">
        <w:r w:rsidRPr="00F76E04">
          <w:rPr>
            <w:rStyle w:val="Hyperlink"/>
            <w:rFonts w:asciiTheme="minorHAnsi" w:hAnsiTheme="minorHAnsi" w:cs="Segoe UI"/>
            <w:color w:val="000000" w:themeColor="text1"/>
            <w:sz w:val="22"/>
            <w:szCs w:val="22"/>
            <w:u w:val="none"/>
          </w:rPr>
          <w:t>https://www.dentons.com</w:t>
        </w:r>
      </w:hyperlink>
      <w:r w:rsidRPr="00F76E04">
        <w:rPr>
          <w:rFonts w:asciiTheme="minorHAnsi" w:hAnsiTheme="minorHAnsi" w:cs="Segoe UI"/>
          <w:sz w:val="22"/>
          <w:szCs w:val="22"/>
        </w:rPr>
        <w:t xml:space="preserve"> (Accessed: </w:t>
      </w:r>
      <w:r>
        <w:rPr>
          <w:rFonts w:asciiTheme="minorHAnsi" w:hAnsiTheme="minorHAnsi" w:cs="Segoe UI"/>
          <w:sz w:val="22"/>
          <w:szCs w:val="22"/>
        </w:rPr>
        <w:t>18 April 2026)</w:t>
      </w:r>
    </w:p>
    <w:p w14:paraId="16E629E0" w14:textId="77777777" w:rsidR="00073371" w:rsidRPr="00F76E04" w:rsidRDefault="00073371" w:rsidP="00073371">
      <w:pPr>
        <w:spacing w:line="240" w:lineRule="auto"/>
        <w:rPr>
          <w:sz w:val="22"/>
          <w:szCs w:val="22"/>
        </w:rPr>
      </w:pPr>
      <w:r w:rsidRPr="00F76E04">
        <w:rPr>
          <w:sz w:val="22"/>
          <w:szCs w:val="22"/>
        </w:rPr>
        <w:t xml:space="preserve">Dentons (2025) </w:t>
      </w:r>
      <w:r w:rsidRPr="00F76E04">
        <w:rPr>
          <w:i/>
          <w:iCs/>
          <w:sz w:val="22"/>
          <w:szCs w:val="22"/>
        </w:rPr>
        <w:t>Developments in constructive dismissal: key lessons from two recent cases</w:t>
      </w:r>
      <w:r w:rsidRPr="00F76E04">
        <w:rPr>
          <w:sz w:val="22"/>
          <w:szCs w:val="22"/>
        </w:rPr>
        <w:t>. Available at: https://www.dentons.com/en/insights/articles/2025/august/7/developments-in-constructive-dismissal-key-lessons-from-two-recent-cases (Accessed: 13 May 2026).</w:t>
      </w:r>
    </w:p>
    <w:p w14:paraId="16E134CB"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Elliott, M. and Thomas, R. (2024) </w:t>
      </w:r>
      <w:r w:rsidRPr="00F76E04">
        <w:rPr>
          <w:rStyle w:val="Emphasis"/>
          <w:rFonts w:asciiTheme="minorHAnsi" w:hAnsiTheme="minorHAnsi" w:cs="Segoe UI"/>
          <w:sz w:val="22"/>
          <w:szCs w:val="22"/>
        </w:rPr>
        <w:t>Public Law</w:t>
      </w:r>
      <w:r w:rsidRPr="00F76E04">
        <w:rPr>
          <w:rFonts w:asciiTheme="minorHAnsi" w:hAnsiTheme="minorHAnsi" w:cs="Segoe UI"/>
          <w:sz w:val="22"/>
          <w:szCs w:val="22"/>
        </w:rPr>
        <w:t xml:space="preserve">. 5th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Oxford: Oxford University Press.</w:t>
      </w:r>
    </w:p>
    <w:p w14:paraId="58B30EFC" w14:textId="77777777" w:rsidR="00073371" w:rsidRPr="00F76E04" w:rsidRDefault="00073371" w:rsidP="00073371">
      <w:pPr>
        <w:spacing w:line="240" w:lineRule="auto"/>
        <w:rPr>
          <w:sz w:val="22"/>
          <w:szCs w:val="22"/>
        </w:rPr>
      </w:pPr>
      <w:r w:rsidRPr="00F76E04">
        <w:rPr>
          <w:sz w:val="22"/>
          <w:szCs w:val="22"/>
        </w:rPr>
        <w:t xml:space="preserve">Emir, A. (2026) </w:t>
      </w:r>
      <w:r w:rsidRPr="00F76E04">
        <w:rPr>
          <w:i/>
          <w:iCs/>
          <w:sz w:val="22"/>
          <w:szCs w:val="22"/>
        </w:rPr>
        <w:t>Selwyn’s Law of Employment</w:t>
      </w:r>
      <w:r w:rsidRPr="00F76E04">
        <w:rPr>
          <w:sz w:val="22"/>
          <w:szCs w:val="22"/>
        </w:rPr>
        <w:t xml:space="preserve">. 23rd </w:t>
      </w:r>
      <w:proofErr w:type="spellStart"/>
      <w:r w:rsidRPr="00F76E04">
        <w:rPr>
          <w:sz w:val="22"/>
          <w:szCs w:val="22"/>
        </w:rPr>
        <w:t>edn</w:t>
      </w:r>
      <w:proofErr w:type="spellEnd"/>
      <w:r w:rsidRPr="00F76E04">
        <w:rPr>
          <w:sz w:val="22"/>
          <w:szCs w:val="22"/>
        </w:rPr>
        <w:t>. Oxford: Oxford University Press.</w:t>
      </w:r>
    </w:p>
    <w:p w14:paraId="6852BF13"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Fredman, S. (2011) </w:t>
      </w:r>
      <w:r w:rsidRPr="00F76E04">
        <w:rPr>
          <w:rStyle w:val="Emphasis"/>
          <w:rFonts w:asciiTheme="minorHAnsi" w:hAnsiTheme="minorHAnsi" w:cs="Segoe UI"/>
          <w:sz w:val="22"/>
          <w:szCs w:val="22"/>
        </w:rPr>
        <w:t>Discrimination Law</w:t>
      </w:r>
      <w:r w:rsidRPr="00F76E04">
        <w:rPr>
          <w:rFonts w:asciiTheme="minorHAnsi" w:hAnsiTheme="minorHAnsi" w:cs="Segoe UI"/>
          <w:sz w:val="22"/>
          <w:szCs w:val="22"/>
        </w:rPr>
        <w:t xml:space="preserve">. 2nd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Oxford: Oxford University Press.</w:t>
      </w:r>
    </w:p>
    <w:p w14:paraId="49791A76"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Freedland, M. et al. (2023) </w:t>
      </w:r>
      <w:r w:rsidRPr="00F76E04">
        <w:rPr>
          <w:rStyle w:val="Emphasis"/>
          <w:rFonts w:asciiTheme="minorHAnsi" w:hAnsiTheme="minorHAnsi" w:cs="Segoe UI"/>
          <w:sz w:val="22"/>
          <w:szCs w:val="22"/>
        </w:rPr>
        <w:t>The Contract of Employment</w:t>
      </w:r>
      <w:r w:rsidRPr="00F76E04">
        <w:rPr>
          <w:rFonts w:asciiTheme="minorHAnsi" w:hAnsiTheme="minorHAnsi" w:cs="Segoe UI"/>
          <w:sz w:val="22"/>
          <w:szCs w:val="22"/>
        </w:rPr>
        <w:t>. Oxford: Oxford University Press.</w:t>
      </w:r>
    </w:p>
    <w:p w14:paraId="45F9038C" w14:textId="77777777" w:rsidR="00073371" w:rsidRPr="00F76E04" w:rsidRDefault="00073371" w:rsidP="00073371">
      <w:pPr>
        <w:spacing w:line="240" w:lineRule="auto"/>
        <w:rPr>
          <w:sz w:val="22"/>
          <w:szCs w:val="22"/>
        </w:rPr>
      </w:pPr>
      <w:r w:rsidRPr="00F76E04">
        <w:rPr>
          <w:sz w:val="22"/>
          <w:szCs w:val="22"/>
        </w:rPr>
        <w:t xml:space="preserve">Freedland, M., Bogg, A., </w:t>
      </w:r>
      <w:proofErr w:type="spellStart"/>
      <w:r w:rsidRPr="00F76E04">
        <w:rPr>
          <w:sz w:val="22"/>
          <w:szCs w:val="22"/>
        </w:rPr>
        <w:t>Countouris</w:t>
      </w:r>
      <w:proofErr w:type="spellEnd"/>
      <w:r w:rsidRPr="00F76E04">
        <w:rPr>
          <w:sz w:val="22"/>
          <w:szCs w:val="22"/>
        </w:rPr>
        <w:t xml:space="preserve">, N., Deakin, S. and Prassl, J. (Year) </w:t>
      </w:r>
      <w:r w:rsidRPr="00F76E04">
        <w:rPr>
          <w:i/>
          <w:iCs/>
          <w:sz w:val="22"/>
          <w:szCs w:val="22"/>
        </w:rPr>
        <w:t>Deakin and Morris’ Labour Law</w:t>
      </w:r>
      <w:r w:rsidRPr="00F76E04">
        <w:rPr>
          <w:sz w:val="22"/>
          <w:szCs w:val="22"/>
        </w:rPr>
        <w:t>. Edition. Oxford: Hart Publishing.</w:t>
      </w:r>
    </w:p>
    <w:p w14:paraId="7D09F429" w14:textId="77777777" w:rsidR="00073371" w:rsidRPr="00F76E04" w:rsidRDefault="00073371" w:rsidP="00073371">
      <w:pPr>
        <w:spacing w:line="240" w:lineRule="auto"/>
        <w:rPr>
          <w:sz w:val="22"/>
          <w:szCs w:val="22"/>
        </w:rPr>
      </w:pPr>
      <w:r w:rsidRPr="00F76E04">
        <w:rPr>
          <w:sz w:val="22"/>
          <w:szCs w:val="22"/>
        </w:rPr>
        <w:t xml:space="preserve">GOV.UK (2026) </w:t>
      </w:r>
      <w:r w:rsidRPr="00F76E04">
        <w:rPr>
          <w:i/>
          <w:iCs/>
          <w:sz w:val="22"/>
          <w:szCs w:val="22"/>
        </w:rPr>
        <w:t xml:space="preserve">Maternity </w:t>
      </w:r>
      <w:proofErr w:type="gramStart"/>
      <w:r w:rsidRPr="00F76E04">
        <w:rPr>
          <w:i/>
          <w:iCs/>
          <w:sz w:val="22"/>
          <w:szCs w:val="22"/>
        </w:rPr>
        <w:t>pay</w:t>
      </w:r>
      <w:proofErr w:type="gramEnd"/>
      <w:r w:rsidRPr="00F76E04">
        <w:rPr>
          <w:i/>
          <w:iCs/>
          <w:sz w:val="22"/>
          <w:szCs w:val="22"/>
        </w:rPr>
        <w:t xml:space="preserve"> and leave: Pay</w:t>
      </w:r>
      <w:r w:rsidRPr="00F76E04">
        <w:rPr>
          <w:sz w:val="22"/>
          <w:szCs w:val="22"/>
        </w:rPr>
        <w:t>. Available at: https://www.gov.uk/maternity-pay-leave/pay (Accessed: 14 May 2026).</w:t>
      </w:r>
    </w:p>
    <w:p w14:paraId="01E8D517"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Hepple, B. (2014) </w:t>
      </w:r>
      <w:r w:rsidRPr="00F76E04">
        <w:rPr>
          <w:rStyle w:val="Emphasis"/>
          <w:rFonts w:asciiTheme="minorHAnsi" w:hAnsiTheme="minorHAnsi" w:cs="Segoe UI"/>
          <w:sz w:val="22"/>
          <w:szCs w:val="22"/>
        </w:rPr>
        <w:t>Equality: The New Legal Framework</w:t>
      </w:r>
      <w:r w:rsidRPr="00F76E04">
        <w:rPr>
          <w:rFonts w:asciiTheme="minorHAnsi" w:hAnsiTheme="minorHAnsi" w:cs="Segoe UI"/>
          <w:sz w:val="22"/>
          <w:szCs w:val="22"/>
        </w:rPr>
        <w:t>. Oxford: Hart Publishing.</w:t>
      </w:r>
    </w:p>
    <w:p w14:paraId="5C438123" w14:textId="77777777" w:rsidR="00073371" w:rsidRPr="00F76E04" w:rsidRDefault="00073371" w:rsidP="00073371">
      <w:pPr>
        <w:spacing w:line="240" w:lineRule="auto"/>
        <w:rPr>
          <w:sz w:val="22"/>
          <w:szCs w:val="22"/>
        </w:rPr>
      </w:pPr>
      <w:r w:rsidRPr="00F76E04">
        <w:rPr>
          <w:sz w:val="22"/>
          <w:szCs w:val="22"/>
        </w:rPr>
        <w:t xml:space="preserve">Honeyball, S. and Bowers, J. (2022) </w:t>
      </w:r>
      <w:r w:rsidRPr="00F76E04">
        <w:rPr>
          <w:i/>
          <w:iCs/>
          <w:sz w:val="22"/>
          <w:szCs w:val="22"/>
        </w:rPr>
        <w:t>Textbook on Employment Law</w:t>
      </w:r>
      <w:r w:rsidRPr="00F76E04">
        <w:rPr>
          <w:sz w:val="22"/>
          <w:szCs w:val="22"/>
        </w:rPr>
        <w:t xml:space="preserve">. 13th </w:t>
      </w:r>
      <w:proofErr w:type="spellStart"/>
      <w:r w:rsidRPr="00F76E04">
        <w:rPr>
          <w:sz w:val="22"/>
          <w:szCs w:val="22"/>
        </w:rPr>
        <w:t>edn</w:t>
      </w:r>
      <w:proofErr w:type="spellEnd"/>
      <w:r w:rsidRPr="00F76E04">
        <w:rPr>
          <w:sz w:val="22"/>
          <w:szCs w:val="22"/>
        </w:rPr>
        <w:t>. Oxford: Oxford University Press.</w:t>
      </w:r>
    </w:p>
    <w:p w14:paraId="24BDF4E2" w14:textId="77777777" w:rsidR="00073371" w:rsidRPr="00F76E04" w:rsidRDefault="00073371" w:rsidP="00073371">
      <w:pPr>
        <w:spacing w:line="240" w:lineRule="auto"/>
        <w:rPr>
          <w:sz w:val="22"/>
          <w:szCs w:val="22"/>
        </w:rPr>
      </w:pPr>
      <w:r w:rsidRPr="00F76E04">
        <w:rPr>
          <w:sz w:val="22"/>
          <w:szCs w:val="22"/>
        </w:rPr>
        <w:t xml:space="preserve">IDS (2024) </w:t>
      </w:r>
      <w:r w:rsidRPr="00F76E04">
        <w:rPr>
          <w:i/>
          <w:iCs/>
          <w:sz w:val="22"/>
          <w:szCs w:val="22"/>
        </w:rPr>
        <w:t>IDS Handbook: Contracts of Employment</w:t>
      </w:r>
      <w:r w:rsidRPr="00F76E04">
        <w:rPr>
          <w:sz w:val="22"/>
          <w:szCs w:val="22"/>
        </w:rPr>
        <w:t>. London: Sweet &amp; Maxwell.</w:t>
      </w:r>
    </w:p>
    <w:p w14:paraId="2668526D"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IDS (2024) </w:t>
      </w:r>
      <w:r w:rsidRPr="00F76E04">
        <w:rPr>
          <w:rStyle w:val="Emphasis"/>
          <w:rFonts w:asciiTheme="minorHAnsi" w:hAnsiTheme="minorHAnsi" w:cs="Segoe UI"/>
          <w:sz w:val="22"/>
          <w:szCs w:val="22"/>
        </w:rPr>
        <w:t>Working time and flexibility guidance</w:t>
      </w:r>
      <w:r w:rsidRPr="00F76E04">
        <w:rPr>
          <w:rFonts w:asciiTheme="minorHAnsi" w:hAnsiTheme="minorHAnsi" w:cs="Segoe UI"/>
          <w:sz w:val="22"/>
          <w:szCs w:val="22"/>
        </w:rPr>
        <w:t>. London: Incomes Data Services.</w:t>
      </w:r>
      <w:r w:rsidRPr="00F76E04">
        <w:rPr>
          <w:rFonts w:asciiTheme="minorHAnsi" w:hAnsiTheme="minorHAnsi" w:cs="Segoe UI"/>
          <w:sz w:val="22"/>
          <w:szCs w:val="22"/>
        </w:rPr>
        <w:br/>
        <w:t xml:space="preserve">IDS (2025) </w:t>
      </w:r>
      <w:r w:rsidRPr="00F76E04">
        <w:rPr>
          <w:rStyle w:val="Emphasis"/>
          <w:rFonts w:asciiTheme="minorHAnsi" w:hAnsiTheme="minorHAnsi" w:cs="Segoe UI"/>
          <w:sz w:val="22"/>
          <w:szCs w:val="22"/>
        </w:rPr>
        <w:t>TUPE and employee consultation</w:t>
      </w:r>
      <w:r w:rsidRPr="00F76E04">
        <w:rPr>
          <w:rFonts w:asciiTheme="minorHAnsi" w:hAnsiTheme="minorHAnsi" w:cs="Segoe UI"/>
          <w:sz w:val="22"/>
          <w:szCs w:val="22"/>
        </w:rPr>
        <w:t>. London: Incomes Data Services.</w:t>
      </w:r>
    </w:p>
    <w:p w14:paraId="0B2EEEA7"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Kersley, B. et al. (2013) </w:t>
      </w:r>
      <w:r w:rsidRPr="00F76E04">
        <w:rPr>
          <w:rStyle w:val="Emphasis"/>
          <w:rFonts w:asciiTheme="minorHAnsi" w:hAnsiTheme="minorHAnsi" w:cs="Segoe UI"/>
          <w:sz w:val="22"/>
          <w:szCs w:val="22"/>
        </w:rPr>
        <w:t>Inside the Workplace: Findings from the 2011 Workplace Employment Relations Study</w:t>
      </w:r>
      <w:r w:rsidRPr="00F76E04">
        <w:rPr>
          <w:rFonts w:asciiTheme="minorHAnsi" w:hAnsiTheme="minorHAnsi" w:cs="Segoe UI"/>
          <w:sz w:val="22"/>
          <w:szCs w:val="22"/>
        </w:rPr>
        <w:t>. London: Routledge.</w:t>
      </w:r>
    </w:p>
    <w:p w14:paraId="228621FC" w14:textId="77777777" w:rsidR="00073371" w:rsidRPr="00F76E04" w:rsidRDefault="00073371" w:rsidP="00073371">
      <w:pPr>
        <w:spacing w:line="240" w:lineRule="auto"/>
        <w:rPr>
          <w:sz w:val="22"/>
          <w:szCs w:val="22"/>
        </w:rPr>
      </w:pPr>
      <w:r w:rsidRPr="00F76E04">
        <w:rPr>
          <w:sz w:val="22"/>
          <w:szCs w:val="22"/>
        </w:rPr>
        <w:t xml:space="preserve">Lewis, D. and Sargeant, M. (2023) </w:t>
      </w:r>
      <w:r w:rsidRPr="00F76E04">
        <w:rPr>
          <w:i/>
          <w:iCs/>
          <w:sz w:val="22"/>
          <w:szCs w:val="22"/>
        </w:rPr>
        <w:t>Employment Law: An Introduction</w:t>
      </w:r>
      <w:r w:rsidRPr="00F76E04">
        <w:rPr>
          <w:sz w:val="22"/>
          <w:szCs w:val="22"/>
        </w:rPr>
        <w:t>. Harlow: Pearson.</w:t>
      </w:r>
    </w:p>
    <w:p w14:paraId="0ED2858F"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Lewis, J. and Sargeant, M. (2023) </w:t>
      </w:r>
      <w:r w:rsidRPr="00F76E04">
        <w:rPr>
          <w:rStyle w:val="Emphasis"/>
          <w:rFonts w:asciiTheme="minorHAnsi" w:hAnsiTheme="minorHAnsi" w:cs="Segoe UI"/>
          <w:sz w:val="22"/>
          <w:szCs w:val="22"/>
        </w:rPr>
        <w:t>Essentials of Employment Law</w:t>
      </w:r>
      <w:r w:rsidRPr="00F76E04">
        <w:rPr>
          <w:rFonts w:asciiTheme="minorHAnsi" w:hAnsiTheme="minorHAnsi" w:cs="Segoe UI"/>
          <w:sz w:val="22"/>
          <w:szCs w:val="22"/>
        </w:rPr>
        <w:t>. London: CIPD.</w:t>
      </w:r>
    </w:p>
    <w:p w14:paraId="3D5A7D97"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McColgan, A. (2014) </w:t>
      </w:r>
      <w:r w:rsidRPr="00F76E04">
        <w:rPr>
          <w:rStyle w:val="Emphasis"/>
          <w:rFonts w:asciiTheme="minorHAnsi" w:hAnsiTheme="minorHAnsi" w:cs="Segoe UI"/>
          <w:sz w:val="22"/>
          <w:szCs w:val="22"/>
        </w:rPr>
        <w:t>Discrimination, Equality and the Law</w:t>
      </w:r>
      <w:r w:rsidRPr="00F76E04">
        <w:rPr>
          <w:rFonts w:asciiTheme="minorHAnsi" w:hAnsiTheme="minorHAnsi" w:cs="Segoe UI"/>
          <w:sz w:val="22"/>
          <w:szCs w:val="22"/>
        </w:rPr>
        <w:t>. Oxford: Hart Publishing.</w:t>
      </w:r>
    </w:p>
    <w:p w14:paraId="5390DE00" w14:textId="77777777" w:rsidR="00073371" w:rsidRPr="00F76E04" w:rsidRDefault="00073371" w:rsidP="00073371">
      <w:pPr>
        <w:spacing w:line="240" w:lineRule="auto"/>
        <w:rPr>
          <w:sz w:val="22"/>
          <w:szCs w:val="22"/>
        </w:rPr>
      </w:pPr>
      <w:r w:rsidRPr="00F76E04">
        <w:rPr>
          <w:sz w:val="22"/>
          <w:szCs w:val="22"/>
        </w:rPr>
        <w:t xml:space="preserve">McMullen, J. and Bowers, J. (2023) </w:t>
      </w:r>
      <w:r w:rsidRPr="00F76E04">
        <w:rPr>
          <w:i/>
          <w:iCs/>
          <w:sz w:val="22"/>
          <w:szCs w:val="22"/>
        </w:rPr>
        <w:t>Bowers on Employment Law</w:t>
      </w:r>
      <w:r w:rsidRPr="00F76E04">
        <w:rPr>
          <w:sz w:val="22"/>
          <w:szCs w:val="22"/>
        </w:rPr>
        <w:t xml:space="preserve">. 15th </w:t>
      </w:r>
      <w:proofErr w:type="spellStart"/>
      <w:r w:rsidRPr="00F76E04">
        <w:rPr>
          <w:sz w:val="22"/>
          <w:szCs w:val="22"/>
        </w:rPr>
        <w:t>edn</w:t>
      </w:r>
      <w:proofErr w:type="spellEnd"/>
      <w:r w:rsidRPr="00F76E04">
        <w:rPr>
          <w:sz w:val="22"/>
          <w:szCs w:val="22"/>
        </w:rPr>
        <w:t>. Oxford: Oxford University Press.</w:t>
      </w:r>
    </w:p>
    <w:p w14:paraId="77A17F29" w14:textId="77777777" w:rsidR="00073371" w:rsidRPr="00F76E04" w:rsidRDefault="00073371" w:rsidP="00073371">
      <w:pPr>
        <w:spacing w:line="240" w:lineRule="auto"/>
        <w:rPr>
          <w:sz w:val="22"/>
          <w:szCs w:val="22"/>
        </w:rPr>
      </w:pPr>
      <w:r w:rsidRPr="00F76E04">
        <w:rPr>
          <w:sz w:val="22"/>
          <w:szCs w:val="22"/>
        </w:rPr>
        <w:t xml:space="preserve">Moffatt, D. (2020) </w:t>
      </w:r>
      <w:r w:rsidRPr="00F76E04">
        <w:rPr>
          <w:i/>
          <w:iCs/>
          <w:sz w:val="22"/>
          <w:szCs w:val="22"/>
        </w:rPr>
        <w:t>Employment Law for Human Resource Practice</w:t>
      </w:r>
      <w:r w:rsidRPr="00F76E04">
        <w:rPr>
          <w:sz w:val="22"/>
          <w:szCs w:val="22"/>
        </w:rPr>
        <w:t>. Edition. London: Kogan Page.</w:t>
      </w:r>
    </w:p>
    <w:p w14:paraId="09984DF2"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Moffatt, J. (2020) </w:t>
      </w:r>
      <w:r w:rsidRPr="00F76E04">
        <w:rPr>
          <w:rStyle w:val="Emphasis"/>
          <w:rFonts w:asciiTheme="minorHAnsi" w:hAnsiTheme="minorHAnsi" w:cs="Segoe UI"/>
          <w:sz w:val="22"/>
          <w:szCs w:val="22"/>
        </w:rPr>
        <w:t>Employment Law</w:t>
      </w:r>
      <w:r w:rsidRPr="00F76E04">
        <w:rPr>
          <w:rFonts w:asciiTheme="minorHAnsi" w:hAnsiTheme="minorHAnsi" w:cs="Segoe UI"/>
          <w:sz w:val="22"/>
          <w:szCs w:val="22"/>
        </w:rPr>
        <w:t>. Oxford: Oxford University Press.</w:t>
      </w:r>
    </w:p>
    <w:p w14:paraId="32F2EEBE"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Pitt, G. (2021) </w:t>
      </w:r>
      <w:r w:rsidRPr="00F76E04">
        <w:rPr>
          <w:rStyle w:val="Emphasis"/>
          <w:rFonts w:asciiTheme="minorHAnsi" w:hAnsiTheme="minorHAnsi" w:cs="Segoe UI"/>
          <w:sz w:val="22"/>
          <w:szCs w:val="22"/>
        </w:rPr>
        <w:t>Employment Law</w:t>
      </w:r>
      <w:r w:rsidRPr="00F76E04">
        <w:rPr>
          <w:rFonts w:asciiTheme="minorHAnsi" w:hAnsiTheme="minorHAnsi" w:cs="Segoe UI"/>
          <w:sz w:val="22"/>
          <w:szCs w:val="22"/>
        </w:rPr>
        <w:t xml:space="preserve">. 11th </w:t>
      </w:r>
      <w:proofErr w:type="spellStart"/>
      <w:r w:rsidRPr="00F76E04">
        <w:rPr>
          <w:rFonts w:asciiTheme="minorHAnsi" w:hAnsiTheme="minorHAnsi" w:cs="Segoe UI"/>
          <w:sz w:val="22"/>
          <w:szCs w:val="22"/>
        </w:rPr>
        <w:t>edn</w:t>
      </w:r>
      <w:proofErr w:type="spellEnd"/>
      <w:r w:rsidRPr="00F76E04">
        <w:rPr>
          <w:rFonts w:asciiTheme="minorHAnsi" w:hAnsiTheme="minorHAnsi" w:cs="Segoe UI"/>
          <w:sz w:val="22"/>
          <w:szCs w:val="22"/>
        </w:rPr>
        <w:t>. London: Sweet &amp; Maxwell.</w:t>
      </w:r>
      <w:r w:rsidRPr="00F76E04">
        <w:rPr>
          <w:rFonts w:asciiTheme="minorHAnsi" w:hAnsiTheme="minorHAnsi" w:cs="Segoe UI"/>
          <w:sz w:val="22"/>
          <w:szCs w:val="22"/>
        </w:rPr>
        <w:br/>
        <w:t xml:space="preserve">Pitt, G. (2022) </w:t>
      </w:r>
      <w:r w:rsidRPr="00F76E04">
        <w:rPr>
          <w:rStyle w:val="Emphasis"/>
          <w:rFonts w:asciiTheme="minorHAnsi" w:hAnsiTheme="minorHAnsi" w:cs="Segoe UI"/>
          <w:sz w:val="22"/>
          <w:szCs w:val="22"/>
        </w:rPr>
        <w:t>Cases and Materials on Employment Law</w:t>
      </w:r>
      <w:r w:rsidRPr="00F76E04">
        <w:rPr>
          <w:rFonts w:asciiTheme="minorHAnsi" w:hAnsiTheme="minorHAnsi" w:cs="Segoe UI"/>
          <w:sz w:val="22"/>
          <w:szCs w:val="22"/>
        </w:rPr>
        <w:t>. London: Sweet &amp; Maxwell.</w:t>
      </w:r>
    </w:p>
    <w:p w14:paraId="2CBDC0D9"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Rubery, J. and Grimshaw, D. (2011) </w:t>
      </w:r>
      <w:r w:rsidRPr="00F76E04">
        <w:rPr>
          <w:rStyle w:val="Emphasis"/>
          <w:rFonts w:asciiTheme="minorHAnsi" w:hAnsiTheme="minorHAnsi" w:cs="Segoe UI"/>
          <w:sz w:val="22"/>
          <w:szCs w:val="22"/>
        </w:rPr>
        <w:t>The Organisation of Employment</w:t>
      </w:r>
      <w:r w:rsidRPr="00F76E04">
        <w:rPr>
          <w:rFonts w:asciiTheme="minorHAnsi" w:hAnsiTheme="minorHAnsi" w:cs="Segoe UI"/>
          <w:sz w:val="22"/>
          <w:szCs w:val="22"/>
        </w:rPr>
        <w:t>. Basingstoke: Palgrave Macmillan.</w:t>
      </w:r>
    </w:p>
    <w:p w14:paraId="069C05CC"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Smith, I. and Baker, A. (2023) </w:t>
      </w:r>
      <w:r w:rsidRPr="00F76E04">
        <w:rPr>
          <w:rStyle w:val="Emphasis"/>
          <w:rFonts w:asciiTheme="minorHAnsi" w:hAnsiTheme="minorHAnsi" w:cs="Segoe UI"/>
          <w:sz w:val="22"/>
          <w:szCs w:val="22"/>
        </w:rPr>
        <w:t>Smith &amp; Wood’s Employment Law</w:t>
      </w:r>
      <w:r w:rsidRPr="00F76E04">
        <w:rPr>
          <w:rFonts w:asciiTheme="minorHAnsi" w:hAnsiTheme="minorHAnsi" w:cs="Segoe UI"/>
          <w:sz w:val="22"/>
          <w:szCs w:val="22"/>
        </w:rPr>
        <w:t>. Oxford: Oxford University Press.</w:t>
      </w:r>
    </w:p>
    <w:p w14:paraId="2A972918" w14:textId="77777777" w:rsidR="00073371" w:rsidRPr="00F76E04" w:rsidRDefault="00073371" w:rsidP="00073371">
      <w:pPr>
        <w:spacing w:line="240" w:lineRule="auto"/>
        <w:rPr>
          <w:sz w:val="22"/>
          <w:szCs w:val="22"/>
        </w:rPr>
      </w:pPr>
      <w:r w:rsidRPr="00F76E04">
        <w:rPr>
          <w:sz w:val="22"/>
          <w:szCs w:val="22"/>
        </w:rPr>
        <w:t xml:space="preserve">Taylor, S. and Chandler, P. (Year) </w:t>
      </w:r>
      <w:r w:rsidRPr="00F76E04">
        <w:rPr>
          <w:i/>
          <w:iCs/>
          <w:sz w:val="22"/>
          <w:szCs w:val="22"/>
        </w:rPr>
        <w:t>Employment Law</w:t>
      </w:r>
      <w:r w:rsidRPr="00F76E04">
        <w:rPr>
          <w:sz w:val="22"/>
          <w:szCs w:val="22"/>
        </w:rPr>
        <w:t>. Edition. Harlow: Pearson.</w:t>
      </w:r>
    </w:p>
    <w:p w14:paraId="04104A39" w14:textId="77777777" w:rsidR="00073371" w:rsidRPr="00F76E04"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Tolley’s (2024) </w:t>
      </w:r>
      <w:r w:rsidRPr="00F76E04">
        <w:rPr>
          <w:rStyle w:val="Emphasis"/>
          <w:rFonts w:asciiTheme="minorHAnsi" w:hAnsiTheme="minorHAnsi" w:cs="Segoe UI"/>
          <w:sz w:val="22"/>
          <w:szCs w:val="22"/>
        </w:rPr>
        <w:t>Employment Law Handbook</w:t>
      </w:r>
      <w:r w:rsidRPr="00F76E04">
        <w:rPr>
          <w:rFonts w:asciiTheme="minorHAnsi" w:hAnsiTheme="minorHAnsi" w:cs="Segoe UI"/>
          <w:sz w:val="22"/>
          <w:szCs w:val="22"/>
        </w:rPr>
        <w:t>. London: LexisNexis.</w:t>
      </w:r>
    </w:p>
    <w:p w14:paraId="7FFC31A3" w14:textId="77777777" w:rsidR="00073371" w:rsidRPr="00F76E04" w:rsidRDefault="00073371" w:rsidP="00073371">
      <w:pPr>
        <w:spacing w:line="240" w:lineRule="auto"/>
        <w:rPr>
          <w:sz w:val="22"/>
          <w:szCs w:val="22"/>
        </w:rPr>
      </w:pPr>
      <w:r w:rsidRPr="00F76E04">
        <w:rPr>
          <w:sz w:val="22"/>
          <w:szCs w:val="22"/>
        </w:rPr>
        <w:t>Trades Union Congress (TUC) (2025) Under what circumstances can my employer refuse my request for flexible working? Available at: https://www.tuc.org.uk/guidance/under-what-</w:t>
      </w:r>
      <w:r w:rsidRPr="00F76E04">
        <w:rPr>
          <w:sz w:val="22"/>
          <w:szCs w:val="22"/>
        </w:rPr>
        <w:lastRenderedPageBreak/>
        <w:t>circumstances-can-my-employer-refuse-my-request-flexible-working (Accessed: 14 April 2026).</w:t>
      </w:r>
    </w:p>
    <w:p w14:paraId="09093E9E" w14:textId="77777777" w:rsidR="00073371" w:rsidRDefault="00073371" w:rsidP="00073371">
      <w:pPr>
        <w:pStyle w:val="NormalWeb"/>
        <w:spacing w:line="240" w:lineRule="auto"/>
        <w:rPr>
          <w:rFonts w:asciiTheme="minorHAnsi" w:hAnsiTheme="minorHAnsi" w:cs="Segoe UI"/>
          <w:sz w:val="22"/>
          <w:szCs w:val="22"/>
        </w:rPr>
      </w:pPr>
      <w:r w:rsidRPr="00F76E04">
        <w:rPr>
          <w:rFonts w:asciiTheme="minorHAnsi" w:hAnsiTheme="minorHAnsi" w:cs="Segoe UI"/>
          <w:sz w:val="22"/>
          <w:szCs w:val="22"/>
        </w:rPr>
        <w:t xml:space="preserve">TUC (2025) </w:t>
      </w:r>
      <w:r w:rsidRPr="00F76E04">
        <w:rPr>
          <w:rStyle w:val="Emphasis"/>
          <w:rFonts w:asciiTheme="minorHAnsi" w:hAnsiTheme="minorHAnsi" w:cs="Segoe UI"/>
          <w:sz w:val="22"/>
          <w:szCs w:val="22"/>
        </w:rPr>
        <w:t>Flexible working and employee rights</w:t>
      </w:r>
      <w:r w:rsidRPr="00F76E04">
        <w:rPr>
          <w:rFonts w:asciiTheme="minorHAnsi" w:hAnsiTheme="minorHAnsi" w:cs="Segoe UI"/>
          <w:sz w:val="22"/>
          <w:szCs w:val="22"/>
        </w:rPr>
        <w:t>. Available at</w:t>
      </w:r>
      <w:r w:rsidRPr="00F76E04">
        <w:rPr>
          <w:rFonts w:asciiTheme="minorHAnsi" w:hAnsiTheme="minorHAnsi" w:cs="Segoe UI"/>
          <w:color w:val="000000" w:themeColor="text1"/>
          <w:sz w:val="22"/>
          <w:szCs w:val="22"/>
        </w:rPr>
        <w:t xml:space="preserve">: </w:t>
      </w:r>
      <w:hyperlink r:id="rId11" w:history="1">
        <w:r w:rsidRPr="00F76E04">
          <w:rPr>
            <w:rStyle w:val="Hyperlink"/>
            <w:rFonts w:asciiTheme="minorHAnsi" w:hAnsiTheme="minorHAnsi" w:cs="Segoe UI"/>
            <w:color w:val="000000" w:themeColor="text1"/>
            <w:sz w:val="22"/>
            <w:szCs w:val="22"/>
            <w:u w:val="none"/>
          </w:rPr>
          <w:t>https://www.tuc.org.uk</w:t>
        </w:r>
      </w:hyperlink>
      <w:r w:rsidRPr="00F76E04">
        <w:rPr>
          <w:rFonts w:asciiTheme="minorHAnsi" w:hAnsiTheme="minorHAnsi" w:cs="Segoe UI"/>
          <w:sz w:val="22"/>
          <w:szCs w:val="22"/>
        </w:rPr>
        <w:t xml:space="preserve"> (Accessed: 5 May 2026)</w:t>
      </w:r>
    </w:p>
    <w:p w14:paraId="0EC3049B" w14:textId="77777777" w:rsidR="00073371" w:rsidRPr="00F76E04" w:rsidRDefault="00073371" w:rsidP="00073371">
      <w:pPr>
        <w:pStyle w:val="NormalWeb"/>
        <w:spacing w:line="240" w:lineRule="auto"/>
        <w:rPr>
          <w:rFonts w:asciiTheme="minorHAnsi" w:hAnsiTheme="minorHAnsi" w:cs="Segoe UI"/>
          <w:sz w:val="22"/>
          <w:szCs w:val="22"/>
        </w:rPr>
      </w:pPr>
    </w:p>
    <w:p w14:paraId="0A318535" w14:textId="77777777" w:rsidR="00073371" w:rsidRPr="00073371" w:rsidRDefault="00073371" w:rsidP="00073371">
      <w:pPr>
        <w:spacing w:after="0" w:line="300" w:lineRule="atLeast"/>
        <w:rPr>
          <w:rFonts w:ascii="Segoe UI" w:eastAsia="Times New Roman" w:hAnsi="Segoe UI" w:cs="Segoe UI"/>
          <w:b/>
          <w:bCs/>
          <w:kern w:val="0"/>
          <w:sz w:val="21"/>
          <w:szCs w:val="21"/>
          <w:u w:val="single"/>
          <w:lang w:eastAsia="en-GB"/>
          <w14:ligatures w14:val="none"/>
        </w:rPr>
      </w:pPr>
      <w:r w:rsidRPr="00073371">
        <w:rPr>
          <w:rFonts w:ascii="Segoe UI" w:eastAsia="Times New Roman" w:hAnsi="Segoe UI" w:cs="Segoe UI"/>
          <w:b/>
          <w:bCs/>
          <w:kern w:val="0"/>
          <w:sz w:val="21"/>
          <w:szCs w:val="21"/>
          <w:u w:val="single"/>
          <w:lang w:eastAsia="en-GB"/>
          <w14:ligatures w14:val="none"/>
        </w:rPr>
        <w:t>Bibliography:</w:t>
      </w:r>
    </w:p>
    <w:p w14:paraId="28D005B1" w14:textId="77777777" w:rsidR="00073371" w:rsidRDefault="00073371" w:rsidP="00073371">
      <w:pPr>
        <w:spacing w:after="0" w:line="300" w:lineRule="atLeast"/>
        <w:rPr>
          <w:rFonts w:ascii="Segoe UI" w:eastAsia="Times New Roman" w:hAnsi="Segoe UI" w:cs="Segoe UI"/>
          <w:kern w:val="0"/>
          <w:sz w:val="21"/>
          <w:szCs w:val="21"/>
          <w:lang w:eastAsia="en-GB"/>
          <w14:ligatures w14:val="none"/>
        </w:rPr>
      </w:pPr>
    </w:p>
    <w:p w14:paraId="1FFF49C4" w14:textId="77777777" w:rsidR="00073371" w:rsidRPr="00624D9E" w:rsidRDefault="00073371" w:rsidP="00073371">
      <w:pPr>
        <w:spacing w:after="0" w:line="300" w:lineRule="atLeast"/>
        <w:rPr>
          <w:rFonts w:eastAsia="Times New Roman" w:cs="Segoe UI"/>
          <w:kern w:val="0"/>
          <w:lang w:eastAsia="en-GB"/>
          <w14:ligatures w14:val="none"/>
        </w:rPr>
      </w:pPr>
    </w:p>
    <w:p w14:paraId="1FBD9BF4" w14:textId="77777777" w:rsidR="00073371" w:rsidRPr="00624D9E" w:rsidRDefault="00073371" w:rsidP="00073371">
      <w:r w:rsidRPr="00624D9E">
        <w:t xml:space="preserve">Beardwell, J. and Thompson, A. (2023) </w:t>
      </w:r>
      <w:r w:rsidRPr="00624D9E">
        <w:rPr>
          <w:i/>
          <w:iCs/>
        </w:rPr>
        <w:t>Human Resource Management: A Contemporary Approach</w:t>
      </w:r>
      <w:r w:rsidRPr="00624D9E">
        <w:t xml:space="preserve">. 9th </w:t>
      </w:r>
      <w:proofErr w:type="spellStart"/>
      <w:r w:rsidRPr="00624D9E">
        <w:t>edn</w:t>
      </w:r>
      <w:proofErr w:type="spellEnd"/>
      <w:r w:rsidRPr="00624D9E">
        <w:t>. London: Pearson.</w:t>
      </w:r>
    </w:p>
    <w:p w14:paraId="48149883" w14:textId="77777777" w:rsidR="00073371" w:rsidRPr="00624D9E" w:rsidRDefault="00073371" w:rsidP="00073371">
      <w:r w:rsidRPr="00624D9E">
        <w:t xml:space="preserve">Bogg, A. et al. (2016) </w:t>
      </w:r>
      <w:r w:rsidRPr="00624D9E">
        <w:rPr>
          <w:i/>
          <w:iCs/>
        </w:rPr>
        <w:t>The Contract of Employment</w:t>
      </w:r>
      <w:r w:rsidRPr="00624D9E">
        <w:t>. Oxford: Oxford University Press.</w:t>
      </w:r>
    </w:p>
    <w:p w14:paraId="592BAE42" w14:textId="77777777" w:rsidR="00073371" w:rsidRDefault="00073371" w:rsidP="00073371">
      <w:pPr>
        <w:spacing w:after="0" w:line="300" w:lineRule="atLeast"/>
        <w:rPr>
          <w:rFonts w:eastAsia="Times New Roman" w:cs="Segoe UI"/>
          <w:kern w:val="0"/>
          <w:lang w:eastAsia="en-GB"/>
          <w14:ligatures w14:val="none"/>
        </w:rPr>
      </w:pPr>
      <w:r w:rsidRPr="00624D9E">
        <w:rPr>
          <w:rFonts w:eastAsia="Times New Roman" w:cs="Segoe UI"/>
          <w:kern w:val="0"/>
          <w:lang w:eastAsia="en-GB"/>
          <w14:ligatures w14:val="none"/>
        </w:rPr>
        <w:t xml:space="preserve">Davies, A.C.L. (2024) </w:t>
      </w:r>
      <w:r w:rsidRPr="00624D9E">
        <w:rPr>
          <w:rFonts w:eastAsia="Times New Roman" w:cs="Segoe UI"/>
          <w:i/>
          <w:iCs/>
          <w:kern w:val="0"/>
          <w:lang w:eastAsia="en-GB"/>
          <w14:ligatures w14:val="none"/>
        </w:rPr>
        <w:t>Perspectives on Labour Law</w:t>
      </w:r>
      <w:r w:rsidRPr="00624D9E">
        <w:rPr>
          <w:rFonts w:eastAsia="Times New Roman" w:cs="Segoe UI"/>
          <w:kern w:val="0"/>
          <w:lang w:eastAsia="en-GB"/>
          <w14:ligatures w14:val="none"/>
        </w:rPr>
        <w:t>. Cambridge: Cambridge University Press.</w:t>
      </w:r>
    </w:p>
    <w:p w14:paraId="7BC8FD8E" w14:textId="77777777" w:rsidR="00073371" w:rsidRPr="00624D9E" w:rsidRDefault="00073371" w:rsidP="00073371">
      <w:r w:rsidRPr="00624D9E">
        <w:t xml:space="preserve">Fredman, S. (2020) </w:t>
      </w:r>
      <w:r w:rsidRPr="00624D9E">
        <w:rPr>
          <w:i/>
          <w:iCs/>
        </w:rPr>
        <w:t>Comparative Human Rights and Discrimination Law</w:t>
      </w:r>
      <w:r w:rsidRPr="00624D9E">
        <w:t>. Oxford: Oxford University Press.</w:t>
      </w:r>
    </w:p>
    <w:p w14:paraId="68B419C8" w14:textId="77777777" w:rsidR="00073371" w:rsidRPr="00624D9E" w:rsidRDefault="00073371" w:rsidP="00073371">
      <w:r w:rsidRPr="00624D9E">
        <w:t xml:space="preserve">Freedland, M. and </w:t>
      </w:r>
      <w:proofErr w:type="spellStart"/>
      <w:r w:rsidRPr="00624D9E">
        <w:t>Kountouris</w:t>
      </w:r>
      <w:proofErr w:type="spellEnd"/>
      <w:r w:rsidRPr="00624D9E">
        <w:t xml:space="preserve">, N. (2011) </w:t>
      </w:r>
      <w:r w:rsidRPr="00624D9E">
        <w:rPr>
          <w:i/>
          <w:iCs/>
        </w:rPr>
        <w:t>The Legal Construction of Personal Work Relations</w:t>
      </w:r>
      <w:r w:rsidRPr="00624D9E">
        <w:t>. Oxford: Oxford University Press.</w:t>
      </w:r>
    </w:p>
    <w:p w14:paraId="604E0EC2" w14:textId="77777777" w:rsidR="00073371" w:rsidRPr="00624D9E" w:rsidRDefault="00073371" w:rsidP="00073371">
      <w:r w:rsidRPr="00624D9E">
        <w:t xml:space="preserve">Marchington, M. et al. (2021) </w:t>
      </w:r>
      <w:r w:rsidRPr="00624D9E">
        <w:rPr>
          <w:i/>
          <w:iCs/>
        </w:rPr>
        <w:t>Human Resource Management at Work</w:t>
      </w:r>
      <w:r w:rsidRPr="00624D9E">
        <w:t xml:space="preserve">. 8th </w:t>
      </w:r>
      <w:proofErr w:type="spellStart"/>
      <w:r w:rsidRPr="00624D9E">
        <w:t>edn</w:t>
      </w:r>
      <w:proofErr w:type="spellEnd"/>
      <w:r w:rsidRPr="00624D9E">
        <w:t>. London: CIPD.</w:t>
      </w:r>
    </w:p>
    <w:p w14:paraId="2D99010B" w14:textId="77777777" w:rsidR="00073371" w:rsidRPr="00624D9E" w:rsidRDefault="00073371" w:rsidP="00073371">
      <w:r w:rsidRPr="00624D9E">
        <w:t xml:space="preserve">Purcell, J. and Hall, M. (2014) </w:t>
      </w:r>
      <w:r w:rsidRPr="00624D9E">
        <w:rPr>
          <w:i/>
          <w:iCs/>
        </w:rPr>
        <w:t>The Changing Face of Employee Relations</w:t>
      </w:r>
      <w:r w:rsidRPr="00624D9E">
        <w:t>. London: Routledge.</w:t>
      </w:r>
    </w:p>
    <w:p w14:paraId="61C9D14B" w14:textId="77777777" w:rsidR="00073371" w:rsidRPr="00624D9E" w:rsidRDefault="00073371" w:rsidP="00073371">
      <w:r w:rsidRPr="00624D9E">
        <w:t xml:space="preserve">Slater, M. (2021) </w:t>
      </w:r>
      <w:r w:rsidRPr="00624D9E">
        <w:rPr>
          <w:i/>
          <w:iCs/>
        </w:rPr>
        <w:t>Employment Tribunals Handbook</w:t>
      </w:r>
      <w:r w:rsidRPr="00624D9E">
        <w:t>. London: Bloomsbury.</w:t>
      </w:r>
    </w:p>
    <w:p w14:paraId="166F2355" w14:textId="77777777" w:rsidR="00073371" w:rsidRPr="00624D9E" w:rsidRDefault="00073371" w:rsidP="00073371">
      <w:r w:rsidRPr="00624D9E">
        <w:t xml:space="preserve">Waddington, L. and Bell, M. (2020) </w:t>
      </w:r>
      <w:r w:rsidRPr="00624D9E">
        <w:rPr>
          <w:i/>
          <w:iCs/>
        </w:rPr>
        <w:t>EU Anti-Discrimination Law and the UK</w:t>
      </w:r>
      <w:r w:rsidRPr="00624D9E">
        <w:t>. Oxford: Oxford University Press.</w:t>
      </w:r>
    </w:p>
    <w:p w14:paraId="5337F57C" w14:textId="77777777" w:rsidR="00073371" w:rsidRDefault="00073371" w:rsidP="0016102E"/>
    <w:p w14:paraId="6C7F5C79" w14:textId="77777777" w:rsidR="00E12C57" w:rsidRDefault="00E12C57" w:rsidP="006E17B5"/>
    <w:p w14:paraId="54139E05" w14:textId="77777777" w:rsidR="00E26C58" w:rsidRDefault="00E26C58" w:rsidP="006010A0"/>
    <w:p w14:paraId="5BA15C88" w14:textId="77777777" w:rsidR="006010A0" w:rsidRDefault="006010A0" w:rsidP="006010A0"/>
    <w:p w14:paraId="2B6BD3CD" w14:textId="77777777" w:rsidR="006010A0" w:rsidRDefault="006010A0" w:rsidP="006010A0"/>
    <w:p w14:paraId="21F5930B" w14:textId="77777777" w:rsidR="006010A0" w:rsidRDefault="006010A0" w:rsidP="006010A0"/>
    <w:p w14:paraId="7529D10E" w14:textId="77777777" w:rsidR="00B325E9" w:rsidRDefault="00B325E9"/>
    <w:sectPr w:rsidR="00B325E9" w:rsidSect="00601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0A0"/>
    <w:rsid w:val="00073371"/>
    <w:rsid w:val="00096F7F"/>
    <w:rsid w:val="00117584"/>
    <w:rsid w:val="00130A69"/>
    <w:rsid w:val="0016102E"/>
    <w:rsid w:val="001834F7"/>
    <w:rsid w:val="001B3289"/>
    <w:rsid w:val="001C7D98"/>
    <w:rsid w:val="001E3355"/>
    <w:rsid w:val="0029068E"/>
    <w:rsid w:val="003517DA"/>
    <w:rsid w:val="0035443C"/>
    <w:rsid w:val="00406167"/>
    <w:rsid w:val="00426567"/>
    <w:rsid w:val="00577A8B"/>
    <w:rsid w:val="005A2031"/>
    <w:rsid w:val="005C4843"/>
    <w:rsid w:val="005F227A"/>
    <w:rsid w:val="006010A0"/>
    <w:rsid w:val="006E17B5"/>
    <w:rsid w:val="00781DF5"/>
    <w:rsid w:val="008A28BB"/>
    <w:rsid w:val="0092523B"/>
    <w:rsid w:val="009768A5"/>
    <w:rsid w:val="009A5E87"/>
    <w:rsid w:val="009D4BC6"/>
    <w:rsid w:val="00A56372"/>
    <w:rsid w:val="00A64E39"/>
    <w:rsid w:val="00A842B1"/>
    <w:rsid w:val="00B325E9"/>
    <w:rsid w:val="00C316FA"/>
    <w:rsid w:val="00C92579"/>
    <w:rsid w:val="00CA2F71"/>
    <w:rsid w:val="00E12C57"/>
    <w:rsid w:val="00E26C58"/>
    <w:rsid w:val="00F557FF"/>
    <w:rsid w:val="00F60FAC"/>
    <w:rsid w:val="0D2CE56C"/>
    <w:rsid w:val="2C82DC7F"/>
    <w:rsid w:val="38CF5CF4"/>
    <w:rsid w:val="3A9816DF"/>
    <w:rsid w:val="3CC3D095"/>
    <w:rsid w:val="3E662015"/>
    <w:rsid w:val="5368E975"/>
    <w:rsid w:val="6E2434E8"/>
    <w:rsid w:val="70700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F6DE3"/>
  <w15:chartTrackingRefBased/>
  <w15:docId w15:val="{36CD2B31-32AE-4371-9AED-0864AF1B2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0A0"/>
  </w:style>
  <w:style w:type="paragraph" w:styleId="Heading1">
    <w:name w:val="heading 1"/>
    <w:basedOn w:val="Normal"/>
    <w:next w:val="Normal"/>
    <w:link w:val="Heading1Char"/>
    <w:uiPriority w:val="9"/>
    <w:qFormat/>
    <w:rsid w:val="00601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0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0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0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0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0A0"/>
    <w:rPr>
      <w:rFonts w:eastAsiaTheme="majorEastAsia" w:cstheme="majorBidi"/>
      <w:color w:val="272727" w:themeColor="text1" w:themeTint="D8"/>
    </w:rPr>
  </w:style>
  <w:style w:type="paragraph" w:styleId="Title">
    <w:name w:val="Title"/>
    <w:basedOn w:val="Normal"/>
    <w:next w:val="Normal"/>
    <w:link w:val="TitleChar"/>
    <w:uiPriority w:val="10"/>
    <w:qFormat/>
    <w:rsid w:val="00601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0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0A0"/>
    <w:pPr>
      <w:spacing w:before="160"/>
      <w:jc w:val="center"/>
    </w:pPr>
    <w:rPr>
      <w:i/>
      <w:iCs/>
      <w:color w:val="404040" w:themeColor="text1" w:themeTint="BF"/>
    </w:rPr>
  </w:style>
  <w:style w:type="character" w:customStyle="1" w:styleId="QuoteChar">
    <w:name w:val="Quote Char"/>
    <w:basedOn w:val="DefaultParagraphFont"/>
    <w:link w:val="Quote"/>
    <w:uiPriority w:val="29"/>
    <w:rsid w:val="006010A0"/>
    <w:rPr>
      <w:i/>
      <w:iCs/>
      <w:color w:val="404040" w:themeColor="text1" w:themeTint="BF"/>
    </w:rPr>
  </w:style>
  <w:style w:type="paragraph" w:styleId="ListParagraph">
    <w:name w:val="List Paragraph"/>
    <w:basedOn w:val="Normal"/>
    <w:uiPriority w:val="34"/>
    <w:qFormat/>
    <w:rsid w:val="006010A0"/>
    <w:pPr>
      <w:ind w:left="720"/>
      <w:contextualSpacing/>
    </w:pPr>
  </w:style>
  <w:style w:type="character" w:styleId="IntenseEmphasis">
    <w:name w:val="Intense Emphasis"/>
    <w:basedOn w:val="DefaultParagraphFont"/>
    <w:uiPriority w:val="21"/>
    <w:qFormat/>
    <w:rsid w:val="006010A0"/>
    <w:rPr>
      <w:i/>
      <w:iCs/>
      <w:color w:val="0F4761" w:themeColor="accent1" w:themeShade="BF"/>
    </w:rPr>
  </w:style>
  <w:style w:type="paragraph" w:styleId="IntenseQuote">
    <w:name w:val="Intense Quote"/>
    <w:basedOn w:val="Normal"/>
    <w:next w:val="Normal"/>
    <w:link w:val="IntenseQuoteChar"/>
    <w:uiPriority w:val="30"/>
    <w:qFormat/>
    <w:rsid w:val="00601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0A0"/>
    <w:rPr>
      <w:i/>
      <w:iCs/>
      <w:color w:val="0F4761" w:themeColor="accent1" w:themeShade="BF"/>
    </w:rPr>
  </w:style>
  <w:style w:type="character" w:styleId="IntenseReference">
    <w:name w:val="Intense Reference"/>
    <w:basedOn w:val="DefaultParagraphFont"/>
    <w:uiPriority w:val="32"/>
    <w:qFormat/>
    <w:rsid w:val="006010A0"/>
    <w:rPr>
      <w:b/>
      <w:bCs/>
      <w:smallCaps/>
      <w:color w:val="0F4761" w:themeColor="accent1" w:themeShade="BF"/>
      <w:spacing w:val="5"/>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92523B"/>
    <w:rPr>
      <w:rFonts w:ascii="Times New Roman" w:hAnsi="Times New Roman" w:cs="Times New Roman"/>
    </w:rPr>
  </w:style>
  <w:style w:type="character" w:styleId="Emphasis">
    <w:name w:val="Emphasis"/>
    <w:basedOn w:val="DefaultParagraphFont"/>
    <w:uiPriority w:val="20"/>
    <w:qFormat/>
    <w:rsid w:val="00073371"/>
    <w:rPr>
      <w:i/>
      <w:iCs/>
    </w:rPr>
  </w:style>
  <w:style w:type="character" w:styleId="Hyperlink">
    <w:name w:val="Hyperlink"/>
    <w:basedOn w:val="DefaultParagraphFont"/>
    <w:uiPriority w:val="99"/>
    <w:unhideWhenUsed/>
    <w:rsid w:val="0007337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ipd.co.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co.uk" TargetMode="External"/><Relationship Id="rId11" Type="http://schemas.openxmlformats.org/officeDocument/2006/relationships/hyperlink" Target="https://www.tuc.org.uk" TargetMode="External"/><Relationship Id="rId5" Type="http://schemas.openxmlformats.org/officeDocument/2006/relationships/hyperlink" Target="https://www.cipd.co.uk" TargetMode="External"/><Relationship Id="rId10" Type="http://schemas.openxmlformats.org/officeDocument/2006/relationships/hyperlink" Target="https://www.dentons.com" TargetMode="External"/><Relationship Id="rId4" Type="http://schemas.openxmlformats.org/officeDocument/2006/relationships/hyperlink" Target="https://www.cipd.co.uk" TargetMode="External"/><Relationship Id="rId9" Type="http://schemas.openxmlformats.org/officeDocument/2006/relationships/hyperlink" Target="https://www.cipd.org/uk/knowledge/guides/flexible-working-manager-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5100</Words>
  <Characters>29072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Coady</dc:creator>
  <cp:keywords/>
  <dc:description/>
  <cp:lastModifiedBy>Kasia Coady</cp:lastModifiedBy>
  <cp:revision>3</cp:revision>
  <dcterms:created xsi:type="dcterms:W3CDTF">2026-05-27T08:22:00Z</dcterms:created>
  <dcterms:modified xsi:type="dcterms:W3CDTF">2026-05-28T15:49:00Z</dcterms:modified>
</cp:coreProperties>
</file>