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2BD7E" w14:textId="77777777" w:rsidR="006C6711" w:rsidRDefault="006C6711">
      <w:pPr>
        <w:rPr>
          <w:lang w:val="en-US"/>
        </w:rPr>
      </w:pPr>
      <w:r>
        <w:rPr>
          <w:lang w:val="en-US"/>
        </w:rPr>
        <w:t xml:space="preserve">Name: Ayda Bekisoglu (2303753) </w:t>
      </w:r>
    </w:p>
    <w:p w14:paraId="06BC6B82" w14:textId="77777777" w:rsidR="006C6711" w:rsidRDefault="006C6711">
      <w:pPr>
        <w:rPr>
          <w:lang w:val="en-US"/>
        </w:rPr>
      </w:pPr>
      <w:r>
        <w:rPr>
          <w:lang w:val="en-US"/>
        </w:rPr>
        <w:t xml:space="preserve">Lecturer: Scott James </w:t>
      </w:r>
    </w:p>
    <w:p w14:paraId="057520D0" w14:textId="77777777" w:rsidR="006C6711" w:rsidRDefault="006C6711">
      <w:pPr>
        <w:rPr>
          <w:lang w:val="en-US"/>
        </w:rPr>
      </w:pPr>
      <w:r>
        <w:rPr>
          <w:lang w:val="en-US"/>
        </w:rPr>
        <w:t xml:space="preserve">Module: Research Methods and Field Trip Study </w:t>
      </w:r>
    </w:p>
    <w:p w14:paraId="79788315" w14:textId="77777777" w:rsidR="006C6711" w:rsidRDefault="006C6711">
      <w:pPr>
        <w:rPr>
          <w:lang w:val="en-US"/>
        </w:rPr>
      </w:pPr>
      <w:r>
        <w:rPr>
          <w:lang w:val="en-US"/>
        </w:rPr>
        <w:t>Date: 12</w:t>
      </w:r>
      <w:r w:rsidRPr="006C6711">
        <w:rPr>
          <w:vertAlign w:val="superscript"/>
          <w:lang w:val="en-US"/>
        </w:rPr>
        <w:t>th</w:t>
      </w:r>
      <w:r>
        <w:rPr>
          <w:lang w:val="en-US"/>
        </w:rPr>
        <w:t xml:space="preserve"> January 2025 </w:t>
      </w:r>
    </w:p>
    <w:p w14:paraId="1F49AD53" w14:textId="77777777" w:rsidR="006C6711" w:rsidRPr="006C6711" w:rsidRDefault="006C6711" w:rsidP="006C6711">
      <w:pPr>
        <w:rPr>
          <w:rFonts w:ascii="Times New Roman" w:eastAsia="Times New Roman" w:hAnsi="Times New Roman" w:cs="Times New Roman"/>
          <w:lang w:eastAsia="en-GB"/>
        </w:rPr>
      </w:pPr>
      <w:r>
        <w:rPr>
          <w:lang w:val="en-US"/>
        </w:rPr>
        <w:t xml:space="preserve">Video Link: </w:t>
      </w:r>
      <w:hyperlink r:id="rId5" w:tgtFrame="_blank" w:history="1">
        <w:r w:rsidRPr="006C6711">
          <w:rPr>
            <w:rFonts w:ascii="Arial" w:eastAsia="Times New Roman" w:hAnsi="Arial" w:cs="Arial"/>
            <w:color w:val="1155CC"/>
            <w:u w:val="single"/>
            <w:shd w:val="clear" w:color="auto" w:fill="FFFFFF"/>
            <w:lang w:eastAsia="en-GB"/>
          </w:rPr>
          <w:t>https://youtu.be/ckk8YLHFx40?si=uxe00Te9CnliijOQ</w:t>
        </w:r>
      </w:hyperlink>
    </w:p>
    <w:p w14:paraId="688B03D2" w14:textId="77777777" w:rsidR="006C6711" w:rsidRDefault="006C6711">
      <w:pPr>
        <w:rPr>
          <w:lang w:val="en-US"/>
        </w:rPr>
      </w:pPr>
      <w:bookmarkStart w:id="0" w:name="_GoBack"/>
      <w:bookmarkEnd w:id="0"/>
    </w:p>
    <w:p w14:paraId="4A05A701" w14:textId="77777777" w:rsidR="008634E1" w:rsidRDefault="008634E1" w:rsidP="008634E1">
      <w:pPr>
        <w:rPr>
          <w:lang w:val="en-US"/>
        </w:rPr>
      </w:pPr>
      <w:r>
        <w:rPr>
          <w:lang w:val="en-US"/>
        </w:rPr>
        <w:t xml:space="preserve">References: </w:t>
      </w:r>
    </w:p>
    <w:p w14:paraId="55E4B94A" w14:textId="77777777" w:rsidR="008634E1" w:rsidRDefault="008634E1" w:rsidP="008634E1">
      <w:pPr>
        <w:rPr>
          <w:lang w:val="en-US"/>
        </w:rPr>
      </w:pPr>
    </w:p>
    <w:p w14:paraId="42A52340" w14:textId="77777777" w:rsidR="008634E1" w:rsidRDefault="008634E1" w:rsidP="008634E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Appinio Research (2023) ‘What is Comparative Analysis and How to Conduct It?’ </w:t>
      </w:r>
    </w:p>
    <w:p w14:paraId="54462025" w14:textId="77777777" w:rsidR="008634E1" w:rsidRDefault="008634E1" w:rsidP="008634E1">
      <w:pPr>
        <w:rPr>
          <w:rFonts w:eastAsia="Times New Roman"/>
        </w:rPr>
      </w:pPr>
      <w:r>
        <w:rPr>
          <w:lang w:val="en-US"/>
        </w:rPr>
        <w:t xml:space="preserve">Available at: </w:t>
      </w:r>
      <w:hyperlink r:id="rId6" w:anchor=":~:text=Understanding%20the%20context%20helps%20interpret,of%20factors%20that%20influence%20outcomes." w:history="1">
        <w:r>
          <w:rPr>
            <w:rStyle w:val="Hyperlink"/>
            <w:rFonts w:eastAsia="Times New Roman"/>
          </w:rPr>
          <w:t>https://www.appinio.com/en/blog/market-research/comparative-analysis#:~:text=Understanding%20the%20context%20helps%20interpret,of%20factors%20that%20influence%20outcomes.</w:t>
        </w:r>
      </w:hyperlink>
    </w:p>
    <w:p w14:paraId="214C19BD" w14:textId="77777777" w:rsidR="008634E1" w:rsidRPr="006720F0" w:rsidRDefault="008634E1" w:rsidP="008634E1">
      <w:pPr>
        <w:rPr>
          <w:lang w:val="en-US"/>
        </w:rPr>
      </w:pPr>
      <w:r>
        <w:rPr>
          <w:lang w:val="en-US"/>
        </w:rPr>
        <w:t>(Accessed date: 27</w:t>
      </w:r>
      <w:r w:rsidRPr="006720F0">
        <w:rPr>
          <w:vertAlign w:val="superscript"/>
          <w:lang w:val="en-US"/>
        </w:rPr>
        <w:t>th</w:t>
      </w:r>
      <w:r>
        <w:rPr>
          <w:lang w:val="en-US"/>
        </w:rPr>
        <w:t xml:space="preserve"> December 2024) </w:t>
      </w:r>
    </w:p>
    <w:p w14:paraId="7F842985" w14:textId="77777777" w:rsidR="008634E1" w:rsidRDefault="008634E1" w:rsidP="008634E1">
      <w:pPr>
        <w:pStyle w:val="ListParagraph"/>
        <w:numPr>
          <w:ilvl w:val="0"/>
          <w:numId w:val="1"/>
        </w:numPr>
        <w:rPr>
          <w:color w:val="000000" w:themeColor="text1"/>
          <w:lang w:val="en-US"/>
        </w:rPr>
      </w:pPr>
      <w:r w:rsidRPr="00031307">
        <w:rPr>
          <w:color w:val="000000" w:themeColor="text1"/>
          <w:lang w:val="en-US"/>
        </w:rPr>
        <w:t>Blumstein., D.T and Saylan.,C (2007)</w:t>
      </w:r>
      <w:r>
        <w:rPr>
          <w:color w:val="000000" w:themeColor="text1"/>
          <w:lang w:val="en-US"/>
        </w:rPr>
        <w:t xml:space="preserve"> </w:t>
      </w:r>
      <w:r>
        <w:rPr>
          <w:i/>
          <w:color w:val="000000" w:themeColor="text1"/>
          <w:lang w:val="en-US"/>
        </w:rPr>
        <w:t xml:space="preserve">‘ The Failure of Environmental Education (and how to fix it)’ </w:t>
      </w:r>
      <w:r>
        <w:rPr>
          <w:color w:val="000000" w:themeColor="text1"/>
          <w:lang w:val="en-US"/>
        </w:rPr>
        <w:t xml:space="preserve">17;5(5) </w:t>
      </w:r>
    </w:p>
    <w:p w14:paraId="0C39C68F" w14:textId="77777777" w:rsidR="008634E1" w:rsidRDefault="008634E1" w:rsidP="008634E1">
      <w:pPr>
        <w:rPr>
          <w:rFonts w:eastAsia="Times New Roman"/>
        </w:rPr>
      </w:pPr>
      <w:r>
        <w:rPr>
          <w:color w:val="000000" w:themeColor="text1"/>
          <w:lang w:val="en-US"/>
        </w:rPr>
        <w:t xml:space="preserve">Available at: </w:t>
      </w:r>
      <w:hyperlink r:id="rId7" w:history="1">
        <w:r>
          <w:rPr>
            <w:rStyle w:val="Hyperlink"/>
            <w:rFonts w:eastAsia="Times New Roman"/>
          </w:rPr>
          <w:t>https://pmc.ncbi.nlm.nih.gov/articles/PMC1847843/</w:t>
        </w:r>
      </w:hyperlink>
    </w:p>
    <w:p w14:paraId="1F831D84" w14:textId="77777777" w:rsidR="008634E1" w:rsidRPr="00031307" w:rsidRDefault="008634E1" w:rsidP="008634E1">
      <w:pPr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>(Accessed date: 16</w:t>
      </w:r>
      <w:r w:rsidRPr="00031307">
        <w:rPr>
          <w:color w:val="000000" w:themeColor="text1"/>
          <w:vertAlign w:val="superscript"/>
          <w:lang w:val="en-US"/>
        </w:rPr>
        <w:t>th</w:t>
      </w:r>
      <w:r>
        <w:rPr>
          <w:color w:val="000000" w:themeColor="text1"/>
          <w:lang w:val="en-US"/>
        </w:rPr>
        <w:t xml:space="preserve"> December 2024) </w:t>
      </w:r>
    </w:p>
    <w:p w14:paraId="041001F6" w14:textId="77777777" w:rsidR="008634E1" w:rsidRPr="00031307" w:rsidRDefault="008634E1" w:rsidP="008634E1">
      <w:pPr>
        <w:rPr>
          <w:lang w:val="en-US"/>
        </w:rPr>
      </w:pPr>
    </w:p>
    <w:p w14:paraId="7527E5E6" w14:textId="77777777" w:rsidR="008634E1" w:rsidRPr="00DC6C2C" w:rsidRDefault="008634E1" w:rsidP="008634E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Bock.,T (N/A) ‘</w:t>
      </w:r>
      <w:r>
        <w:rPr>
          <w:i/>
          <w:lang w:val="en-US"/>
        </w:rPr>
        <w:t xml:space="preserve">Why Pie Charts Are Better Than Bar charts’ </w:t>
      </w:r>
    </w:p>
    <w:p w14:paraId="16AB96DA" w14:textId="77777777" w:rsidR="008634E1" w:rsidRDefault="008634E1" w:rsidP="008634E1">
      <w:pPr>
        <w:rPr>
          <w:rFonts w:eastAsia="Times New Roman"/>
          <w:color w:val="0000FF"/>
          <w:u w:val="single"/>
        </w:rPr>
      </w:pPr>
      <w:r>
        <w:rPr>
          <w:lang w:val="en-US"/>
        </w:rPr>
        <w:t xml:space="preserve">Available at: </w:t>
      </w:r>
      <w:hyperlink r:id="rId8" w:history="1">
        <w:r w:rsidRPr="00DC6C2C">
          <w:rPr>
            <w:rFonts w:eastAsia="Times New Roman"/>
            <w:color w:val="0000FF"/>
            <w:u w:val="single"/>
          </w:rPr>
          <w:t>https://www.displayr.com/why-pie-charts-are-better-than-bar-charts/</w:t>
        </w:r>
      </w:hyperlink>
    </w:p>
    <w:p w14:paraId="4FC6EB0F" w14:textId="77777777" w:rsidR="008634E1" w:rsidRDefault="008634E1" w:rsidP="008634E1">
      <w:pPr>
        <w:rPr>
          <w:rFonts w:eastAsia="Times New Roman"/>
          <w:color w:val="0000FF"/>
          <w:u w:val="single"/>
        </w:rPr>
      </w:pPr>
    </w:p>
    <w:p w14:paraId="1D346B54" w14:textId="77777777" w:rsidR="008634E1" w:rsidRPr="003E158A" w:rsidRDefault="008634E1" w:rsidP="008634E1">
      <w:pPr>
        <w:pStyle w:val="ListParagraph"/>
        <w:numPr>
          <w:ilvl w:val="0"/>
          <w:numId w:val="1"/>
        </w:numPr>
        <w:rPr>
          <w:rFonts w:eastAsia="Times New Roman"/>
          <w:color w:val="000000" w:themeColor="text1"/>
        </w:rPr>
      </w:pPr>
      <w:r w:rsidRPr="000508DF">
        <w:rPr>
          <w:color w:val="000000" w:themeColor="text1"/>
          <w:lang w:val="en-US"/>
        </w:rPr>
        <w:t>Collins., A and Potoglou.,D (2019)</w:t>
      </w:r>
      <w:r>
        <w:rPr>
          <w:color w:val="000000" w:themeColor="text1"/>
          <w:lang w:val="en-US"/>
        </w:rPr>
        <w:t xml:space="preserve"> ‘Factors influencing visitor travel to festivals: challenges in encouraging sustainable travel’ </w:t>
      </w:r>
    </w:p>
    <w:p w14:paraId="7F0636ED" w14:textId="77777777" w:rsidR="008634E1" w:rsidRDefault="008634E1" w:rsidP="008634E1">
      <w:pPr>
        <w:rPr>
          <w:rFonts w:eastAsia="Times New Roman"/>
        </w:rPr>
      </w:pPr>
      <w:r>
        <w:rPr>
          <w:rFonts w:eastAsia="Times New Roman"/>
          <w:color w:val="000000" w:themeColor="text1"/>
        </w:rPr>
        <w:t xml:space="preserve">Available at: </w:t>
      </w:r>
      <w:hyperlink r:id="rId9" w:history="1">
        <w:r w:rsidRPr="003E158A">
          <w:rPr>
            <w:rFonts w:eastAsia="Times New Roman"/>
            <w:color w:val="0000FF"/>
            <w:u w:val="single"/>
          </w:rPr>
          <w:t>https://www.tandfonline.com/doi/abs/10.1080/09669582.2019.1604718</w:t>
        </w:r>
      </w:hyperlink>
    </w:p>
    <w:p w14:paraId="2C7611E4" w14:textId="77777777" w:rsidR="008634E1" w:rsidRPr="003E158A" w:rsidRDefault="008634E1" w:rsidP="008634E1">
      <w:pPr>
        <w:rPr>
          <w:rFonts w:eastAsia="Times New Roman"/>
        </w:rPr>
      </w:pPr>
      <w:r>
        <w:rPr>
          <w:rFonts w:eastAsia="Times New Roman"/>
        </w:rPr>
        <w:t>(accessed date: 5</w:t>
      </w:r>
      <w:r w:rsidRPr="003E158A">
        <w:rPr>
          <w:rFonts w:eastAsia="Times New Roman"/>
          <w:vertAlign w:val="superscript"/>
        </w:rPr>
        <w:t>th</w:t>
      </w:r>
      <w:r>
        <w:rPr>
          <w:rFonts w:eastAsia="Times New Roman"/>
        </w:rPr>
        <w:t xml:space="preserve"> January 2025) </w:t>
      </w:r>
    </w:p>
    <w:p w14:paraId="489931F7" w14:textId="77777777" w:rsidR="008634E1" w:rsidRPr="000508DF" w:rsidRDefault="008634E1" w:rsidP="008634E1">
      <w:pPr>
        <w:ind w:left="360"/>
        <w:rPr>
          <w:rFonts w:eastAsia="Times New Roman"/>
          <w:color w:val="000000" w:themeColor="text1"/>
        </w:rPr>
      </w:pPr>
    </w:p>
    <w:p w14:paraId="381EBE47" w14:textId="77777777" w:rsidR="008634E1" w:rsidRDefault="008634E1" w:rsidP="008634E1">
      <w:pPr>
        <w:rPr>
          <w:lang w:val="en-US"/>
        </w:rPr>
      </w:pPr>
    </w:p>
    <w:p w14:paraId="0E7672B4" w14:textId="77777777" w:rsidR="008634E1" w:rsidRPr="002E2D04" w:rsidRDefault="008634E1" w:rsidP="008634E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Event Planner (2020) </w:t>
      </w:r>
      <w:r>
        <w:rPr>
          <w:i/>
          <w:lang w:val="en-US"/>
        </w:rPr>
        <w:t xml:space="preserve">‘The Importance of Transport companies In Events’ </w:t>
      </w:r>
    </w:p>
    <w:p w14:paraId="711B0CC0" w14:textId="77777777" w:rsidR="008634E1" w:rsidRPr="002E2D04" w:rsidRDefault="008634E1" w:rsidP="008634E1">
      <w:pPr>
        <w:rPr>
          <w:rFonts w:eastAsia="Times New Roman"/>
        </w:rPr>
      </w:pPr>
      <w:r>
        <w:rPr>
          <w:lang w:val="en-US"/>
        </w:rPr>
        <w:t xml:space="preserve">Available at: </w:t>
      </w:r>
      <w:hyperlink r:id="rId10" w:history="1">
        <w:r w:rsidRPr="002E2D04">
          <w:rPr>
            <w:rFonts w:eastAsia="Times New Roman"/>
            <w:color w:val="0000FF"/>
            <w:u w:val="single"/>
          </w:rPr>
          <w:t>https://www.eventplannerspain.com/en/blog/importance-transport-companies-events</w:t>
        </w:r>
      </w:hyperlink>
    </w:p>
    <w:p w14:paraId="35C505C8" w14:textId="77777777" w:rsidR="008634E1" w:rsidRDefault="008634E1" w:rsidP="008634E1">
      <w:pPr>
        <w:rPr>
          <w:lang w:val="en-US"/>
        </w:rPr>
      </w:pPr>
      <w:r>
        <w:rPr>
          <w:lang w:val="en-US"/>
        </w:rPr>
        <w:t>(Accessed date: 15</w:t>
      </w:r>
      <w:r w:rsidRPr="002E2D04">
        <w:rPr>
          <w:vertAlign w:val="superscript"/>
          <w:lang w:val="en-US"/>
        </w:rPr>
        <w:t>th</w:t>
      </w:r>
      <w:r>
        <w:rPr>
          <w:lang w:val="en-US"/>
        </w:rPr>
        <w:t xml:space="preserve"> December 2024) </w:t>
      </w:r>
    </w:p>
    <w:p w14:paraId="627B9003" w14:textId="77777777" w:rsidR="008634E1" w:rsidRDefault="008634E1" w:rsidP="008634E1">
      <w:pPr>
        <w:rPr>
          <w:lang w:val="en-US"/>
        </w:rPr>
      </w:pPr>
    </w:p>
    <w:p w14:paraId="3950B26F" w14:textId="77777777" w:rsidR="008634E1" w:rsidRPr="003F2D64" w:rsidRDefault="008634E1" w:rsidP="008634E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Journal of Tourism and Gastronomy Studies (2022) </w:t>
      </w:r>
      <w:r>
        <w:rPr>
          <w:i/>
          <w:lang w:val="en-US"/>
        </w:rPr>
        <w:t xml:space="preserve">‘Train Tourism IN The Context of Experiential Tourism: The Example of The Touristic Eastern Express Travel’ </w:t>
      </w:r>
    </w:p>
    <w:p w14:paraId="67DA2304" w14:textId="77777777" w:rsidR="008634E1" w:rsidRPr="003F2D64" w:rsidRDefault="008634E1" w:rsidP="008634E1">
      <w:pPr>
        <w:rPr>
          <w:rFonts w:eastAsia="Times New Roman"/>
        </w:rPr>
      </w:pPr>
      <w:r>
        <w:rPr>
          <w:lang w:val="en-US"/>
        </w:rPr>
        <w:t xml:space="preserve">Available at: </w:t>
      </w:r>
      <w:hyperlink r:id="rId11" w:history="1">
        <w:r w:rsidRPr="003F2D64">
          <w:rPr>
            <w:rFonts w:eastAsia="Times New Roman"/>
            <w:color w:val="0000FF"/>
            <w:u w:val="single"/>
          </w:rPr>
          <w:t>https://jotags.net/index.php/jotags/article/view/1202</w:t>
        </w:r>
      </w:hyperlink>
    </w:p>
    <w:p w14:paraId="367E305D" w14:textId="77777777" w:rsidR="008634E1" w:rsidRDefault="008634E1" w:rsidP="008634E1">
      <w:pPr>
        <w:rPr>
          <w:lang w:val="en-US"/>
        </w:rPr>
      </w:pPr>
      <w:r>
        <w:rPr>
          <w:lang w:val="en-US"/>
        </w:rPr>
        <w:t>(Accessed date: 15</w:t>
      </w:r>
      <w:r w:rsidRPr="003F2D64">
        <w:rPr>
          <w:vertAlign w:val="superscript"/>
          <w:lang w:val="en-US"/>
        </w:rPr>
        <w:t>th</w:t>
      </w:r>
      <w:r>
        <w:rPr>
          <w:lang w:val="en-US"/>
        </w:rPr>
        <w:t xml:space="preserve"> December 2024) </w:t>
      </w:r>
    </w:p>
    <w:p w14:paraId="22122672" w14:textId="77777777" w:rsidR="008634E1" w:rsidRDefault="008634E1" w:rsidP="008634E1">
      <w:pPr>
        <w:rPr>
          <w:lang w:val="en-US"/>
        </w:rPr>
      </w:pPr>
    </w:p>
    <w:p w14:paraId="2D59A1E8" w14:textId="77777777" w:rsidR="008634E1" w:rsidRPr="00D27F4D" w:rsidRDefault="008634E1" w:rsidP="008634E1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D27F4D">
        <w:rPr>
          <w:color w:val="000000" w:themeColor="text1"/>
          <w:lang w:val="en-US"/>
        </w:rPr>
        <w:t xml:space="preserve">Ponto., J (2015) ‘Understanding and Evaluating Survey Research’ </w:t>
      </w:r>
      <w:r w:rsidRPr="00D27F4D">
        <w:rPr>
          <w:rFonts w:ascii="Helvetica Neue" w:eastAsia="Times New Roman" w:hAnsi="Helvetica Neue"/>
          <w:color w:val="1B1B1B"/>
          <w:sz w:val="25"/>
          <w:szCs w:val="25"/>
          <w:shd w:val="clear" w:color="auto" w:fill="FFFFFF"/>
        </w:rPr>
        <w:t>1;6(2):168–171</w:t>
      </w:r>
    </w:p>
    <w:p w14:paraId="62A5077D" w14:textId="77777777" w:rsidR="008634E1" w:rsidRPr="00D27F4D" w:rsidRDefault="008634E1" w:rsidP="008634E1">
      <w:pPr>
        <w:rPr>
          <w:rFonts w:eastAsia="Times New Roman"/>
        </w:rPr>
      </w:pPr>
      <w:r>
        <w:rPr>
          <w:rFonts w:eastAsia="Times New Roman"/>
          <w:color w:val="000000" w:themeColor="text1"/>
        </w:rPr>
        <w:t xml:space="preserve">Available at: </w:t>
      </w:r>
      <w:hyperlink r:id="rId12" w:history="1">
        <w:r w:rsidRPr="00D27F4D">
          <w:rPr>
            <w:rFonts w:eastAsia="Times New Roman"/>
            <w:color w:val="0000FF"/>
            <w:u w:val="single"/>
          </w:rPr>
          <w:t>https://pmc.ncbi.nlm.nih.gov/articles/PMC4601897/</w:t>
        </w:r>
      </w:hyperlink>
    </w:p>
    <w:p w14:paraId="701D27D0" w14:textId="77777777" w:rsidR="008634E1" w:rsidRDefault="008634E1" w:rsidP="008634E1">
      <w:pPr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>(Accessed date: 22</w:t>
      </w:r>
      <w:r w:rsidRPr="00D27F4D">
        <w:rPr>
          <w:rFonts w:eastAsia="Times New Roman"/>
          <w:color w:val="000000" w:themeColor="text1"/>
          <w:vertAlign w:val="superscript"/>
        </w:rPr>
        <w:t>nd</w:t>
      </w:r>
      <w:r>
        <w:rPr>
          <w:rFonts w:eastAsia="Times New Roman"/>
          <w:color w:val="000000" w:themeColor="text1"/>
        </w:rPr>
        <w:t xml:space="preserve"> December 2024) </w:t>
      </w:r>
    </w:p>
    <w:p w14:paraId="298D5BDD" w14:textId="77777777" w:rsidR="008634E1" w:rsidRDefault="008634E1" w:rsidP="008634E1">
      <w:pPr>
        <w:rPr>
          <w:rFonts w:eastAsia="Times New Roman"/>
          <w:color w:val="000000" w:themeColor="text1"/>
        </w:rPr>
      </w:pPr>
    </w:p>
    <w:p w14:paraId="2F09E628" w14:textId="77777777" w:rsidR="008634E1" w:rsidRDefault="008634E1" w:rsidP="008634E1">
      <w:pPr>
        <w:pStyle w:val="ListParagraph"/>
        <w:numPr>
          <w:ilvl w:val="0"/>
          <w:numId w:val="1"/>
        </w:numPr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 xml:space="preserve">Rosala.,M (2024) ‘Open-Ended vs. Closed Questions in User Research’ </w:t>
      </w:r>
    </w:p>
    <w:p w14:paraId="29CF6134" w14:textId="77777777" w:rsidR="008634E1" w:rsidRDefault="008634E1" w:rsidP="008634E1">
      <w:pPr>
        <w:rPr>
          <w:rFonts w:eastAsia="Times New Roman"/>
        </w:rPr>
      </w:pPr>
      <w:r>
        <w:rPr>
          <w:rFonts w:eastAsia="Times New Roman"/>
          <w:color w:val="000000" w:themeColor="text1"/>
        </w:rPr>
        <w:t xml:space="preserve">Available at: </w:t>
      </w:r>
      <w:hyperlink r:id="rId13" w:history="1">
        <w:r>
          <w:rPr>
            <w:rStyle w:val="Hyperlink"/>
            <w:rFonts w:eastAsia="Times New Roman"/>
          </w:rPr>
          <w:t>https://www.nngroup.com/articles/open-ended-questions/</w:t>
        </w:r>
      </w:hyperlink>
    </w:p>
    <w:p w14:paraId="13D0C51C" w14:textId="77777777" w:rsidR="008634E1" w:rsidRDefault="008634E1" w:rsidP="008634E1">
      <w:pPr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>(Accessed date: 24</w:t>
      </w:r>
      <w:r w:rsidRPr="00050F71">
        <w:rPr>
          <w:rFonts w:eastAsia="Times New Roman"/>
          <w:color w:val="000000" w:themeColor="text1"/>
          <w:vertAlign w:val="superscript"/>
        </w:rPr>
        <w:t>th</w:t>
      </w:r>
      <w:r>
        <w:rPr>
          <w:rFonts w:eastAsia="Times New Roman"/>
          <w:color w:val="000000" w:themeColor="text1"/>
        </w:rPr>
        <w:t xml:space="preserve"> December 2024) </w:t>
      </w:r>
    </w:p>
    <w:p w14:paraId="4B268602" w14:textId="77777777" w:rsidR="008634E1" w:rsidRDefault="008634E1" w:rsidP="008634E1">
      <w:pPr>
        <w:rPr>
          <w:lang w:val="en-US"/>
        </w:rPr>
      </w:pPr>
    </w:p>
    <w:p w14:paraId="1FEFD578" w14:textId="77777777" w:rsidR="008634E1" w:rsidRPr="00685D6E" w:rsidRDefault="008634E1" w:rsidP="008634E1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685D6E">
        <w:rPr>
          <w:rFonts w:ascii="Helvetica Neue" w:eastAsia="Times New Roman" w:hAnsi="Helvetica Neue" w:cs="Times New Roman"/>
          <w:color w:val="222222"/>
          <w:shd w:val="clear" w:color="auto" w:fill="FFFFFF"/>
          <w:lang w:eastAsia="en-GB"/>
        </w:rPr>
        <w:lastRenderedPageBreak/>
        <w:t>van der Linden, S.L., Leiserowitz, A.A., Feinberg, G.D. </w:t>
      </w:r>
      <w:r>
        <w:rPr>
          <w:rFonts w:ascii="Helvetica Neue" w:eastAsia="Times New Roman" w:hAnsi="Helvetica Neue" w:cs="Times New Roman"/>
          <w:color w:val="222222"/>
          <w:shd w:val="clear" w:color="auto" w:fill="FFFFFF"/>
          <w:lang w:eastAsia="en-GB"/>
        </w:rPr>
        <w:t xml:space="preserve">(2014) </w:t>
      </w:r>
      <w:r>
        <w:rPr>
          <w:rFonts w:ascii="Helvetica Neue" w:eastAsia="Times New Roman" w:hAnsi="Helvetica Neue" w:cs="Times New Roman"/>
          <w:i/>
          <w:color w:val="222222"/>
          <w:shd w:val="clear" w:color="auto" w:fill="FFFFFF"/>
          <w:lang w:eastAsia="en-GB"/>
        </w:rPr>
        <w:t>‘How to Communicate the Scientific consensus on Climate Change: Plain Facts, Pie Charts or Metaphors?</w:t>
      </w:r>
      <w:r>
        <w:rPr>
          <w:rFonts w:ascii="Helvetica Neue" w:eastAsia="Times New Roman" w:hAnsi="Helvetica Neue" w:cs="Times New Roman"/>
          <w:color w:val="222222"/>
          <w:shd w:val="clear" w:color="auto" w:fill="FFFFFF"/>
          <w:lang w:eastAsia="en-GB"/>
        </w:rPr>
        <w:t xml:space="preserve"> Volume 126, P. 255-262 </w:t>
      </w:r>
    </w:p>
    <w:p w14:paraId="4EDD0ECC" w14:textId="77777777" w:rsidR="008634E1" w:rsidRPr="00685D6E" w:rsidRDefault="008634E1" w:rsidP="008634E1">
      <w:pPr>
        <w:rPr>
          <w:rFonts w:eastAsia="Times New Roman"/>
        </w:rPr>
      </w:pPr>
      <w:r>
        <w:rPr>
          <w:rFonts w:ascii="Helvetica Neue" w:eastAsia="Times New Roman" w:hAnsi="Helvetica Neue"/>
          <w:color w:val="222222"/>
          <w:shd w:val="clear" w:color="auto" w:fill="FFFFFF"/>
        </w:rPr>
        <w:t xml:space="preserve">Available at: </w:t>
      </w:r>
      <w:r w:rsidRPr="00685D6E">
        <w:rPr>
          <w:rFonts w:ascii="Helvetica Neue" w:eastAsia="Times New Roman" w:hAnsi="Helvetica Neue"/>
          <w:color w:val="222222"/>
          <w:shd w:val="clear" w:color="auto" w:fill="FFFFFF"/>
        </w:rPr>
        <w:t>https://doi.org/10.1007/s10584-014-1190-4</w:t>
      </w:r>
    </w:p>
    <w:p w14:paraId="118D766A" w14:textId="77777777" w:rsidR="008634E1" w:rsidRDefault="008634E1" w:rsidP="008634E1">
      <w:pPr>
        <w:rPr>
          <w:rFonts w:eastAsia="Times New Roman"/>
        </w:rPr>
      </w:pPr>
      <w:r>
        <w:rPr>
          <w:rFonts w:eastAsia="Times New Roman"/>
        </w:rPr>
        <w:t>(Accessed date: 16</w:t>
      </w:r>
      <w:r w:rsidRPr="00685D6E">
        <w:rPr>
          <w:rFonts w:eastAsia="Times New Roman"/>
          <w:vertAlign w:val="superscript"/>
        </w:rPr>
        <w:t>th</w:t>
      </w:r>
      <w:r>
        <w:rPr>
          <w:rFonts w:eastAsia="Times New Roman"/>
        </w:rPr>
        <w:t xml:space="preserve"> December 2024) </w:t>
      </w:r>
    </w:p>
    <w:p w14:paraId="7B046CDD" w14:textId="77777777" w:rsidR="008634E1" w:rsidRDefault="008634E1" w:rsidP="008634E1">
      <w:pPr>
        <w:rPr>
          <w:rFonts w:eastAsia="Times New Roman"/>
        </w:rPr>
      </w:pPr>
    </w:p>
    <w:p w14:paraId="73D14880" w14:textId="77777777" w:rsidR="008634E1" w:rsidRDefault="008634E1" w:rsidP="008634E1">
      <w:pPr>
        <w:pStyle w:val="ListParagraph"/>
        <w:numPr>
          <w:ilvl w:val="0"/>
          <w:numId w:val="1"/>
        </w:numPr>
        <w:rPr>
          <w:rFonts w:eastAsia="Times New Roman"/>
          <w:color w:val="000000" w:themeColor="text1"/>
        </w:rPr>
      </w:pPr>
      <w:r w:rsidRPr="00A0719E">
        <w:rPr>
          <w:color w:val="000000" w:themeColor="text1"/>
          <w:lang w:val="en-US"/>
        </w:rPr>
        <w:t>Wright., K.B (2017)</w:t>
      </w:r>
      <w:r>
        <w:rPr>
          <w:color w:val="000000" w:themeColor="text1"/>
          <w:lang w:val="en-US"/>
        </w:rPr>
        <w:t xml:space="preserve"> ‘Researching Internet-based Populations: Advantages and Disadvantages of Online Survey Research, Online Questionnaire Authoring Software Packages, and Web Survey Services’ </w:t>
      </w:r>
      <w:r w:rsidRPr="00385194">
        <w:rPr>
          <w:rFonts w:eastAsia="Times New Roman"/>
          <w:color w:val="000000" w:themeColor="text1"/>
        </w:rPr>
        <w:t>V</w:t>
      </w:r>
      <w:r>
        <w:rPr>
          <w:rFonts w:eastAsia="Times New Roman"/>
          <w:color w:val="000000" w:themeColor="text1"/>
        </w:rPr>
        <w:t xml:space="preserve">olume </w:t>
      </w:r>
      <w:r w:rsidRPr="00385194">
        <w:rPr>
          <w:rFonts w:eastAsia="Times New Roman"/>
          <w:color w:val="000000" w:themeColor="text1"/>
        </w:rPr>
        <w:t xml:space="preserve">10, Issues 3,1 </w:t>
      </w:r>
    </w:p>
    <w:p w14:paraId="3ED75E32" w14:textId="77777777" w:rsidR="008634E1" w:rsidRPr="00385194" w:rsidRDefault="008634E1" w:rsidP="008634E1">
      <w:pPr>
        <w:rPr>
          <w:rFonts w:eastAsia="Times New Roman"/>
        </w:rPr>
      </w:pPr>
      <w:r>
        <w:rPr>
          <w:rFonts w:eastAsia="Times New Roman"/>
        </w:rPr>
        <w:t xml:space="preserve">Available at: </w:t>
      </w:r>
      <w:hyperlink r:id="rId14" w:history="1">
        <w:r w:rsidRPr="00385194">
          <w:rPr>
            <w:rFonts w:eastAsia="Times New Roman"/>
            <w:color w:val="0000FF"/>
            <w:u w:val="single"/>
          </w:rPr>
          <w:t>https://academic.oup.com/jcmc/article/10/3/JCMC1034/4614509</w:t>
        </w:r>
      </w:hyperlink>
    </w:p>
    <w:p w14:paraId="67457C34" w14:textId="77777777" w:rsidR="008634E1" w:rsidRDefault="008634E1" w:rsidP="008634E1">
      <w:pPr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>(Accessed date: 22</w:t>
      </w:r>
      <w:r w:rsidRPr="00385194">
        <w:rPr>
          <w:rFonts w:eastAsia="Times New Roman"/>
          <w:color w:val="000000" w:themeColor="text1"/>
          <w:vertAlign w:val="superscript"/>
        </w:rPr>
        <w:t>nd</w:t>
      </w:r>
      <w:r>
        <w:rPr>
          <w:rFonts w:eastAsia="Times New Roman"/>
          <w:color w:val="000000" w:themeColor="text1"/>
        </w:rPr>
        <w:t xml:space="preserve"> December 2024) </w:t>
      </w:r>
    </w:p>
    <w:p w14:paraId="6FBAC123" w14:textId="77777777" w:rsidR="008634E1" w:rsidRDefault="008634E1" w:rsidP="008634E1">
      <w:pPr>
        <w:rPr>
          <w:rFonts w:eastAsia="Times New Roman"/>
          <w:color w:val="000000" w:themeColor="text1"/>
        </w:rPr>
      </w:pPr>
    </w:p>
    <w:p w14:paraId="6A904B48" w14:textId="77777777" w:rsidR="008634E1" w:rsidRPr="003212B4" w:rsidRDefault="008634E1" w:rsidP="008634E1">
      <w:pPr>
        <w:pStyle w:val="ListParagraph"/>
        <w:numPr>
          <w:ilvl w:val="0"/>
          <w:numId w:val="1"/>
        </w:numPr>
        <w:rPr>
          <w:rFonts w:eastAsia="Times New Roman"/>
          <w:color w:val="000000" w:themeColor="text1"/>
        </w:rPr>
      </w:pPr>
      <w:r w:rsidRPr="003212B4">
        <w:rPr>
          <w:color w:val="000000" w:themeColor="text1"/>
          <w:lang w:val="en-US"/>
        </w:rPr>
        <w:t>Williams., B, Irvine.,L , McGinnis., A.R , McMurdo., M and Crombie., I.K (2007)</w:t>
      </w:r>
      <w:r>
        <w:rPr>
          <w:color w:val="000000" w:themeColor="text1"/>
          <w:lang w:val="en-US"/>
        </w:rPr>
        <w:t xml:space="preserve"> ‘ When “no” might not quite mean “no”; the Importance of informed and meaningful non-consent: results from a survey of individuals refusing participation in a health-related research project’ </w:t>
      </w:r>
    </w:p>
    <w:p w14:paraId="3CA4F4D4" w14:textId="77777777" w:rsidR="008634E1" w:rsidRPr="003212B4" w:rsidRDefault="008634E1" w:rsidP="008634E1">
      <w:pPr>
        <w:rPr>
          <w:rFonts w:eastAsia="Times New Roman"/>
        </w:rPr>
      </w:pPr>
      <w:r>
        <w:rPr>
          <w:rFonts w:eastAsia="Times New Roman"/>
          <w:color w:val="000000" w:themeColor="text1"/>
        </w:rPr>
        <w:t xml:space="preserve">Available at: </w:t>
      </w:r>
      <w:hyperlink r:id="rId15" w:anchor="citeas" w:history="1">
        <w:r w:rsidRPr="003212B4">
          <w:rPr>
            <w:rFonts w:eastAsia="Times New Roman"/>
            <w:color w:val="0000FF"/>
            <w:u w:val="single"/>
          </w:rPr>
          <w:t>https://bmchealthservres.biomedcentral.com/articles/10.1186/1472-6963-7-59#citeas</w:t>
        </w:r>
      </w:hyperlink>
    </w:p>
    <w:p w14:paraId="1F514388" w14:textId="77777777" w:rsidR="008634E1" w:rsidRDefault="008634E1" w:rsidP="008634E1">
      <w:pPr>
        <w:rPr>
          <w:rFonts w:eastAsia="Times New Roman"/>
          <w:color w:val="000000" w:themeColor="text1"/>
        </w:rPr>
      </w:pPr>
      <w:r>
        <w:rPr>
          <w:rFonts w:eastAsia="Times New Roman"/>
          <w:color w:val="000000" w:themeColor="text1"/>
        </w:rPr>
        <w:t>(Accessed date: 22</w:t>
      </w:r>
      <w:r w:rsidRPr="003212B4">
        <w:rPr>
          <w:rFonts w:eastAsia="Times New Roman"/>
          <w:color w:val="000000" w:themeColor="text1"/>
          <w:vertAlign w:val="superscript"/>
        </w:rPr>
        <w:t>nd</w:t>
      </w:r>
      <w:r>
        <w:rPr>
          <w:rFonts w:eastAsia="Times New Roman"/>
          <w:color w:val="000000" w:themeColor="text1"/>
        </w:rPr>
        <w:t xml:space="preserve"> December 2024) </w:t>
      </w:r>
    </w:p>
    <w:p w14:paraId="0B987C12" w14:textId="77777777" w:rsidR="008634E1" w:rsidRDefault="008634E1" w:rsidP="008634E1">
      <w:pPr>
        <w:rPr>
          <w:rFonts w:eastAsia="Times New Roman"/>
          <w:color w:val="000000" w:themeColor="text1"/>
        </w:rPr>
      </w:pPr>
    </w:p>
    <w:p w14:paraId="78CC2072" w14:textId="77777777" w:rsidR="008634E1" w:rsidRPr="006C6711" w:rsidRDefault="008634E1">
      <w:pPr>
        <w:rPr>
          <w:lang w:val="en-US"/>
        </w:rPr>
      </w:pPr>
    </w:p>
    <w:sectPr w:rsidR="008634E1" w:rsidRPr="006C6711" w:rsidSect="0008396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C53ED8"/>
    <w:multiLevelType w:val="hybridMultilevel"/>
    <w:tmpl w:val="7C741240"/>
    <w:lvl w:ilvl="0" w:tplc="6E7ABD0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711"/>
    <w:rsid w:val="00083967"/>
    <w:rsid w:val="006C6711"/>
    <w:rsid w:val="00797346"/>
    <w:rsid w:val="0086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880B1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C671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63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6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jotags.net/index.php/jotags/article/view/1202" TargetMode="External"/><Relationship Id="rId12" Type="http://schemas.openxmlformats.org/officeDocument/2006/relationships/hyperlink" Target="https://pmc.ncbi.nlm.nih.gov/articles/PMC4601897/" TargetMode="External"/><Relationship Id="rId13" Type="http://schemas.openxmlformats.org/officeDocument/2006/relationships/hyperlink" Target="https://www.nngroup.com/articles/open-ended-questions/" TargetMode="External"/><Relationship Id="rId14" Type="http://schemas.openxmlformats.org/officeDocument/2006/relationships/hyperlink" Target="https://academic.oup.com/jcmc/article/10/3/JCMC1034/4614509" TargetMode="External"/><Relationship Id="rId15" Type="http://schemas.openxmlformats.org/officeDocument/2006/relationships/hyperlink" Target="https://bmchealthservres.biomedcentral.com/articles/10.1186/1472-6963-7-59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youtu.be/ckk8YLHFx40?si=uxe00Te9CnliijOQ" TargetMode="External"/><Relationship Id="rId6" Type="http://schemas.openxmlformats.org/officeDocument/2006/relationships/hyperlink" Target="https://www.appinio.com/en/blog/market-research/comparative-analysis" TargetMode="External"/><Relationship Id="rId7" Type="http://schemas.openxmlformats.org/officeDocument/2006/relationships/hyperlink" Target="https://pmc.ncbi.nlm.nih.gov/articles/PMC1847843/" TargetMode="External"/><Relationship Id="rId8" Type="http://schemas.openxmlformats.org/officeDocument/2006/relationships/hyperlink" Target="https://www.displayr.com/why-pie-charts-are-better-than-bar-charts/" TargetMode="External"/><Relationship Id="rId9" Type="http://schemas.openxmlformats.org/officeDocument/2006/relationships/hyperlink" Target="https://www.tandfonline.com/doi/abs/10.1080/09669582.2019.1604718" TargetMode="External"/><Relationship Id="rId10" Type="http://schemas.openxmlformats.org/officeDocument/2006/relationships/hyperlink" Target="https://www.eventplannerspain.com/en/blog/importance-transport-companies-ev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588</Words>
  <Characters>3354</Characters>
  <Application>Microsoft Macintosh Word</Application>
  <DocSecurity>0</DocSecurity>
  <Lines>27</Lines>
  <Paragraphs>7</Paragraphs>
  <ScaleCrop>false</ScaleCrop>
  <LinksUpToDate>false</LinksUpToDate>
  <CharactersWithSpaces>3935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2025-01-10T18:32:00Z</dcterms:created>
  <dcterms:modified xsi:type="dcterms:W3CDTF">2025-01-10T18:38:00Z</dcterms:modified>
</cp:coreProperties>
</file>