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978B8" w14:textId="77777777" w:rsidR="00881660" w:rsidRDefault="00881660" w:rsidP="00881660">
      <w:pPr>
        <w:pStyle w:val="Heading1"/>
      </w:pPr>
      <w:bookmarkStart w:id="0" w:name="_Toc118737198"/>
      <w:r>
        <w:t>Main Findings</w:t>
      </w:r>
      <w:bookmarkEnd w:id="0"/>
    </w:p>
    <w:p w14:paraId="1498CE96" w14:textId="77777777" w:rsidR="00881660" w:rsidRPr="001A3ECB" w:rsidRDefault="00881660" w:rsidP="00881660">
      <w:pPr>
        <w:ind w:firstLine="720"/>
        <w:rPr>
          <w:rFonts w:ascii="Times New Roman" w:hAnsi="Times New Roman" w:cs="Times New Roman"/>
          <w:sz w:val="24"/>
          <w:szCs w:val="24"/>
        </w:rPr>
      </w:pPr>
      <w:r w:rsidRPr="001A3ECB">
        <w:rPr>
          <w:rFonts w:ascii="Times New Roman" w:hAnsi="Times New Roman" w:cs="Times New Roman"/>
          <w:sz w:val="24"/>
          <w:szCs w:val="24"/>
        </w:rPr>
        <w:t xml:space="preserve">In this chapter of </w:t>
      </w:r>
      <w:r>
        <w:rPr>
          <w:rFonts w:ascii="Times New Roman" w:hAnsi="Times New Roman" w:cs="Times New Roman"/>
          <w:sz w:val="24"/>
          <w:szCs w:val="24"/>
        </w:rPr>
        <w:t xml:space="preserve">the </w:t>
      </w:r>
      <w:r w:rsidRPr="001A3ECB">
        <w:rPr>
          <w:rFonts w:ascii="Times New Roman" w:hAnsi="Times New Roman" w:cs="Times New Roman"/>
          <w:sz w:val="24"/>
          <w:szCs w:val="24"/>
        </w:rPr>
        <w:t>report</w:t>
      </w:r>
      <w:r>
        <w:rPr>
          <w:rFonts w:ascii="Times New Roman" w:hAnsi="Times New Roman" w:cs="Times New Roman"/>
          <w:sz w:val="24"/>
          <w:szCs w:val="24"/>
        </w:rPr>
        <w:t>,</w:t>
      </w:r>
      <w:r w:rsidRPr="001A3ECB">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1A3ECB">
        <w:rPr>
          <w:rFonts w:ascii="Times New Roman" w:hAnsi="Times New Roman" w:cs="Times New Roman"/>
          <w:sz w:val="24"/>
          <w:szCs w:val="24"/>
        </w:rPr>
        <w:t xml:space="preserve">researcher </w:t>
      </w:r>
      <w:r>
        <w:rPr>
          <w:rFonts w:ascii="Times New Roman" w:hAnsi="Times New Roman" w:cs="Times New Roman"/>
          <w:sz w:val="24"/>
          <w:szCs w:val="24"/>
        </w:rPr>
        <w:t>places</w:t>
      </w:r>
      <w:r w:rsidRPr="001A3ECB">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1A3ECB">
        <w:rPr>
          <w:rFonts w:ascii="Times New Roman" w:hAnsi="Times New Roman" w:cs="Times New Roman"/>
          <w:sz w:val="24"/>
          <w:szCs w:val="24"/>
        </w:rPr>
        <w:t>whole work. That</w:t>
      </w:r>
      <w:r>
        <w:rPr>
          <w:rFonts w:ascii="Times New Roman" w:hAnsi="Times New Roman" w:cs="Times New Roman"/>
          <w:sz w:val="24"/>
          <w:szCs w:val="24"/>
        </w:rPr>
        <w:t xml:space="preserve"> i</w:t>
      </w:r>
      <w:r w:rsidRPr="001A3ECB">
        <w:rPr>
          <w:rFonts w:ascii="Times New Roman" w:hAnsi="Times New Roman" w:cs="Times New Roman"/>
          <w:sz w:val="24"/>
          <w:szCs w:val="24"/>
        </w:rPr>
        <w:t>s the part of the report that can be used to draw attention to significant discoveries, summarizes the problems and directions and can be separated into smaller parts like sections and subsections</w:t>
      </w:r>
      <w:r>
        <w:rPr>
          <w:rFonts w:ascii="Times New Roman" w:hAnsi="Times New Roman" w:cs="Times New Roman"/>
          <w:sz w:val="24"/>
          <w:szCs w:val="24"/>
        </w:rPr>
        <w:t xml:space="preserve"> </w:t>
      </w:r>
      <w:sdt>
        <w:sdtPr>
          <w:rPr>
            <w:rFonts w:ascii="Times New Roman" w:hAnsi="Times New Roman" w:cs="Times New Roman"/>
            <w:sz w:val="24"/>
            <w:szCs w:val="24"/>
          </w:rPr>
          <w:id w:val="-1064798861"/>
          <w:citation/>
        </w:sdtPr>
        <w:sdtContent>
          <w:r>
            <w:rPr>
              <w:rFonts w:ascii="Times New Roman" w:hAnsi="Times New Roman" w:cs="Times New Roman"/>
              <w:sz w:val="24"/>
              <w:szCs w:val="24"/>
            </w:rPr>
            <w:fldChar w:fldCharType="begin"/>
          </w:r>
          <w:r w:rsidRPr="003F05F5">
            <w:rPr>
              <w:rFonts w:ascii="Times New Roman" w:hAnsi="Times New Roman" w:cs="Times New Roman"/>
              <w:sz w:val="24"/>
              <w:szCs w:val="24"/>
            </w:rPr>
            <w:instrText xml:space="preserve"> CITATION KEY22 \l 1045 </w:instrText>
          </w:r>
          <w:r>
            <w:rPr>
              <w:rFonts w:ascii="Times New Roman" w:hAnsi="Times New Roman" w:cs="Times New Roman"/>
              <w:sz w:val="24"/>
              <w:szCs w:val="24"/>
            </w:rPr>
            <w:fldChar w:fldCharType="separate"/>
          </w:r>
          <w:r w:rsidRPr="00F743E6">
            <w:rPr>
              <w:rFonts w:ascii="Times New Roman" w:hAnsi="Times New Roman" w:cs="Times New Roman"/>
              <w:noProof/>
              <w:sz w:val="24"/>
              <w:szCs w:val="24"/>
            </w:rPr>
            <w:t>(Anon., 2022)</w:t>
          </w:r>
          <w:r>
            <w:rPr>
              <w:rFonts w:ascii="Times New Roman" w:hAnsi="Times New Roman" w:cs="Times New Roman"/>
              <w:sz w:val="24"/>
              <w:szCs w:val="24"/>
            </w:rPr>
            <w:fldChar w:fldCharType="end"/>
          </w:r>
        </w:sdtContent>
      </w:sdt>
      <w:r w:rsidRPr="001A3ECB">
        <w:rPr>
          <w:rFonts w:ascii="Times New Roman" w:hAnsi="Times New Roman" w:cs="Times New Roman"/>
          <w:sz w:val="24"/>
          <w:szCs w:val="24"/>
        </w:rPr>
        <w:t xml:space="preserve">. This section of the research report provides all the arguments and supporting data we need to persuade the reader of the validity of your conclusion. It must be backed up by credible academic sources, direct quotations from journals, books, or websites, or paraphrased material from such sources. </w:t>
      </w:r>
    </w:p>
    <w:p w14:paraId="453A1C9F" w14:textId="77777777" w:rsidR="00881660" w:rsidRDefault="00881660" w:rsidP="00881660"/>
    <w:p w14:paraId="6168C837" w14:textId="77777777" w:rsidR="00881660" w:rsidRPr="00374157" w:rsidRDefault="00881660" w:rsidP="00881660"/>
    <w:p w14:paraId="0BD5D8A0" w14:textId="77777777" w:rsidR="00881660" w:rsidRDefault="00881660" w:rsidP="00881660">
      <w:pPr>
        <w:rPr>
          <w:rFonts w:asciiTheme="majorHAnsi" w:eastAsiaTheme="majorEastAsia" w:hAnsiTheme="majorHAnsi" w:cstheme="majorBidi"/>
          <w:color w:val="2F5496" w:themeColor="accent1" w:themeShade="BF"/>
          <w:sz w:val="26"/>
          <w:szCs w:val="26"/>
        </w:rPr>
      </w:pPr>
      <w:r>
        <w:br w:type="page"/>
      </w:r>
    </w:p>
    <w:p w14:paraId="25E42228" w14:textId="77777777" w:rsidR="00881660" w:rsidRDefault="00881660" w:rsidP="00881660">
      <w:pPr>
        <w:pStyle w:val="Heading2"/>
      </w:pPr>
      <w:bookmarkStart w:id="1" w:name="_Toc118737199"/>
      <w:r w:rsidRPr="0053170F">
        <w:lastRenderedPageBreak/>
        <w:t>T</w:t>
      </w:r>
      <w:r>
        <w:t>ASK</w:t>
      </w:r>
      <w:r w:rsidRPr="0053170F">
        <w:t xml:space="preserve"> 2 – ACADEMIC W</w:t>
      </w:r>
      <w:r>
        <w:t>RITING</w:t>
      </w:r>
      <w:bookmarkEnd w:id="1"/>
    </w:p>
    <w:p w14:paraId="3BFF1C91" w14:textId="77777777" w:rsidR="00881660" w:rsidRDefault="00881660" w:rsidP="00881660">
      <w:pPr>
        <w:pStyle w:val="NormalWeb"/>
        <w:spacing w:before="0" w:beforeAutospacing="0" w:after="0" w:afterAutospacing="0"/>
        <w:ind w:firstLine="720"/>
        <w:rPr>
          <w:color w:val="0E101A"/>
        </w:rPr>
      </w:pPr>
      <w:r>
        <w:rPr>
          <w:color w:val="0E101A"/>
        </w:rPr>
        <w:t xml:space="preserve">According to </w:t>
      </w:r>
      <w:sdt>
        <w:sdtPr>
          <w:rPr>
            <w:color w:val="0E101A"/>
          </w:rPr>
          <w:id w:val="-1667471116"/>
          <w:citation/>
        </w:sdtPr>
        <w:sdtContent>
          <w:r>
            <w:rPr>
              <w:color w:val="0E101A"/>
            </w:rPr>
            <w:fldChar w:fldCharType="begin"/>
          </w:r>
          <w:r>
            <w:rPr>
              <w:color w:val="0E101A"/>
            </w:rPr>
            <w:instrText xml:space="preserve"> CITATION Fel22 \l 2057 </w:instrText>
          </w:r>
          <w:r>
            <w:rPr>
              <w:color w:val="0E101A"/>
            </w:rPr>
            <w:fldChar w:fldCharType="separate"/>
          </w:r>
          <w:r w:rsidRPr="00F743E6">
            <w:rPr>
              <w:noProof/>
              <w:color w:val="0E101A"/>
            </w:rPr>
            <w:t>(Felices, 2022)</w:t>
          </w:r>
          <w:r>
            <w:rPr>
              <w:color w:val="0E101A"/>
            </w:rPr>
            <w:fldChar w:fldCharType="end"/>
          </w:r>
        </w:sdtContent>
      </w:sdt>
      <w:r>
        <w:rPr>
          <w:color w:val="0E101A"/>
        </w:rPr>
        <w:t xml:space="preserve"> "With academic writing, we need to be laser-focused on what we are writing and concise with our statement within that "</w:t>
      </w:r>
      <w:r>
        <w:rPr>
          <w:rStyle w:val="Strong"/>
          <w:color w:val="0E101A"/>
        </w:rPr>
        <w:t>. </w:t>
      </w:r>
      <w:r>
        <w:rPr>
          <w:color w:val="0E101A"/>
        </w:rPr>
        <w:t>Academic writing is a form of language researchers use to outline the intellectual limits of their respective fields of study and areas of the profession. The fundamental goal to effectively express our views is to be</w:t>
      </w:r>
    </w:p>
    <w:p w14:paraId="44F7BDD1" w14:textId="77777777" w:rsidR="00881660" w:rsidRDefault="00881660" w:rsidP="00881660">
      <w:pPr>
        <w:pStyle w:val="NormalWeb"/>
        <w:spacing w:before="0" w:beforeAutospacing="0" w:after="0" w:afterAutospacing="0"/>
        <w:rPr>
          <w:color w:val="0E101A"/>
        </w:rPr>
      </w:pPr>
      <w:r>
        <w:rPr>
          <w:color w:val="0E101A"/>
        </w:rPr>
        <w:t xml:space="preserve">straightforward, clear, and often objective. </w:t>
      </w:r>
      <w:sdt>
        <w:sdtPr>
          <w:rPr>
            <w:color w:val="0E101A"/>
          </w:rPr>
          <w:id w:val="-681353719"/>
          <w:citation/>
        </w:sdtPr>
        <w:sdtContent>
          <w:r>
            <w:rPr>
              <w:color w:val="0E101A"/>
            </w:rPr>
            <w:fldChar w:fldCharType="begin"/>
          </w:r>
          <w:r>
            <w:rPr>
              <w:color w:val="0E101A"/>
            </w:rPr>
            <w:instrText xml:space="preserve"> CITATION Aca22 \l 2057 </w:instrText>
          </w:r>
          <w:r>
            <w:rPr>
              <w:color w:val="0E101A"/>
            </w:rPr>
            <w:fldChar w:fldCharType="separate"/>
          </w:r>
          <w:r w:rsidRPr="00F743E6">
            <w:rPr>
              <w:noProof/>
              <w:color w:val="0E101A"/>
            </w:rPr>
            <w:t>(York, 2022)</w:t>
          </w:r>
          <w:r>
            <w:rPr>
              <w:color w:val="0E101A"/>
            </w:rPr>
            <w:fldChar w:fldCharType="end"/>
          </w:r>
        </w:sdtContent>
      </w:sdt>
    </w:p>
    <w:p w14:paraId="6F39DE47" w14:textId="77777777" w:rsidR="00881660" w:rsidRDefault="00881660" w:rsidP="00881660">
      <w:pPr>
        <w:pStyle w:val="NormalWeb"/>
        <w:spacing w:before="0" w:beforeAutospacing="0" w:after="0" w:afterAutospacing="0"/>
        <w:rPr>
          <w:color w:val="0E101A"/>
        </w:rPr>
      </w:pPr>
      <w:r>
        <w:rPr>
          <w:color w:val="0E101A"/>
        </w:rPr>
        <w:t>Other features of academic English are:</w:t>
      </w:r>
      <w:r>
        <w:rPr>
          <w:color w:val="0E101A"/>
        </w:rPr>
        <w:br/>
      </w:r>
    </w:p>
    <w:p w14:paraId="1A114474" w14:textId="77777777" w:rsidR="00881660" w:rsidRPr="00456FF9" w:rsidRDefault="00881660" w:rsidP="00881660">
      <w:pPr>
        <w:pStyle w:val="NormalWeb"/>
        <w:numPr>
          <w:ilvl w:val="0"/>
          <w:numId w:val="1"/>
        </w:numPr>
        <w:spacing w:before="0" w:beforeAutospacing="0" w:after="0" w:afterAutospacing="0"/>
        <w:rPr>
          <w:color w:val="0E101A"/>
        </w:rPr>
      </w:pPr>
      <w:r w:rsidRPr="00D01ADA">
        <w:rPr>
          <w:color w:val="0E101A"/>
        </w:rPr>
        <w:t>Formal tone - is crucial to express differing views honestly and in an acceptable narrative tone</w:t>
      </w:r>
      <w:r>
        <w:rPr>
          <w:color w:val="0E101A"/>
        </w:rPr>
        <w:t xml:space="preserve"> </w:t>
      </w:r>
      <w:sdt>
        <w:sdtPr>
          <w:rPr>
            <w:color w:val="0E101A"/>
          </w:rPr>
          <w:id w:val="-1072811147"/>
          <w:citation/>
        </w:sdtPr>
        <w:sdtContent>
          <w:r>
            <w:rPr>
              <w:color w:val="0E101A"/>
            </w:rPr>
            <w:fldChar w:fldCharType="begin"/>
          </w:r>
          <w:r>
            <w:rPr>
              <w:color w:val="0E101A"/>
            </w:rPr>
            <w:instrText xml:space="preserve">CITATION Aca221 \l 2057 </w:instrText>
          </w:r>
          <w:r>
            <w:rPr>
              <w:color w:val="0E101A"/>
            </w:rPr>
            <w:fldChar w:fldCharType="separate"/>
          </w:r>
          <w:r w:rsidRPr="00F743E6">
            <w:rPr>
              <w:noProof/>
              <w:color w:val="0E101A"/>
            </w:rPr>
            <w:t>(Sheffield, 2022)</w:t>
          </w:r>
          <w:r>
            <w:rPr>
              <w:color w:val="0E101A"/>
            </w:rPr>
            <w:fldChar w:fldCharType="end"/>
          </w:r>
        </w:sdtContent>
      </w:sdt>
      <w:r w:rsidRPr="00D01ADA">
        <w:rPr>
          <w:color w:val="0E101A"/>
        </w:rPr>
        <w:t>.</w:t>
      </w:r>
      <w:r>
        <w:rPr>
          <w:color w:val="0E101A"/>
        </w:rPr>
        <w:t xml:space="preserve"> </w:t>
      </w:r>
      <w:r w:rsidRPr="00456FF9">
        <w:rPr>
          <w:color w:val="0E101A"/>
        </w:rPr>
        <w:t>Academic writing lacks emotion and is formal, succinct, and exact. It must follow grammar rules and use proper spelling and punctuation. Avoid using "colloquial" terminology when writing; it is considered inappropriate.</w:t>
      </w:r>
    </w:p>
    <w:p w14:paraId="237BD6F5" w14:textId="77777777" w:rsidR="00881660" w:rsidRDefault="00881660" w:rsidP="00881660">
      <w:pPr>
        <w:pStyle w:val="NormalWeb"/>
        <w:numPr>
          <w:ilvl w:val="0"/>
          <w:numId w:val="1"/>
        </w:numPr>
        <w:spacing w:before="0" w:beforeAutospacing="0" w:after="0" w:afterAutospacing="0"/>
        <w:rPr>
          <w:color w:val="0E101A"/>
        </w:rPr>
      </w:pPr>
      <w:r>
        <w:rPr>
          <w:color w:val="0E101A"/>
        </w:rPr>
        <w:t>Use of the third person rather than the first person</w:t>
      </w:r>
    </w:p>
    <w:p w14:paraId="60F22D0C" w14:textId="77777777" w:rsidR="00881660" w:rsidRDefault="00881660" w:rsidP="00881660">
      <w:pPr>
        <w:pStyle w:val="NormalWeb"/>
        <w:numPr>
          <w:ilvl w:val="0"/>
          <w:numId w:val="1"/>
        </w:numPr>
        <w:spacing w:before="0" w:beforeAutospacing="0" w:after="0" w:afterAutospacing="0"/>
        <w:rPr>
          <w:color w:val="0E101A"/>
        </w:rPr>
      </w:pPr>
      <w:r>
        <w:rPr>
          <w:color w:val="0E101A"/>
        </w:rPr>
        <w:t>Use signalling words when creating a report or essay.</w:t>
      </w:r>
    </w:p>
    <w:p w14:paraId="45B72077" w14:textId="77777777" w:rsidR="00881660" w:rsidRDefault="00881660" w:rsidP="00881660">
      <w:pPr>
        <w:pStyle w:val="NormalWeb"/>
        <w:numPr>
          <w:ilvl w:val="0"/>
          <w:numId w:val="1"/>
        </w:numPr>
        <w:spacing w:before="0" w:beforeAutospacing="0" w:after="0" w:afterAutospacing="0"/>
        <w:rPr>
          <w:color w:val="0E101A"/>
        </w:rPr>
      </w:pPr>
      <w:r>
        <w:rPr>
          <w:color w:val="0E101A"/>
        </w:rPr>
        <w:t>The whole work needs to be planned and focused. The assignment will be much easier to read if ideas and supporting details are presented logically.</w:t>
      </w:r>
    </w:p>
    <w:p w14:paraId="1D655FC8" w14:textId="77777777" w:rsidR="00881660" w:rsidRDefault="00881660" w:rsidP="00881660">
      <w:pPr>
        <w:pStyle w:val="NormalWeb"/>
        <w:numPr>
          <w:ilvl w:val="0"/>
          <w:numId w:val="1"/>
        </w:numPr>
        <w:spacing w:before="0" w:beforeAutospacing="0" w:after="0" w:afterAutospacing="0"/>
        <w:rPr>
          <w:color w:val="0E101A"/>
        </w:rPr>
      </w:pPr>
      <w:r>
        <w:rPr>
          <w:color w:val="0E101A"/>
        </w:rPr>
        <w:t>We need to show understanding of the topic. The researcher needs to back up words by experts using in-text citations and references - these strategies can demonstrate that we understand our current knowledge about the topic.</w:t>
      </w:r>
      <w:sdt>
        <w:sdtPr>
          <w:rPr>
            <w:color w:val="0E101A"/>
          </w:rPr>
          <w:id w:val="87206449"/>
          <w:citation/>
        </w:sdtPr>
        <w:sdtContent>
          <w:r>
            <w:rPr>
              <w:color w:val="0E101A"/>
            </w:rPr>
            <w:fldChar w:fldCharType="begin"/>
          </w:r>
          <w:r>
            <w:rPr>
              <w:color w:val="0E101A"/>
            </w:rPr>
            <w:instrText xml:space="preserve">CITATION Aca22 \l 2057 </w:instrText>
          </w:r>
          <w:r>
            <w:rPr>
              <w:color w:val="0E101A"/>
            </w:rPr>
            <w:fldChar w:fldCharType="separate"/>
          </w:r>
          <w:r>
            <w:rPr>
              <w:noProof/>
              <w:color w:val="0E101A"/>
            </w:rPr>
            <w:t xml:space="preserve"> </w:t>
          </w:r>
          <w:r w:rsidRPr="00F743E6">
            <w:rPr>
              <w:noProof/>
              <w:color w:val="0E101A"/>
            </w:rPr>
            <w:t>(York, 2022)</w:t>
          </w:r>
          <w:r>
            <w:rPr>
              <w:color w:val="0E101A"/>
            </w:rPr>
            <w:fldChar w:fldCharType="end"/>
          </w:r>
        </w:sdtContent>
      </w:sdt>
      <w:r>
        <w:rPr>
          <w:color w:val="0E101A"/>
        </w:rPr>
        <w:t xml:space="preserve"> </w:t>
      </w:r>
    </w:p>
    <w:p w14:paraId="55183A5F" w14:textId="77777777" w:rsidR="00881660" w:rsidRDefault="00881660" w:rsidP="00881660">
      <w:pPr>
        <w:pStyle w:val="NormalWeb"/>
        <w:numPr>
          <w:ilvl w:val="0"/>
          <w:numId w:val="1"/>
        </w:numPr>
        <w:spacing w:before="0" w:beforeAutospacing="0" w:after="0" w:afterAutospacing="0"/>
        <w:rPr>
          <w:color w:val="0E101A"/>
        </w:rPr>
      </w:pPr>
      <w:r>
        <w:rPr>
          <w:color w:val="0E101A"/>
        </w:rPr>
        <w:t>Avoids using shorter or contractions of verbs like won't, doesn't, or it's.</w:t>
      </w:r>
    </w:p>
    <w:p w14:paraId="1D8429A0" w14:textId="77777777" w:rsidR="00881660" w:rsidRDefault="00881660" w:rsidP="00881660">
      <w:pPr>
        <w:pStyle w:val="NormalWeb"/>
        <w:spacing w:before="0" w:beforeAutospacing="0" w:after="0" w:afterAutospacing="0"/>
        <w:rPr>
          <w:color w:val="0E101A"/>
        </w:rPr>
      </w:pPr>
    </w:p>
    <w:p w14:paraId="723DB42A" w14:textId="77777777" w:rsidR="00881660" w:rsidRPr="001D0759" w:rsidRDefault="00881660" w:rsidP="00881660">
      <w:pPr>
        <w:ind w:firstLine="360"/>
        <w:rPr>
          <w:rFonts w:ascii="Times New Roman" w:eastAsia="Times New Roman" w:hAnsi="Times New Roman" w:cs="Times New Roman"/>
          <w:color w:val="0E101A"/>
          <w:sz w:val="24"/>
          <w:szCs w:val="24"/>
          <w:lang w:eastAsia="en-GB"/>
        </w:rPr>
      </w:pPr>
      <w:r w:rsidRPr="001D0759">
        <w:rPr>
          <w:rFonts w:ascii="Times New Roman" w:eastAsia="Times New Roman" w:hAnsi="Times New Roman" w:cs="Times New Roman"/>
          <w:color w:val="0E101A"/>
          <w:sz w:val="24"/>
          <w:szCs w:val="24"/>
          <w:lang w:eastAsia="en-GB"/>
        </w:rPr>
        <w:t xml:space="preserve">Academic writing is crucial for our entire working and professional life. </w:t>
      </w:r>
      <w:proofErr w:type="gramStart"/>
      <w:r w:rsidRPr="001D0759">
        <w:rPr>
          <w:rFonts w:ascii="Times New Roman" w:eastAsia="Times New Roman" w:hAnsi="Times New Roman" w:cs="Times New Roman"/>
          <w:color w:val="0E101A"/>
          <w:sz w:val="24"/>
          <w:szCs w:val="24"/>
          <w:lang w:eastAsia="en-GB"/>
        </w:rPr>
        <w:t>The majority of</w:t>
      </w:r>
      <w:proofErr w:type="gramEnd"/>
      <w:r w:rsidRPr="001D0759">
        <w:rPr>
          <w:rFonts w:ascii="Times New Roman" w:eastAsia="Times New Roman" w:hAnsi="Times New Roman" w:cs="Times New Roman"/>
          <w:color w:val="0E101A"/>
          <w:sz w:val="24"/>
          <w:szCs w:val="24"/>
          <w:lang w:eastAsia="en-GB"/>
        </w:rPr>
        <w:t xml:space="preserve"> jobs require proficient writing abilities</w:t>
      </w:r>
      <w:r>
        <w:rPr>
          <w:rFonts w:ascii="Times New Roman" w:eastAsia="Times New Roman" w:hAnsi="Times New Roman" w:cs="Times New Roman"/>
          <w:color w:val="0E101A"/>
          <w:sz w:val="24"/>
          <w:szCs w:val="24"/>
          <w:lang w:eastAsia="en-GB"/>
        </w:rPr>
        <w:t xml:space="preserve"> </w:t>
      </w:r>
      <w:sdt>
        <w:sdtPr>
          <w:rPr>
            <w:rFonts w:ascii="Times New Roman" w:eastAsia="Times New Roman" w:hAnsi="Times New Roman" w:cs="Times New Roman"/>
            <w:color w:val="0E101A"/>
            <w:sz w:val="24"/>
            <w:szCs w:val="24"/>
            <w:lang w:eastAsia="en-GB"/>
          </w:rPr>
          <w:id w:val="-655142573"/>
          <w:citation/>
        </w:sdtPr>
        <w:sdtContent>
          <w:r>
            <w:rPr>
              <w:rFonts w:ascii="Times New Roman" w:eastAsia="Times New Roman" w:hAnsi="Times New Roman" w:cs="Times New Roman"/>
              <w:color w:val="0E101A"/>
              <w:sz w:val="24"/>
              <w:szCs w:val="24"/>
              <w:lang w:eastAsia="en-GB"/>
            </w:rPr>
            <w:fldChar w:fldCharType="begin"/>
          </w:r>
          <w:r>
            <w:rPr>
              <w:rFonts w:ascii="Times New Roman" w:eastAsia="Times New Roman" w:hAnsi="Times New Roman" w:cs="Times New Roman"/>
              <w:color w:val="0E101A"/>
              <w:sz w:val="24"/>
              <w:szCs w:val="24"/>
              <w:lang w:eastAsia="en-GB"/>
            </w:rPr>
            <w:instrText xml:space="preserve"> CITATION Uva21 \l 2057 </w:instrText>
          </w:r>
          <w:r>
            <w:rPr>
              <w:rFonts w:ascii="Times New Roman" w:eastAsia="Times New Roman" w:hAnsi="Times New Roman" w:cs="Times New Roman"/>
              <w:color w:val="0E101A"/>
              <w:sz w:val="24"/>
              <w:szCs w:val="24"/>
              <w:lang w:eastAsia="en-GB"/>
            </w:rPr>
            <w:fldChar w:fldCharType="separate"/>
          </w:r>
          <w:r w:rsidRPr="00F743E6">
            <w:rPr>
              <w:rFonts w:ascii="Times New Roman" w:eastAsia="Times New Roman" w:hAnsi="Times New Roman" w:cs="Times New Roman"/>
              <w:noProof/>
              <w:color w:val="0E101A"/>
              <w:sz w:val="24"/>
              <w:szCs w:val="24"/>
              <w:lang w:eastAsia="en-GB"/>
            </w:rPr>
            <w:t>(K, 2021)</w:t>
          </w:r>
          <w:r>
            <w:rPr>
              <w:rFonts w:ascii="Times New Roman" w:eastAsia="Times New Roman" w:hAnsi="Times New Roman" w:cs="Times New Roman"/>
              <w:color w:val="0E101A"/>
              <w:sz w:val="24"/>
              <w:szCs w:val="24"/>
              <w:lang w:eastAsia="en-GB"/>
            </w:rPr>
            <w:fldChar w:fldCharType="end"/>
          </w:r>
        </w:sdtContent>
      </w:sdt>
      <w:r w:rsidRPr="001D0759">
        <w:rPr>
          <w:rFonts w:ascii="Times New Roman" w:eastAsia="Times New Roman" w:hAnsi="Times New Roman" w:cs="Times New Roman"/>
          <w:color w:val="0E101A"/>
          <w:sz w:val="24"/>
          <w:szCs w:val="24"/>
          <w:lang w:eastAsia="en-GB"/>
        </w:rPr>
        <w:t>. It is a communication tool that conveys acquired knowledge in a specific field of study. When we write, we will look at previous writers' ideas or works and form our understanding. We need to consider why they did it and consider how we might apply it in the future.</w:t>
      </w:r>
    </w:p>
    <w:p w14:paraId="4435B5AE" w14:textId="77777777" w:rsidR="00881660" w:rsidRDefault="00881660" w:rsidP="00881660">
      <w:pPr>
        <w:rPr>
          <w:rFonts w:ascii="Times New Roman" w:eastAsia="Times New Roman" w:hAnsi="Times New Roman" w:cs="Times New Roman"/>
          <w:color w:val="0E101A"/>
          <w:sz w:val="24"/>
          <w:szCs w:val="24"/>
          <w:lang w:eastAsia="en-GB"/>
        </w:rPr>
      </w:pPr>
      <w:r w:rsidRPr="001D0759">
        <w:rPr>
          <w:rFonts w:ascii="Times New Roman" w:eastAsia="Times New Roman" w:hAnsi="Times New Roman" w:cs="Times New Roman"/>
          <w:color w:val="0E101A"/>
          <w:sz w:val="24"/>
          <w:szCs w:val="24"/>
          <w:lang w:eastAsia="en-GB"/>
        </w:rPr>
        <w:t xml:space="preserve"> According to </w:t>
      </w:r>
      <w:sdt>
        <w:sdtPr>
          <w:rPr>
            <w:rFonts w:ascii="Times New Roman" w:eastAsia="Times New Roman" w:hAnsi="Times New Roman" w:cs="Times New Roman"/>
            <w:color w:val="0E101A"/>
            <w:sz w:val="24"/>
            <w:szCs w:val="24"/>
            <w:lang w:eastAsia="en-GB"/>
          </w:rPr>
          <w:id w:val="338815935"/>
          <w:citation/>
        </w:sdtPr>
        <w:sdtContent>
          <w:r>
            <w:rPr>
              <w:rFonts w:ascii="Times New Roman" w:eastAsia="Times New Roman" w:hAnsi="Times New Roman" w:cs="Times New Roman"/>
              <w:color w:val="0E101A"/>
              <w:sz w:val="24"/>
              <w:szCs w:val="24"/>
              <w:lang w:eastAsia="en-GB"/>
            </w:rPr>
            <w:fldChar w:fldCharType="begin"/>
          </w:r>
          <w:r>
            <w:rPr>
              <w:rFonts w:ascii="Times New Roman" w:eastAsia="Times New Roman" w:hAnsi="Times New Roman" w:cs="Times New Roman"/>
              <w:color w:val="0E101A"/>
              <w:sz w:val="24"/>
              <w:szCs w:val="24"/>
              <w:lang w:eastAsia="en-GB"/>
            </w:rPr>
            <w:instrText xml:space="preserve"> CITATION Gun52 \l 2057 </w:instrText>
          </w:r>
          <w:r>
            <w:rPr>
              <w:rFonts w:ascii="Times New Roman" w:eastAsia="Times New Roman" w:hAnsi="Times New Roman" w:cs="Times New Roman"/>
              <w:color w:val="0E101A"/>
              <w:sz w:val="24"/>
              <w:szCs w:val="24"/>
              <w:lang w:eastAsia="en-GB"/>
            </w:rPr>
            <w:fldChar w:fldCharType="separate"/>
          </w:r>
          <w:r w:rsidRPr="00F743E6">
            <w:rPr>
              <w:rFonts w:ascii="Times New Roman" w:eastAsia="Times New Roman" w:hAnsi="Times New Roman" w:cs="Times New Roman"/>
              <w:noProof/>
              <w:color w:val="0E101A"/>
              <w:sz w:val="24"/>
              <w:szCs w:val="24"/>
              <w:lang w:eastAsia="en-GB"/>
            </w:rPr>
            <w:t>(Gunning, 1952)</w:t>
          </w:r>
          <w:r>
            <w:rPr>
              <w:rFonts w:ascii="Times New Roman" w:eastAsia="Times New Roman" w:hAnsi="Times New Roman" w:cs="Times New Roman"/>
              <w:color w:val="0E101A"/>
              <w:sz w:val="24"/>
              <w:szCs w:val="24"/>
              <w:lang w:eastAsia="en-GB"/>
            </w:rPr>
            <w:fldChar w:fldCharType="end"/>
          </w:r>
        </w:sdtContent>
      </w:sdt>
      <w:r w:rsidRPr="001D0759">
        <w:rPr>
          <w:rFonts w:ascii="Times New Roman" w:eastAsia="Times New Roman" w:hAnsi="Times New Roman" w:cs="Times New Roman"/>
          <w:color w:val="0E101A"/>
          <w:sz w:val="24"/>
          <w:szCs w:val="24"/>
          <w:lang w:eastAsia="en-GB"/>
        </w:rPr>
        <w:t>, the best writing informs, and the worst confuses.</w:t>
      </w:r>
      <w:r>
        <w:rPr>
          <w:rFonts w:ascii="Times New Roman" w:eastAsia="Times New Roman" w:hAnsi="Times New Roman" w:cs="Times New Roman"/>
          <w:color w:val="0E101A"/>
          <w:sz w:val="24"/>
          <w:szCs w:val="24"/>
          <w:lang w:eastAsia="en-GB"/>
        </w:rPr>
        <w:br/>
      </w:r>
      <w:r>
        <w:rPr>
          <w:rFonts w:ascii="Times New Roman" w:eastAsia="Times New Roman" w:hAnsi="Times New Roman" w:cs="Times New Roman"/>
          <w:color w:val="0E101A"/>
          <w:sz w:val="24"/>
          <w:szCs w:val="24"/>
          <w:lang w:eastAsia="en-GB"/>
        </w:rPr>
        <w:br/>
      </w:r>
      <w:r>
        <w:rPr>
          <w:rFonts w:ascii="Times New Roman" w:eastAsia="Times New Roman" w:hAnsi="Times New Roman" w:cs="Times New Roman"/>
          <w:color w:val="0E101A"/>
          <w:sz w:val="24"/>
          <w:szCs w:val="24"/>
          <w:lang w:eastAsia="en-GB"/>
        </w:rPr>
        <w:br/>
      </w:r>
      <w:r>
        <w:rPr>
          <w:rFonts w:ascii="Times New Roman" w:eastAsia="Times New Roman" w:hAnsi="Times New Roman" w:cs="Times New Roman"/>
          <w:noProof/>
          <w:color w:val="0E101A"/>
          <w:sz w:val="24"/>
          <w:szCs w:val="24"/>
          <w:lang w:eastAsia="en-GB"/>
        </w:rPr>
        <w:drawing>
          <wp:inline distT="0" distB="0" distL="0" distR="0" wp14:anchorId="24AF06F0" wp14:editId="69A9E27A">
            <wp:extent cx="5827395" cy="857250"/>
            <wp:effectExtent l="0" t="0" r="1905"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833297" cy="858118"/>
                    </a:xfrm>
                    <a:prstGeom prst="rect">
                      <a:avLst/>
                    </a:prstGeom>
                  </pic:spPr>
                </pic:pic>
              </a:graphicData>
            </a:graphic>
          </wp:inline>
        </w:drawing>
      </w:r>
    </w:p>
    <w:p w14:paraId="5B87A8F4" w14:textId="77777777" w:rsidR="00881660" w:rsidRPr="00D670B3" w:rsidRDefault="00881660" w:rsidP="00881660">
      <w:pPr>
        <w:ind w:firstLine="720"/>
        <w:rPr>
          <w:rFonts w:ascii="Times New Roman" w:eastAsia="Times New Roman" w:hAnsi="Times New Roman" w:cs="Times New Roman"/>
          <w:color w:val="0E101A"/>
          <w:sz w:val="24"/>
          <w:szCs w:val="24"/>
          <w:lang w:eastAsia="en-GB"/>
        </w:rPr>
      </w:pPr>
      <w:r w:rsidRPr="00D670B3">
        <w:rPr>
          <w:rFonts w:ascii="Times New Roman" w:eastAsia="Times New Roman" w:hAnsi="Times New Roman" w:cs="Times New Roman"/>
          <w:color w:val="0E101A"/>
          <w:sz w:val="24"/>
          <w:szCs w:val="24"/>
          <w:lang w:eastAsia="en-GB"/>
        </w:rPr>
        <w:t xml:space="preserve">A similarity Check is the percentage of student submissions identical to or </w:t>
      </w:r>
      <w:proofErr w:type="gramStart"/>
      <w:r w:rsidRPr="00D670B3">
        <w:rPr>
          <w:rFonts w:ascii="Times New Roman" w:eastAsia="Times New Roman" w:hAnsi="Times New Roman" w:cs="Times New Roman"/>
          <w:color w:val="0E101A"/>
          <w:sz w:val="24"/>
          <w:szCs w:val="24"/>
          <w:lang w:eastAsia="en-GB"/>
        </w:rPr>
        <w:t>similar to</w:t>
      </w:r>
      <w:proofErr w:type="gramEnd"/>
      <w:r w:rsidRPr="00D670B3">
        <w:rPr>
          <w:rFonts w:ascii="Times New Roman" w:eastAsia="Times New Roman" w:hAnsi="Times New Roman" w:cs="Times New Roman"/>
          <w:color w:val="0E101A"/>
          <w:sz w:val="24"/>
          <w:szCs w:val="24"/>
          <w:lang w:eastAsia="en-GB"/>
        </w:rPr>
        <w:t xml:space="preserve"> other material calculated by a similarity check. In simple words, this tool checks for plagiarism. Analysing the Similarity Report is more crucial than looking at the final score. Even if you may have a high similarity rating, your writing may be excellent academic writing if it is composed of small percentages from numerous sources. </w:t>
      </w:r>
      <w:proofErr w:type="gramStart"/>
      <w:r w:rsidRPr="00D670B3">
        <w:rPr>
          <w:rFonts w:ascii="Times New Roman" w:eastAsia="Times New Roman" w:hAnsi="Times New Roman" w:cs="Times New Roman"/>
          <w:color w:val="0E101A"/>
          <w:sz w:val="24"/>
          <w:szCs w:val="24"/>
          <w:lang w:eastAsia="en-GB"/>
        </w:rPr>
        <w:t>Similar to</w:t>
      </w:r>
      <w:proofErr w:type="gramEnd"/>
      <w:r w:rsidRPr="00D670B3">
        <w:rPr>
          <w:rFonts w:ascii="Times New Roman" w:eastAsia="Times New Roman" w:hAnsi="Times New Roman" w:cs="Times New Roman"/>
          <w:color w:val="0E101A"/>
          <w:sz w:val="24"/>
          <w:szCs w:val="24"/>
          <w:lang w:eastAsia="en-GB"/>
        </w:rPr>
        <w:t xml:space="preserve"> this, even if your score is pretty low but is only based on one or two sources, there may be an issue. </w:t>
      </w:r>
      <w:sdt>
        <w:sdtPr>
          <w:rPr>
            <w:rFonts w:ascii="Times New Roman" w:eastAsia="Times New Roman" w:hAnsi="Times New Roman" w:cs="Times New Roman"/>
            <w:color w:val="0E101A"/>
            <w:sz w:val="24"/>
            <w:szCs w:val="24"/>
            <w:lang w:eastAsia="en-GB"/>
          </w:rPr>
          <w:id w:val="1407491950"/>
          <w:citation/>
        </w:sdtPr>
        <w:sdtContent>
          <w:r>
            <w:rPr>
              <w:rFonts w:ascii="Times New Roman" w:eastAsia="Times New Roman" w:hAnsi="Times New Roman" w:cs="Times New Roman"/>
              <w:color w:val="0E101A"/>
              <w:sz w:val="24"/>
              <w:szCs w:val="24"/>
              <w:lang w:eastAsia="en-GB"/>
            </w:rPr>
            <w:fldChar w:fldCharType="begin"/>
          </w:r>
          <w:r>
            <w:rPr>
              <w:rFonts w:ascii="Times New Roman" w:eastAsia="Times New Roman" w:hAnsi="Times New Roman" w:cs="Times New Roman"/>
              <w:color w:val="0E101A"/>
              <w:sz w:val="24"/>
              <w:szCs w:val="24"/>
              <w:lang w:eastAsia="en-GB"/>
            </w:rPr>
            <w:instrText xml:space="preserve"> CITATION Dan22 \l 2057 </w:instrText>
          </w:r>
          <w:r>
            <w:rPr>
              <w:rFonts w:ascii="Times New Roman" w:eastAsia="Times New Roman" w:hAnsi="Times New Roman" w:cs="Times New Roman"/>
              <w:color w:val="0E101A"/>
              <w:sz w:val="24"/>
              <w:szCs w:val="24"/>
              <w:lang w:eastAsia="en-GB"/>
            </w:rPr>
            <w:fldChar w:fldCharType="separate"/>
          </w:r>
          <w:r w:rsidRPr="00F743E6">
            <w:rPr>
              <w:rFonts w:ascii="Times New Roman" w:eastAsia="Times New Roman" w:hAnsi="Times New Roman" w:cs="Times New Roman"/>
              <w:noProof/>
              <w:color w:val="0E101A"/>
              <w:sz w:val="24"/>
              <w:szCs w:val="24"/>
              <w:lang w:eastAsia="en-GB"/>
            </w:rPr>
            <w:t>(English, 2022)</w:t>
          </w:r>
          <w:r>
            <w:rPr>
              <w:rFonts w:ascii="Times New Roman" w:eastAsia="Times New Roman" w:hAnsi="Times New Roman" w:cs="Times New Roman"/>
              <w:color w:val="0E101A"/>
              <w:sz w:val="24"/>
              <w:szCs w:val="24"/>
              <w:lang w:eastAsia="en-GB"/>
            </w:rPr>
            <w:fldChar w:fldCharType="end"/>
          </w:r>
        </w:sdtContent>
      </w:sdt>
      <w:r w:rsidRPr="00D670B3">
        <w:rPr>
          <w:rFonts w:ascii="Times New Roman" w:eastAsia="Times New Roman" w:hAnsi="Times New Roman" w:cs="Times New Roman"/>
          <w:color w:val="0E101A"/>
          <w:sz w:val="24"/>
          <w:szCs w:val="24"/>
          <w:lang w:eastAsia="en-GB"/>
        </w:rPr>
        <w:t xml:space="preserve">My similarity check is on level 22%. These sentences are </w:t>
      </w:r>
      <w:proofErr w:type="gramStart"/>
      <w:r w:rsidRPr="00D670B3">
        <w:rPr>
          <w:rFonts w:ascii="Times New Roman" w:eastAsia="Times New Roman" w:hAnsi="Times New Roman" w:cs="Times New Roman"/>
          <w:color w:val="0E101A"/>
          <w:sz w:val="24"/>
          <w:szCs w:val="24"/>
          <w:lang w:eastAsia="en-GB"/>
        </w:rPr>
        <w:t>similar to</w:t>
      </w:r>
      <w:proofErr w:type="gramEnd"/>
      <w:r w:rsidRPr="00D670B3">
        <w:rPr>
          <w:rFonts w:ascii="Times New Roman" w:eastAsia="Times New Roman" w:hAnsi="Times New Roman" w:cs="Times New Roman"/>
          <w:color w:val="0E101A"/>
          <w:sz w:val="24"/>
          <w:szCs w:val="24"/>
          <w:lang w:eastAsia="en-GB"/>
        </w:rPr>
        <w:t xml:space="preserve"> other students' work. It means that my paraphrasing could be at a better grade. In the future, I must focus more on paraphrasing and rewriting highlighted sentences. </w:t>
      </w:r>
      <w:r w:rsidRPr="00D670B3">
        <w:br w:type="page"/>
      </w:r>
    </w:p>
    <w:p w14:paraId="7E69832F" w14:textId="77777777" w:rsidR="00881660" w:rsidRDefault="00881660" w:rsidP="00881660">
      <w:pPr>
        <w:pStyle w:val="Heading2"/>
      </w:pPr>
      <w:bookmarkStart w:id="2" w:name="_Toc118737200"/>
      <w:r>
        <w:lastRenderedPageBreak/>
        <w:t>TASK 3 – CRITICAL WRITING</w:t>
      </w:r>
      <w:bookmarkEnd w:id="2"/>
    </w:p>
    <w:p w14:paraId="30DAAD84" w14:textId="77777777" w:rsidR="00881660" w:rsidRDefault="00881660" w:rsidP="00881660">
      <w:pPr>
        <w:ind w:firstLine="720"/>
        <w:rPr>
          <w:rFonts w:ascii="Times New Roman" w:hAnsi="Times New Roman" w:cs="Times New Roman"/>
          <w:sz w:val="24"/>
          <w:szCs w:val="24"/>
        </w:rPr>
      </w:pPr>
      <w:r w:rsidRPr="001A3ECB">
        <w:rPr>
          <w:rFonts w:ascii="Times New Roman" w:hAnsi="Times New Roman" w:cs="Times New Roman"/>
          <w:sz w:val="24"/>
          <w:szCs w:val="24"/>
        </w:rPr>
        <w:t>Academic writing must be clear and supported by solid evidence. Effective academic writing demonstrates clear critical thinking. In practice, the researcher collects data and information from different sources. After this process ends, what needs to be done is to step back and carefully and logically examine all the information that has been acquired</w:t>
      </w:r>
      <w:r>
        <w:rPr>
          <w:rFonts w:ascii="Times New Roman" w:hAnsi="Times New Roman" w:cs="Times New Roman"/>
          <w:sz w:val="24"/>
          <w:szCs w:val="24"/>
        </w:rPr>
        <w:t>.</w:t>
      </w:r>
      <w:r>
        <w:rPr>
          <w:rFonts w:ascii="Times New Roman" w:hAnsi="Times New Roman" w:cs="Times New Roman"/>
          <w:sz w:val="24"/>
          <w:szCs w:val="24"/>
        </w:rPr>
        <w:br/>
      </w:r>
      <w:r w:rsidRPr="001A3ECB">
        <w:rPr>
          <w:rFonts w:ascii="Times New Roman" w:hAnsi="Times New Roman" w:cs="Times New Roman"/>
          <w:sz w:val="24"/>
          <w:szCs w:val="24"/>
        </w:rPr>
        <w:t xml:space="preserve"> </w:t>
      </w:r>
      <w:sdt>
        <w:sdtPr>
          <w:rPr>
            <w:rFonts w:ascii="Times New Roman" w:hAnsi="Times New Roman" w:cs="Times New Roman"/>
            <w:sz w:val="24"/>
            <w:szCs w:val="24"/>
          </w:rPr>
          <w:id w:val="918138249"/>
          <w:citation/>
        </w:sdtPr>
        <w:sdtContent>
          <w:r w:rsidRPr="001A3ECB">
            <w:rPr>
              <w:rFonts w:ascii="Times New Roman" w:hAnsi="Times New Roman" w:cs="Times New Roman"/>
              <w:sz w:val="24"/>
              <w:szCs w:val="24"/>
            </w:rPr>
            <w:fldChar w:fldCharType="begin"/>
          </w:r>
          <w:r w:rsidRPr="001A3ECB">
            <w:rPr>
              <w:rFonts w:ascii="Times New Roman" w:hAnsi="Times New Roman" w:cs="Times New Roman"/>
              <w:sz w:val="24"/>
              <w:szCs w:val="24"/>
            </w:rPr>
            <w:instrText xml:space="preserve"> CITATION Hel15 \l 2057 </w:instrText>
          </w:r>
          <w:r w:rsidRPr="001A3ECB">
            <w:rPr>
              <w:rFonts w:ascii="Times New Roman" w:hAnsi="Times New Roman" w:cs="Times New Roman"/>
              <w:sz w:val="24"/>
              <w:szCs w:val="24"/>
            </w:rPr>
            <w:fldChar w:fldCharType="separate"/>
          </w:r>
          <w:r w:rsidRPr="00F743E6">
            <w:rPr>
              <w:rFonts w:ascii="Times New Roman" w:hAnsi="Times New Roman" w:cs="Times New Roman"/>
              <w:noProof/>
              <w:sz w:val="24"/>
              <w:szCs w:val="24"/>
            </w:rPr>
            <w:t>(Helen Aveyard, 2015)</w:t>
          </w:r>
          <w:r w:rsidRPr="001A3ECB">
            <w:rPr>
              <w:rFonts w:ascii="Times New Roman" w:hAnsi="Times New Roman" w:cs="Times New Roman"/>
              <w:sz w:val="24"/>
              <w:szCs w:val="24"/>
            </w:rPr>
            <w:fldChar w:fldCharType="end"/>
          </w:r>
        </w:sdtContent>
      </w:sdt>
      <w:r w:rsidRPr="001A3ECB">
        <w:rPr>
          <w:rFonts w:ascii="Times New Roman" w:hAnsi="Times New Roman" w:cs="Times New Roman"/>
          <w:sz w:val="24"/>
          <w:szCs w:val="24"/>
        </w:rPr>
        <w:t xml:space="preserve">. </w:t>
      </w:r>
    </w:p>
    <w:p w14:paraId="503F7C24" w14:textId="77777777" w:rsidR="00881660" w:rsidRDefault="00881660" w:rsidP="00881660">
      <w:pPr>
        <w:ind w:firstLine="720"/>
        <w:rPr>
          <w:rFonts w:ascii="Times New Roman" w:hAnsi="Times New Roman" w:cs="Times New Roman"/>
          <w:sz w:val="24"/>
          <w:szCs w:val="24"/>
        </w:rPr>
      </w:pPr>
      <w:r w:rsidRPr="00507040">
        <w:rPr>
          <w:rFonts w:ascii="Times New Roman" w:hAnsi="Times New Roman" w:cs="Times New Roman"/>
          <w:sz w:val="24"/>
          <w:szCs w:val="24"/>
        </w:rPr>
        <w:t xml:space="preserve">Our minds have </w:t>
      </w:r>
      <w:r>
        <w:rPr>
          <w:rFonts w:ascii="Times New Roman" w:hAnsi="Times New Roman" w:cs="Times New Roman"/>
          <w:sz w:val="24"/>
          <w:szCs w:val="24"/>
        </w:rPr>
        <w:t>the</w:t>
      </w:r>
      <w:r w:rsidRPr="00507040">
        <w:rPr>
          <w:rFonts w:ascii="Times New Roman" w:hAnsi="Times New Roman" w:cs="Times New Roman"/>
          <w:sz w:val="24"/>
          <w:szCs w:val="24"/>
        </w:rPr>
        <w:t xml:space="preserve"> predisposition to seek out shortcuts and simple solutions. Situations, including our cognitive processes, are </w:t>
      </w:r>
      <w:proofErr w:type="gramStart"/>
      <w:r>
        <w:rPr>
          <w:rFonts w:ascii="Times New Roman" w:hAnsi="Times New Roman" w:cs="Times New Roman"/>
          <w:sz w:val="24"/>
          <w:szCs w:val="24"/>
        </w:rPr>
        <w:t>pretty</w:t>
      </w:r>
      <w:r w:rsidRPr="00507040">
        <w:rPr>
          <w:rFonts w:ascii="Times New Roman" w:hAnsi="Times New Roman" w:cs="Times New Roman"/>
          <w:sz w:val="24"/>
          <w:szCs w:val="24"/>
        </w:rPr>
        <w:t xml:space="preserve"> simple</w:t>
      </w:r>
      <w:proofErr w:type="gramEnd"/>
      <w:r w:rsidRPr="00507040">
        <w:rPr>
          <w:rFonts w:ascii="Times New Roman" w:hAnsi="Times New Roman" w:cs="Times New Roman"/>
          <w:sz w:val="24"/>
          <w:szCs w:val="24"/>
        </w:rPr>
        <w:t xml:space="preserve"> to fool unless we utilise systematic procedures to analyse information. We understand that things are not always as they seem as we go through life. We all have unconscious biases that, by definition, are impossible to identify without the use of objective research methods. Even though we </w:t>
      </w:r>
      <w:r>
        <w:rPr>
          <w:rFonts w:ascii="Times New Roman" w:hAnsi="Times New Roman" w:cs="Times New Roman"/>
          <w:sz w:val="24"/>
          <w:szCs w:val="24"/>
        </w:rPr>
        <w:t>know</w:t>
      </w:r>
      <w:r w:rsidRPr="00507040">
        <w:rPr>
          <w:rFonts w:ascii="Times New Roman" w:hAnsi="Times New Roman" w:cs="Times New Roman"/>
          <w:sz w:val="24"/>
          <w:szCs w:val="24"/>
        </w:rPr>
        <w:t xml:space="preserve"> this, it is still simple to overlook crucial information that may lead to the most accurate, impartial, and objective decisions. We must therefore be vigilant in asking new questions and taking.</w:t>
      </w:r>
      <w:r>
        <w:rPr>
          <w:rFonts w:ascii="Times New Roman" w:hAnsi="Times New Roman" w:cs="Times New Roman"/>
          <w:sz w:val="24"/>
          <w:szCs w:val="24"/>
        </w:rPr>
        <w:t xml:space="preserve"> </w:t>
      </w:r>
      <w:sdt>
        <w:sdtPr>
          <w:rPr>
            <w:rFonts w:ascii="Times New Roman" w:hAnsi="Times New Roman" w:cs="Times New Roman"/>
            <w:sz w:val="24"/>
            <w:szCs w:val="24"/>
          </w:rPr>
          <w:id w:val="-1273779177"/>
          <w:citation/>
        </w:sdtPr>
        <w:sdtContent>
          <w:r>
            <w:rPr>
              <w:rFonts w:ascii="Times New Roman" w:hAnsi="Times New Roman" w:cs="Times New Roman"/>
              <w:sz w:val="24"/>
              <w:szCs w:val="24"/>
            </w:rPr>
            <w:fldChar w:fldCharType="begin"/>
          </w:r>
          <w:r w:rsidRPr="00881660">
            <w:rPr>
              <w:rFonts w:ascii="Times New Roman" w:hAnsi="Times New Roman" w:cs="Times New Roman"/>
              <w:sz w:val="24"/>
              <w:szCs w:val="24"/>
            </w:rPr>
            <w:instrText xml:space="preserve"> CITATION Ste19 \l 1045 </w:instrText>
          </w:r>
          <w:r>
            <w:rPr>
              <w:rFonts w:ascii="Times New Roman" w:hAnsi="Times New Roman" w:cs="Times New Roman"/>
              <w:sz w:val="24"/>
              <w:szCs w:val="24"/>
            </w:rPr>
            <w:fldChar w:fldCharType="separate"/>
          </w:r>
          <w:r w:rsidRPr="00881660">
            <w:rPr>
              <w:rFonts w:ascii="Times New Roman" w:hAnsi="Times New Roman" w:cs="Times New Roman"/>
              <w:noProof/>
              <w:sz w:val="24"/>
              <w:szCs w:val="24"/>
            </w:rPr>
            <w:t>(Cottrell, 2019)</w:t>
          </w:r>
          <w:r>
            <w:rPr>
              <w:rFonts w:ascii="Times New Roman" w:hAnsi="Times New Roman" w:cs="Times New Roman"/>
              <w:sz w:val="24"/>
              <w:szCs w:val="24"/>
            </w:rPr>
            <w:fldChar w:fldCharType="end"/>
          </w:r>
        </w:sdtContent>
      </w:sdt>
    </w:p>
    <w:p w14:paraId="2E8A4D17" w14:textId="77777777" w:rsidR="00881660" w:rsidRPr="001A3ECB" w:rsidRDefault="00881660" w:rsidP="00881660">
      <w:pPr>
        <w:ind w:firstLine="720"/>
        <w:rPr>
          <w:rFonts w:ascii="Times New Roman" w:hAnsi="Times New Roman" w:cs="Times New Roman"/>
          <w:sz w:val="24"/>
          <w:szCs w:val="24"/>
        </w:rPr>
      </w:pPr>
      <w:r w:rsidRPr="00D00228">
        <w:rPr>
          <w:rFonts w:ascii="Times New Roman" w:hAnsi="Times New Roman" w:cs="Times New Roman"/>
          <w:sz w:val="24"/>
          <w:szCs w:val="24"/>
        </w:rPr>
        <w:t>Critical writing must explain how the researcher has interpreted the supporting details and primary sources, how that knowledge has been applied to back up his understanding, and how he has concluded about the subject. Being critical in writing requires participation in scholarly discussions and research being conducted in his field.</w:t>
      </w:r>
      <w:r>
        <w:rPr>
          <w:rFonts w:ascii="Times New Roman" w:hAnsi="Times New Roman" w:cs="Times New Roman"/>
          <w:sz w:val="24"/>
          <w:szCs w:val="24"/>
        </w:rPr>
        <w:t xml:space="preserve"> </w:t>
      </w:r>
      <w:r w:rsidRPr="00B4528F">
        <w:rPr>
          <w:rFonts w:ascii="Times New Roman" w:hAnsi="Times New Roman" w:cs="Times New Roman"/>
          <w:sz w:val="24"/>
          <w:szCs w:val="24"/>
        </w:rPr>
        <w:t>Your thought process and understanding of the information you have read will be revealed by the sources you choose, how you explain how they concur or disagree with other pieces of evidence, and how you organise your case.</w:t>
      </w:r>
      <w:r>
        <w:rPr>
          <w:rFonts w:ascii="Times New Roman" w:hAnsi="Times New Roman" w:cs="Times New Roman"/>
          <w:sz w:val="24"/>
          <w:szCs w:val="24"/>
        </w:rPr>
        <w:t xml:space="preserve"> </w:t>
      </w:r>
      <w:sdt>
        <w:sdtPr>
          <w:rPr>
            <w:rFonts w:ascii="Times New Roman" w:hAnsi="Times New Roman" w:cs="Times New Roman"/>
            <w:sz w:val="24"/>
            <w:szCs w:val="24"/>
          </w:rPr>
          <w:id w:val="-2070415341"/>
          <w:citation/>
        </w:sdtPr>
        <w:sdtContent>
          <w:r>
            <w:rPr>
              <w:rFonts w:ascii="Times New Roman" w:hAnsi="Times New Roman" w:cs="Times New Roman"/>
              <w:sz w:val="24"/>
              <w:szCs w:val="24"/>
            </w:rPr>
            <w:fldChar w:fldCharType="begin"/>
          </w:r>
          <w:r w:rsidRPr="003E117A">
            <w:rPr>
              <w:rFonts w:ascii="Times New Roman" w:hAnsi="Times New Roman" w:cs="Times New Roman"/>
              <w:sz w:val="24"/>
              <w:szCs w:val="24"/>
            </w:rPr>
            <w:instrText xml:space="preserve"> CITATION Cri22 \l 1045 </w:instrText>
          </w:r>
          <w:r>
            <w:rPr>
              <w:rFonts w:ascii="Times New Roman" w:hAnsi="Times New Roman" w:cs="Times New Roman"/>
              <w:sz w:val="24"/>
              <w:szCs w:val="24"/>
            </w:rPr>
            <w:fldChar w:fldCharType="separate"/>
          </w:r>
          <w:r w:rsidRPr="00F743E6">
            <w:rPr>
              <w:rFonts w:ascii="Times New Roman" w:hAnsi="Times New Roman" w:cs="Times New Roman"/>
              <w:noProof/>
              <w:sz w:val="24"/>
              <w:szCs w:val="24"/>
            </w:rPr>
            <w:t>(Anon., 2022)</w:t>
          </w:r>
          <w:r>
            <w:rPr>
              <w:rFonts w:ascii="Times New Roman" w:hAnsi="Times New Roman" w:cs="Times New Roman"/>
              <w:sz w:val="24"/>
              <w:szCs w:val="24"/>
            </w:rPr>
            <w:fldChar w:fldCharType="end"/>
          </w:r>
        </w:sdtContent>
      </w:sdt>
    </w:p>
    <w:p w14:paraId="0ABC474C" w14:textId="77777777" w:rsidR="00881660" w:rsidRDefault="00881660" w:rsidP="00881660"/>
    <w:p w14:paraId="7407DD36" w14:textId="77777777" w:rsidR="00881660" w:rsidRDefault="00881660" w:rsidP="00881660"/>
    <w:p w14:paraId="6CBE6011" w14:textId="77777777" w:rsidR="00881660" w:rsidRDefault="00881660" w:rsidP="00881660"/>
    <w:p w14:paraId="5E786B54" w14:textId="77777777" w:rsidR="00881660" w:rsidRDefault="00881660" w:rsidP="00881660"/>
    <w:p w14:paraId="4CBA58CC" w14:textId="77777777" w:rsidR="00881660" w:rsidRDefault="00881660" w:rsidP="00881660"/>
    <w:p w14:paraId="23ED5770" w14:textId="77777777" w:rsidR="00881660" w:rsidRDefault="00881660" w:rsidP="00881660"/>
    <w:p w14:paraId="6340288B" w14:textId="77777777" w:rsidR="00881660" w:rsidRDefault="00881660" w:rsidP="00881660"/>
    <w:p w14:paraId="2F6059ED" w14:textId="77777777" w:rsidR="00881660" w:rsidRDefault="00881660" w:rsidP="00881660"/>
    <w:p w14:paraId="1E66B57D" w14:textId="77777777" w:rsidR="00881660" w:rsidRDefault="00881660" w:rsidP="00881660"/>
    <w:p w14:paraId="654D2E76" w14:textId="77777777" w:rsidR="00881660" w:rsidRDefault="00881660" w:rsidP="00881660"/>
    <w:p w14:paraId="5CFC4B98" w14:textId="77777777" w:rsidR="00881660" w:rsidRDefault="00881660" w:rsidP="00881660"/>
    <w:p w14:paraId="55ECE12E" w14:textId="77777777" w:rsidR="00881660" w:rsidRDefault="00881660" w:rsidP="00881660"/>
    <w:p w14:paraId="7B878F2E" w14:textId="77777777" w:rsidR="00881660" w:rsidRDefault="00881660" w:rsidP="00881660"/>
    <w:p w14:paraId="1A8CC004" w14:textId="77777777" w:rsidR="00881660" w:rsidRDefault="00881660" w:rsidP="00881660"/>
    <w:p w14:paraId="5A425945" w14:textId="77777777" w:rsidR="00A03C67" w:rsidRDefault="00A03C67"/>
    <w:sectPr w:rsidR="00A03C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92982"/>
    <w:multiLevelType w:val="hybridMultilevel"/>
    <w:tmpl w:val="DBC23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5555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660"/>
    <w:rsid w:val="00125914"/>
    <w:rsid w:val="002C1E78"/>
    <w:rsid w:val="00881660"/>
    <w:rsid w:val="00A03C67"/>
    <w:rsid w:val="00E04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D50C4"/>
  <w15:chartTrackingRefBased/>
  <w15:docId w15:val="{A0077FA3-161E-456E-A912-7765390F4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660"/>
  </w:style>
  <w:style w:type="paragraph" w:styleId="Heading1">
    <w:name w:val="heading 1"/>
    <w:basedOn w:val="Normal"/>
    <w:next w:val="Normal"/>
    <w:link w:val="Heading1Char"/>
    <w:uiPriority w:val="9"/>
    <w:qFormat/>
    <w:rsid w:val="008816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816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66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8166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816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816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KEY22</b:Tag>
    <b:SourceType>InternetSite</b:SourceType>
    <b:Guid>{3BE44D07-0EF6-4539-9320-09A2E7C855EA}</b:Guid>
    <b:Title>KEY FEATURES OF ACADEMIC REPORTS</b:Title>
    <b:Year>2022</b:Year>
    <b:YearAccessed>2022</b:YearAccessed>
    <b:MonthAccessed>10</b:MonthAccessed>
    <b:DayAccessed>31</b:DayAccessed>
    <b:URL>https://www.port.ac.uk/student-life/help-and-advice/study-skills/written-assignments/key-features-of-academic-reports</b:URL>
    <b:RefOrder>2</b:RefOrder>
  </b:Source>
  <b:Source>
    <b:Tag>Fel22</b:Tag>
    <b:SourceType>ElectronicSource</b:SourceType>
    <b:Guid>{5CA8D7E5-36AF-4BB0-AB35-A7515A759996}</b:Guid>
    <b:Author>
      <b:Author>
        <b:NameList>
          <b:Person>
            <b:Last>Felices</b:Last>
            <b:First>Christian</b:First>
          </b:Person>
        </b:NameList>
      </b:Author>
    </b:Author>
    <b:Title>Learning in Digital Era</b:Title>
    <b:Year>2022</b:Year>
    <b:City>Swansea</b:City>
    <b:RefOrder>3</b:RefOrder>
  </b:Source>
  <b:Source>
    <b:Tag>Aca22</b:Tag>
    <b:SourceType>InternetSite</b:SourceType>
    <b:Guid>{E723C752-D2D6-411D-88ED-BF96C1171AC9}</b:Guid>
    <b:Title>Academic writing: a practical guide</b:Title>
    <b:Year>2022</b:Year>
    <b:YearAccessed>2022</b:YearAccessed>
    <b:MonthAccessed>10</b:MonthAccessed>
    <b:DayAccessed>31</b:DayAccessed>
    <b:URL>https://subjectguides.york.ac.uk/academic-writing/academic-style</b:URL>
    <b:Author>
      <b:Author>
        <b:NameList>
          <b:Person>
            <b:Last>York</b:Last>
            <b:First>University</b:First>
            <b:Middle>of</b:Middle>
          </b:Person>
        </b:NameList>
      </b:Author>
    </b:Author>
    <b:RefOrder>4</b:RefOrder>
  </b:Source>
  <b:Source>
    <b:Tag>Aca221</b:Tag>
    <b:SourceType>InternetSite</b:SourceType>
    <b:Guid>{2AC108F0-1593-49E5-8683-90636449083A}</b:Guid>
    <b:Title>Academic writing</b:Title>
    <b:Year>2022</b:Year>
    <b:YearAccessed>2022</b:YearAccessed>
    <b:MonthAccessed>10</b:MonthAccessed>
    <b:DayAccessed>31</b:DayAccessed>
    <b:URL>https://www.sheffield.ac.uk/academic-skills/study-skills-online/academic-writing</b:URL>
    <b:Author>
      <b:Author>
        <b:NameList>
          <b:Person>
            <b:Last>Sheffield</b:Last>
            <b:First>The</b:First>
            <b:Middle>University of</b:Middle>
          </b:Person>
        </b:NameList>
      </b:Author>
    </b:Author>
    <b:RefOrder>5</b:RefOrder>
  </b:Source>
  <b:Source>
    <b:Tag>Uva21</b:Tag>
    <b:SourceType>InternetSite</b:SourceType>
    <b:Guid>{97CE822C-E9A3-41DA-B733-CBCA955B681D}</b:Guid>
    <b:Title>Importance of Academic writing</b:Title>
    <b:Year>2021</b:Year>
    <b:Author>
      <b:Author>
        <b:NameList>
          <b:Person>
            <b:Last>K</b:Last>
            <b:First>Uvaldi</b:First>
          </b:Person>
        </b:NameList>
      </b:Author>
    </b:Author>
    <b:YearAccessed>2022</b:YearAccessed>
    <b:MonthAccessed>10</b:MonthAccessed>
    <b:DayAccessed>31</b:DayAccessed>
    <b:URL>https://www.linkedin.com/pulse/importance-academic-writing-uvaldi-kleynhans?trk=public_profile_article_view</b:URL>
    <b:RefOrder>6</b:RefOrder>
  </b:Source>
  <b:Source>
    <b:Tag>Gun52</b:Tag>
    <b:SourceType>Book</b:SourceType>
    <b:Guid>{ED3BB0B3-6DE4-4E17-84A1-71319E2343A7}</b:Guid>
    <b:Author>
      <b:Author>
        <b:NameList>
          <b:Person>
            <b:Last>Gunning</b:Last>
            <b:First>Robert</b:First>
          </b:Person>
        </b:NameList>
      </b:Author>
    </b:Author>
    <b:Title>The Technique of Clear Writing</b:Title>
    <b:Year>1952</b:Year>
    <b:Publisher>McGraw-Hill</b:Publisher>
    <b:Edition>1</b:Edition>
    <b:RefOrder>7</b:RefOrder>
  </b:Source>
  <b:Source>
    <b:Tag>Dan22</b:Tag>
    <b:SourceType>InternetSite</b:SourceType>
    <b:Guid>{00BE81DA-0C2A-E346-A1DD-842D217753CE}</b:Guid>
    <b:Title>What is a good Similarity Report score? </b:Title>
    <b:Year>2022</b:Year>
    <b:LCID>en-GB</b:LCID>
    <b:Author>
      <b:Author>
        <b:NameList>
          <b:Person>
            <b:Last>English</b:Last>
            <b:First>Dan</b:First>
          </b:Person>
        </b:NameList>
      </b:Author>
    </b:Author>
    <b:URL>https://ncirl.libanswers.com/turnitinfaqs2/faq/191738</b:URL>
    <b:YearAccessed>2022</b:YearAccessed>
    <b:MonthAccessed>11</b:MonthAccessed>
    <b:DayAccessed>08</b:DayAccessed>
    <b:RefOrder>8</b:RefOrder>
  </b:Source>
  <b:Source>
    <b:Tag>Hel15</b:Tag>
    <b:SourceType>Book</b:SourceType>
    <b:Guid>{B857852F-76CB-4AF7-B91A-29A779514994}</b:Guid>
    <b:Title>A Beginner’s Guide to Critical Thinking and Writing in Health and Social Care</b:Title>
    <b:Year>2015</b:Year>
    <b:Author>
      <b:Author>
        <b:NameList>
          <b:Person>
            <b:Last>Helen Aveyard</b:Last>
            <b:First>Pam</b:First>
            <b:Middle>Sharp, Mary Woolliams</b:Middle>
          </b:Person>
        </b:NameList>
      </b:Author>
    </b:Author>
    <b:Publisher>Maidenhead</b:Publisher>
    <b:Edition>2</b:Edition>
    <b:RefOrder>9</b:RefOrder>
  </b:Source>
  <b:Source>
    <b:Tag>Ste19</b:Tag>
    <b:SourceType>Book</b:SourceType>
    <b:Guid>{0373CA3D-0D77-4E0F-A6CC-8A2235EBC460}</b:Guid>
    <b:Author>
      <b:Author>
        <b:NameList>
          <b:Person>
            <b:Last>Cottrell</b:Last>
            <b:First>Stella</b:First>
          </b:Person>
        </b:NameList>
      </b:Author>
    </b:Author>
    <b:Title>The Study Skills Handbook</b:Title>
    <b:Year>2019</b:Year>
    <b:Publisher>Bloomsbury Publishing Plc</b:Publisher>
    <b:RefOrder>10</b:RefOrder>
  </b:Source>
  <b:Source>
    <b:Tag>Cri22</b:Tag>
    <b:SourceType>InternetSite</b:SourceType>
    <b:Guid>{5557DE2A-1063-42F2-98FC-34741DC4AB33}</b:Guid>
    <b:Title>Critical thinking / Critical writing</b:Title>
    <b:Year>2022</b:Year>
    <b:YearAccessed>2022</b:YearAccessed>
    <b:MonthAccessed>10</b:MonthAccessed>
    <b:DayAccessed>31</b:DayAccessed>
    <b:URL>https://library.leeds.ac.uk/info/1401/academic_skills/105/critical_thinking/5</b:URL>
    <b:RefOrder>11</b:RefOrder>
  </b:Source>
</b:Sources>
</file>

<file path=customXml/itemProps1.xml><?xml version="1.0" encoding="utf-8"?>
<ds:datastoreItem xmlns:ds="http://schemas.openxmlformats.org/officeDocument/2006/customXml" ds:itemID="{012801D0-89FE-4E39-BFE5-34C775DBE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783</Words>
  <Characters>4464</Characters>
  <Application>Microsoft Office Word</Application>
  <DocSecurity>0</DocSecurity>
  <Lines>37</Lines>
  <Paragraphs>10</Paragraphs>
  <ScaleCrop>false</ScaleCrop>
  <Company/>
  <LinksUpToDate>false</LinksUpToDate>
  <CharactersWithSpaces>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Marcin Soja</dc:creator>
  <cp:keywords/>
  <dc:description/>
  <cp:lastModifiedBy>Marcin Soja</cp:lastModifiedBy>
  <cp:revision>1</cp:revision>
  <dcterms:created xsi:type="dcterms:W3CDTF">2022-11-22T21:45:00Z</dcterms:created>
  <dcterms:modified xsi:type="dcterms:W3CDTF">2022-11-22T21:45:00Z</dcterms:modified>
</cp:coreProperties>
</file>