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C7A650" w14:textId="123353DA" w:rsidR="00034D12" w:rsidRPr="00574BD6" w:rsidRDefault="00B12797">
      <w:pPr>
        <w:rPr>
          <w:i/>
          <w:iCs/>
          <w:u w:val="single"/>
        </w:rPr>
      </w:pPr>
      <w:r w:rsidRPr="00574BD6">
        <w:rPr>
          <w:u w:val="single"/>
        </w:rPr>
        <w:t xml:space="preserve">Book review: </w:t>
      </w:r>
      <w:r w:rsidRPr="00574BD6">
        <w:rPr>
          <w:i/>
          <w:iCs/>
          <w:u w:val="single"/>
        </w:rPr>
        <w:t>Materiality of Writing in Early Mesopotamia,</w:t>
      </w:r>
      <w:r w:rsidRPr="00574BD6">
        <w:rPr>
          <w:u w:val="single"/>
        </w:rPr>
        <w:t xml:space="preserve"> edified by Thomas E. Blake and Christina Tsoupa</w:t>
      </w:r>
      <w:r w:rsidR="008040BE" w:rsidRPr="00574BD6">
        <w:rPr>
          <w:u w:val="single"/>
        </w:rPr>
        <w:t>ropoulou.</w:t>
      </w:r>
    </w:p>
    <w:p w14:paraId="3BA7A481" w14:textId="4D48770A" w:rsidR="000D4540" w:rsidRPr="000D4540" w:rsidRDefault="000D4540"/>
    <w:p w14:paraId="461F7835" w14:textId="759E6196" w:rsidR="0027368B" w:rsidRDefault="008130D8">
      <w:r>
        <w:rPr>
          <w:i/>
          <w:iCs/>
        </w:rPr>
        <w:t>Materiality of Writing in Early Mesopotamia</w:t>
      </w:r>
      <w:r w:rsidR="00AC70D1">
        <w:rPr>
          <w:i/>
          <w:iCs/>
        </w:rPr>
        <w:t xml:space="preserve"> </w:t>
      </w:r>
      <w:r w:rsidR="00AC70D1">
        <w:t>e</w:t>
      </w:r>
      <w:r>
        <w:t>dited by Thomas E. Blake and Christina Tsouparopoulou</w:t>
      </w:r>
      <w:r w:rsidR="00AC70D1">
        <w:t xml:space="preserve"> is a </w:t>
      </w:r>
      <w:r w:rsidR="004A71E2">
        <w:t xml:space="preserve">2016 </w:t>
      </w:r>
      <w:r w:rsidR="005B757A">
        <w:t xml:space="preserve">published book </w:t>
      </w:r>
      <w:r w:rsidR="008040BE">
        <w:t>which comprises of the</w:t>
      </w:r>
      <w:r w:rsidR="005B757A">
        <w:t xml:space="preserve"> </w:t>
      </w:r>
      <w:r w:rsidR="00AD5FCB">
        <w:t>collective essays</w:t>
      </w:r>
      <w:r w:rsidR="00F56D2E">
        <w:t xml:space="preserve"> from the</w:t>
      </w:r>
      <w:r w:rsidR="004E72CC">
        <w:t xml:space="preserve"> </w:t>
      </w:r>
      <w:r w:rsidR="00A676D0">
        <w:t>International Academic Heidelberg conference</w:t>
      </w:r>
      <w:r w:rsidR="003610ED">
        <w:t xml:space="preserve"> in May 2013</w:t>
      </w:r>
      <w:r w:rsidR="009C4108">
        <w:t xml:space="preserve">, organised by the </w:t>
      </w:r>
      <w:r w:rsidR="00CC2A44">
        <w:t>Collaborative Research Centre 933</w:t>
      </w:r>
      <w:r w:rsidR="00724EEE">
        <w:t xml:space="preserve"> established in 2011 at </w:t>
      </w:r>
      <w:r w:rsidR="00AF4CA9">
        <w:t>Heidelberg University</w:t>
      </w:r>
      <w:r w:rsidR="0027368B">
        <w:t>.</w:t>
      </w:r>
      <w:r w:rsidR="007F1F5B">
        <w:t xml:space="preserve"> Their main focus of study </w:t>
      </w:r>
      <w:r w:rsidR="0029587A">
        <w:t xml:space="preserve">as an organisation </w:t>
      </w:r>
      <w:r w:rsidR="00437276">
        <w:t>is ‘the materiality of writing (as an act) and the materiality of text (as an artefact</w:t>
      </w:r>
      <w:r w:rsidR="008A3DB5">
        <w:t>)</w:t>
      </w:r>
      <w:r w:rsidR="00FC235E">
        <w:rPr>
          <w:rStyle w:val="FootnoteReference"/>
        </w:rPr>
        <w:footnoteReference w:id="2"/>
      </w:r>
      <w:r w:rsidR="00BF250E">
        <w:t xml:space="preserve"> from a historical perspective.</w:t>
      </w:r>
      <w:r w:rsidR="00B96BBF">
        <w:t xml:space="preserve"> This book review is excluding the 4 German chapters as I am not fluent in the language, nor have the means to faithfully translate it. </w:t>
      </w:r>
    </w:p>
    <w:p w14:paraId="38E0036D" w14:textId="53A72E64" w:rsidR="00D82A87" w:rsidRDefault="002D6F2D">
      <w:r>
        <w:t xml:space="preserve">The </w:t>
      </w:r>
      <w:r w:rsidR="00DE427A">
        <w:t xml:space="preserve">main </w:t>
      </w:r>
      <w:bookmarkStart w:id="0" w:name="_Int_A9jV9UUi"/>
      <w:r w:rsidR="00DE427A">
        <w:t>objective</w:t>
      </w:r>
      <w:bookmarkEnd w:id="0"/>
      <w:r>
        <w:t xml:space="preserve"> of the </w:t>
      </w:r>
      <w:r w:rsidR="00DE427A">
        <w:t xml:space="preserve">conference </w:t>
      </w:r>
      <w:r w:rsidR="007D36B0">
        <w:t xml:space="preserve">was to address the </w:t>
      </w:r>
      <w:r w:rsidR="00B218C7">
        <w:t xml:space="preserve">neglected relation between inscribed artefacts, its material </w:t>
      </w:r>
      <w:r w:rsidR="007E63D1">
        <w:t>character,</w:t>
      </w:r>
      <w:r w:rsidR="00B218C7">
        <w:t xml:space="preserve"> and the prioritisation </w:t>
      </w:r>
      <w:r w:rsidR="007875D6">
        <w:t>of these texts due to thei</w:t>
      </w:r>
      <w:r w:rsidR="003B6EC0">
        <w:t xml:space="preserve">r </w:t>
      </w:r>
      <w:r w:rsidR="007E63D1">
        <w:t>content being power-discursive</w:t>
      </w:r>
      <w:r w:rsidR="00771312">
        <w:t>.</w:t>
      </w:r>
      <w:r w:rsidR="007E63D1">
        <w:t>’</w:t>
      </w:r>
      <w:r w:rsidR="0029587A">
        <w:rPr>
          <w:rStyle w:val="FootnoteReference"/>
        </w:rPr>
        <w:footnoteReference w:id="3"/>
      </w:r>
      <w:r w:rsidR="003A7C1D">
        <w:t xml:space="preserve"> T</w:t>
      </w:r>
      <w:r w:rsidR="00285E5F">
        <w:t xml:space="preserve">he main </w:t>
      </w:r>
      <w:r w:rsidR="007C4E79">
        <w:t>aim</w:t>
      </w:r>
      <w:r w:rsidR="00285E5F">
        <w:t xml:space="preserve"> of the book is </w:t>
      </w:r>
      <w:r w:rsidR="002228D7">
        <w:t xml:space="preserve">the study of various writing media </w:t>
      </w:r>
      <w:r w:rsidR="007C4E79">
        <w:t>on various materials</w:t>
      </w:r>
      <w:r w:rsidR="00ED71F8">
        <w:t xml:space="preserve"> in their forms and formats through a</w:t>
      </w:r>
      <w:r w:rsidR="00BD200B">
        <w:t>n</w:t>
      </w:r>
      <w:r w:rsidR="00ED71F8">
        <w:t xml:space="preserve"> anthropological and textual approach.</w:t>
      </w:r>
      <w:r w:rsidR="00BD200B">
        <w:rPr>
          <w:rStyle w:val="FootnoteReference"/>
        </w:rPr>
        <w:footnoteReference w:id="4"/>
      </w:r>
    </w:p>
    <w:p w14:paraId="65FAC3D8" w14:textId="26794FF6" w:rsidR="00F1253B" w:rsidRDefault="005D1978">
      <w:r>
        <w:t xml:space="preserve">The book </w:t>
      </w:r>
      <w:bookmarkStart w:id="1" w:name="_Int_z64GQqV9"/>
      <w:r>
        <w:t>comprises</w:t>
      </w:r>
      <w:bookmarkEnd w:id="1"/>
      <w:r>
        <w:t xml:space="preserve"> of an introduction, 12 chapters by a different </w:t>
      </w:r>
      <w:r w:rsidR="00DB6931">
        <w:t>author</w:t>
      </w:r>
      <w:r w:rsidR="008B04C4">
        <w:t xml:space="preserve"> (</w:t>
      </w:r>
      <w:r w:rsidR="00DB6931">
        <w:t>scholars of Assyriology and who were contributors to the May 2013 conference</w:t>
      </w:r>
      <w:r w:rsidR="008B04C4">
        <w:t>)</w:t>
      </w:r>
      <w:r w:rsidR="00DB6931">
        <w:t xml:space="preserve"> </w:t>
      </w:r>
      <w:r>
        <w:t xml:space="preserve">and </w:t>
      </w:r>
      <w:r w:rsidR="00821223">
        <w:t>a concluding section</w:t>
      </w:r>
      <w:r>
        <w:t xml:space="preserve"> summarising the authors and their other works. </w:t>
      </w:r>
      <w:r w:rsidR="008D5AC8">
        <w:t>The book runs in</w:t>
      </w:r>
      <w:r w:rsidR="008D5AC8" w:rsidRPr="6FB9D309">
        <w:rPr>
          <w:b/>
        </w:rPr>
        <w:t xml:space="preserve"> </w:t>
      </w:r>
      <w:r w:rsidR="008E36A8" w:rsidRPr="008E36A8">
        <w:rPr>
          <w:bCs/>
        </w:rPr>
        <w:t>chronological</w:t>
      </w:r>
      <w:r w:rsidR="008E36A8">
        <w:t xml:space="preserve"> order</w:t>
      </w:r>
      <w:r w:rsidR="008D5AC8">
        <w:t xml:space="preserve">, </w:t>
      </w:r>
      <w:r w:rsidR="00D522EA">
        <w:t>beg</w:t>
      </w:r>
      <w:r w:rsidR="00042A5E">
        <w:t>inning with clay tokens (the earliest administrative</w:t>
      </w:r>
      <w:r w:rsidR="00AE69FD">
        <w:t xml:space="preserve"> device) </w:t>
      </w:r>
      <w:r w:rsidR="00E60F29">
        <w:t>to</w:t>
      </w:r>
      <w:r w:rsidR="0024756A">
        <w:t xml:space="preserve"> the end of the 4</w:t>
      </w:r>
      <w:r w:rsidR="0024756A" w:rsidRPr="0024756A">
        <w:rPr>
          <w:vertAlign w:val="superscript"/>
        </w:rPr>
        <w:t>th</w:t>
      </w:r>
      <w:r w:rsidR="0024756A">
        <w:t xml:space="preserve"> millennium BC</w:t>
      </w:r>
      <w:r w:rsidR="00606325">
        <w:t>E</w:t>
      </w:r>
      <w:r w:rsidR="00D221DA">
        <w:t>.</w:t>
      </w:r>
      <w:r w:rsidR="00935D62">
        <w:t xml:space="preserve"> Many text groups</w:t>
      </w:r>
      <w:r w:rsidR="00322C2A">
        <w:t xml:space="preserve"> are analysed in various mediums, </w:t>
      </w:r>
      <w:r w:rsidR="0084339D">
        <w:t>such as legal documents</w:t>
      </w:r>
      <w:r w:rsidR="00B06AB6">
        <w:rPr>
          <w:rStyle w:val="FootnoteReference"/>
        </w:rPr>
        <w:footnoteReference w:id="5"/>
      </w:r>
      <w:r w:rsidR="0084339D">
        <w:t>, dedicatory objects</w:t>
      </w:r>
      <w:r w:rsidR="00B06AB6">
        <w:rPr>
          <w:rStyle w:val="FootnoteReference"/>
        </w:rPr>
        <w:footnoteReference w:id="6"/>
      </w:r>
      <w:r w:rsidR="0084339D">
        <w:t>, p</w:t>
      </w:r>
      <w:r w:rsidR="004D1512">
        <w:t>rivate commemorative inscriptions</w:t>
      </w:r>
      <w:r w:rsidR="00B06AB6">
        <w:rPr>
          <w:rStyle w:val="FootnoteReference"/>
        </w:rPr>
        <w:footnoteReference w:id="7"/>
      </w:r>
      <w:r w:rsidR="004D1512">
        <w:t xml:space="preserve"> </w:t>
      </w:r>
      <w:r w:rsidR="0084339D">
        <w:t>and</w:t>
      </w:r>
      <w:r w:rsidR="00E042F3">
        <w:t xml:space="preserve"> </w:t>
      </w:r>
      <w:r w:rsidR="005758EE">
        <w:t>also the layout and evolution of tablet texts.</w:t>
      </w:r>
      <w:r w:rsidR="00B06AB6">
        <w:rPr>
          <w:rStyle w:val="FootnoteReference"/>
        </w:rPr>
        <w:footnoteReference w:id="8"/>
      </w:r>
      <w:r w:rsidR="0084339D">
        <w:t xml:space="preserve"> </w:t>
      </w:r>
      <w:r w:rsidR="00295132">
        <w:t xml:space="preserve">The </w:t>
      </w:r>
      <w:r w:rsidR="00285E5F">
        <w:t xml:space="preserve">timeline </w:t>
      </w:r>
      <w:r w:rsidR="004D7952">
        <w:t>ends at the</w:t>
      </w:r>
      <w:r w:rsidR="0024756A">
        <w:t xml:space="preserve"> 2</w:t>
      </w:r>
      <w:r w:rsidR="0024756A" w:rsidRPr="0024756A">
        <w:rPr>
          <w:vertAlign w:val="superscript"/>
        </w:rPr>
        <w:t>nd</w:t>
      </w:r>
      <w:r w:rsidR="0024756A">
        <w:t xml:space="preserve"> m</w:t>
      </w:r>
      <w:r w:rsidR="004D7952">
        <w:t xml:space="preserve">illennium BCE with the </w:t>
      </w:r>
      <w:r w:rsidR="0011286B">
        <w:t>increasement</w:t>
      </w:r>
      <w:r w:rsidR="00AA10D0">
        <w:t xml:space="preserve"> of </w:t>
      </w:r>
      <w:r w:rsidR="0024505F">
        <w:t>durable stone</w:t>
      </w:r>
      <w:r w:rsidR="00C76102">
        <w:t xml:space="preserve">s </w:t>
      </w:r>
      <w:r w:rsidR="009B2DF1">
        <w:t xml:space="preserve">as a medium </w:t>
      </w:r>
      <w:r w:rsidR="000627CA">
        <w:t>for writing</w:t>
      </w:r>
      <w:r w:rsidR="0088029D">
        <w:t xml:space="preserve"> and</w:t>
      </w:r>
      <w:r w:rsidR="003D6D36">
        <w:t xml:space="preserve"> the </w:t>
      </w:r>
      <w:r w:rsidR="00FC070D">
        <w:t xml:space="preserve">last </w:t>
      </w:r>
      <w:r w:rsidR="003D6D36">
        <w:t xml:space="preserve">3 </w:t>
      </w:r>
      <w:r w:rsidR="00FC070D">
        <w:t xml:space="preserve">essays discuss </w:t>
      </w:r>
      <w:r w:rsidR="006C2764">
        <w:t>innovative approaches</w:t>
      </w:r>
      <w:r w:rsidR="00FC070D">
        <w:t xml:space="preserve"> </w:t>
      </w:r>
      <w:r w:rsidR="003D6D36">
        <w:t xml:space="preserve">to already </w:t>
      </w:r>
      <w:bookmarkStart w:id="2" w:name="_Int_Ay2HMij4"/>
      <w:r w:rsidR="003D6D36">
        <w:t>established</w:t>
      </w:r>
      <w:bookmarkEnd w:id="2"/>
      <w:r w:rsidR="003D6D36">
        <w:t xml:space="preserve"> notions of materiality. </w:t>
      </w:r>
      <w:r w:rsidR="007D093E">
        <w:t xml:space="preserve">The book </w:t>
      </w:r>
      <w:bookmarkStart w:id="3" w:name="_Int_XJQaqsdz"/>
      <w:r w:rsidR="007D093E">
        <w:t>is not limited</w:t>
      </w:r>
      <w:bookmarkEnd w:id="3"/>
      <w:r w:rsidR="007D093E">
        <w:t xml:space="preserve"> </w:t>
      </w:r>
      <w:r w:rsidR="003064E4">
        <w:t>to</w:t>
      </w:r>
      <w:r w:rsidR="000C6F03">
        <w:t xml:space="preserve"> text groups or</w:t>
      </w:r>
      <w:r w:rsidR="007D093E">
        <w:t xml:space="preserve"> language</w:t>
      </w:r>
      <w:r w:rsidR="00E02FC8">
        <w:t>,</w:t>
      </w:r>
      <w:r w:rsidR="00904E9D">
        <w:t xml:space="preserve"> with </w:t>
      </w:r>
      <w:r w:rsidR="007D093E">
        <w:t xml:space="preserve">Sumerian, Akkadian and Hittite </w:t>
      </w:r>
      <w:r w:rsidR="009853A9">
        <w:t>texts</w:t>
      </w:r>
      <w:r w:rsidR="00562850">
        <w:t xml:space="preserve"> being the focus of chapters in the cuneiform script</w:t>
      </w:r>
      <w:r w:rsidR="000C61FB">
        <w:t>, meaning a broad range of cultures</w:t>
      </w:r>
      <w:r w:rsidR="003064E4">
        <w:t xml:space="preserve"> within Mesopotamia</w:t>
      </w:r>
      <w:r w:rsidR="005A356D">
        <w:t xml:space="preserve"> are </w:t>
      </w:r>
      <w:bookmarkStart w:id="4" w:name="_Int_flVp0dB4"/>
      <w:r w:rsidR="005A356D">
        <w:t>being discussed</w:t>
      </w:r>
      <w:bookmarkEnd w:id="4"/>
      <w:r w:rsidR="005A356D">
        <w:t>.</w:t>
      </w:r>
    </w:p>
    <w:p w14:paraId="04709D6A" w14:textId="3A444D83" w:rsidR="002D5E18" w:rsidRDefault="002D5E18">
      <w:pPr>
        <w:rPr>
          <w:highlight w:val="cyan"/>
        </w:rPr>
      </w:pPr>
    </w:p>
    <w:p w14:paraId="292E3A2F" w14:textId="3253791F" w:rsidR="00704D38" w:rsidRDefault="00391334">
      <w:r>
        <w:t xml:space="preserve">Chapters </w:t>
      </w:r>
      <w:bookmarkStart w:id="5" w:name="_Int_YrMzwnmn"/>
      <w:r>
        <w:t xml:space="preserve">are </w:t>
      </w:r>
      <w:bookmarkStart w:id="6" w:name="_Int_IpsMhmbX"/>
      <w:r>
        <w:t>consolidated</w:t>
      </w:r>
      <w:bookmarkEnd w:id="5"/>
      <w:bookmarkEnd w:id="6"/>
      <w:r>
        <w:t>, with chapter 3</w:t>
      </w:r>
      <w:r w:rsidR="000011C7">
        <w:rPr>
          <w:rStyle w:val="FootnoteReference"/>
        </w:rPr>
        <w:footnoteReference w:id="9"/>
      </w:r>
      <w:r>
        <w:t xml:space="preserve"> being the longest chapter with 39 pages and the shortest </w:t>
      </w:r>
      <w:r w:rsidR="00161EC2">
        <w:t xml:space="preserve">at </w:t>
      </w:r>
      <w:r>
        <w:t>13 pages</w:t>
      </w:r>
      <w:r w:rsidR="00DD6719">
        <w:t xml:space="preserve">, chapter </w:t>
      </w:r>
      <w:r w:rsidR="000011C7">
        <w:t>4</w:t>
      </w:r>
      <w:r>
        <w:rPr>
          <w:rStyle w:val="FootnoteReference"/>
        </w:rPr>
        <w:footnoteReference w:id="10"/>
      </w:r>
      <w:r>
        <w:t xml:space="preserve">. Images and graphs </w:t>
      </w:r>
      <w:bookmarkStart w:id="7" w:name="_Int_ODSb6FPm"/>
      <w:r>
        <w:t>are provided</w:t>
      </w:r>
      <w:bookmarkEnd w:id="7"/>
      <w:r>
        <w:t xml:space="preserve"> when </w:t>
      </w:r>
      <w:r w:rsidR="005E0CB0">
        <w:t>needed</w:t>
      </w:r>
      <w:r>
        <w:t xml:space="preserve"> which helps the reader contextualise excavation </w:t>
      </w:r>
      <w:commentRangeStart w:id="8"/>
      <w:r w:rsidRPr="00B81810">
        <w:rPr>
          <w:bCs/>
        </w:rPr>
        <w:t>si</w:t>
      </w:r>
      <w:r w:rsidR="0DC3F3C1" w:rsidRPr="00B81810">
        <w:rPr>
          <w:bCs/>
        </w:rPr>
        <w:t>tes</w:t>
      </w:r>
      <w:r w:rsidRPr="2CA18B54">
        <w:rPr>
          <w:b/>
        </w:rPr>
        <w:t xml:space="preserve"> </w:t>
      </w:r>
      <w:commentRangeEnd w:id="8"/>
      <w:r>
        <w:rPr>
          <w:rStyle w:val="CommentReference"/>
        </w:rPr>
        <w:commentReference w:id="8"/>
      </w:r>
      <w:r>
        <w:t xml:space="preserve">and artefacts with clear details of each figure. </w:t>
      </w:r>
      <w:r w:rsidR="00F66C54">
        <w:t>The authors make efforts to create a list of abbreviations at the end of their chapters for those who are unfamiliar, making the reader feel more included in academic scholarship and saves them from independently having to search</w:t>
      </w:r>
      <w:commentRangeStart w:id="9"/>
      <w:r w:rsidR="00F66C54" w:rsidRPr="0D77D147">
        <w:rPr>
          <w:b/>
        </w:rPr>
        <w:t xml:space="preserve"> </w:t>
      </w:r>
      <w:r w:rsidR="45A9E126" w:rsidRPr="00AE7C55">
        <w:t xml:space="preserve">for </w:t>
      </w:r>
      <w:r w:rsidR="00F66C54" w:rsidRPr="00AE7C55">
        <w:t>it</w:t>
      </w:r>
      <w:commentRangeEnd w:id="9"/>
      <w:r w:rsidRPr="00AE7C55">
        <w:rPr>
          <w:rStyle w:val="CommentReference"/>
        </w:rPr>
        <w:commentReference w:id="9"/>
      </w:r>
      <w:r w:rsidR="00F66C54" w:rsidRPr="00AE7C55">
        <w:t xml:space="preserve"> t</w:t>
      </w:r>
      <w:r w:rsidR="00F66C54">
        <w:t>hemselves.</w:t>
      </w:r>
    </w:p>
    <w:p w14:paraId="29851087" w14:textId="77777777" w:rsidR="00BA0F81" w:rsidRDefault="00BA0F81"/>
    <w:p w14:paraId="7DA6A2FF" w14:textId="5E7C1E79" w:rsidR="009224EC" w:rsidRDefault="0050330C">
      <w:r>
        <w:t xml:space="preserve">Many themes are discussed, such as the </w:t>
      </w:r>
      <w:r w:rsidR="000B734C">
        <w:t>“</w:t>
      </w:r>
      <w:r>
        <w:t>intercultural</w:t>
      </w:r>
      <w:r w:rsidR="000B734C">
        <w:t xml:space="preserve"> style”</w:t>
      </w:r>
      <w:r>
        <w:t xml:space="preserve"> vessels</w:t>
      </w:r>
      <w:r w:rsidR="000B734C">
        <w:t xml:space="preserve"> from Nippur</w:t>
      </w:r>
      <w:r w:rsidR="001010F1">
        <w:t>.</w:t>
      </w:r>
      <w:r w:rsidR="000B734C">
        <w:rPr>
          <w:rStyle w:val="FootnoteReference"/>
        </w:rPr>
        <w:footnoteReference w:id="11"/>
      </w:r>
      <w:r w:rsidR="001010F1">
        <w:t xml:space="preserve"> This chapter is </w:t>
      </w:r>
      <w:r w:rsidR="000E2524">
        <w:t>relevant to my studies due</w:t>
      </w:r>
      <w:r w:rsidR="00540112">
        <w:t xml:space="preserve"> to</w:t>
      </w:r>
      <w:r w:rsidR="00452788">
        <w:t xml:space="preserve"> stud</w:t>
      </w:r>
      <w:r w:rsidR="00644EB1">
        <w:t>ying</w:t>
      </w:r>
      <w:r w:rsidR="00452788">
        <w:t xml:space="preserve"> comparative mythology</w:t>
      </w:r>
      <w:r w:rsidR="009F1B24">
        <w:t xml:space="preserve"> for my dissertation</w:t>
      </w:r>
      <w:r w:rsidR="001E4812">
        <w:t xml:space="preserve">, although this was not through a material object perspective, it </w:t>
      </w:r>
      <w:r w:rsidR="00A75A67">
        <w:t>was a great resource for</w:t>
      </w:r>
      <w:r w:rsidR="009644C3">
        <w:t xml:space="preserve"> the dissection of </w:t>
      </w:r>
      <w:r w:rsidR="004F6600">
        <w:t>intercultural styles</w:t>
      </w:r>
      <w:r w:rsidR="009224EC">
        <w:t xml:space="preserve"> as </w:t>
      </w:r>
      <w:r w:rsidR="00175D91">
        <w:t>these objects</w:t>
      </w:r>
      <w:r w:rsidR="009224EC">
        <w:t xml:space="preserve"> are apart of cultural exchange. </w:t>
      </w:r>
    </w:p>
    <w:p w14:paraId="31BE2EBD" w14:textId="1FEEAE92" w:rsidR="00B63113" w:rsidRDefault="003764AF">
      <w:r>
        <w:t>The two objects used in this study w</w:t>
      </w:r>
      <w:r w:rsidR="00175D91">
        <w:t>ere</w:t>
      </w:r>
      <w:r w:rsidR="00B25B6E">
        <w:t xml:space="preserve"> </w:t>
      </w:r>
      <w:r w:rsidR="00445649">
        <w:t>decora</w:t>
      </w:r>
      <w:r w:rsidR="00B25B6E">
        <w:t>ted</w:t>
      </w:r>
      <w:r w:rsidR="00445649">
        <w:t xml:space="preserve"> vessel</w:t>
      </w:r>
      <w:r w:rsidR="00175D91">
        <w:t>s</w:t>
      </w:r>
      <w:r w:rsidR="005E7B9C">
        <w:t xml:space="preserve"> of spotted feline</w:t>
      </w:r>
      <w:r w:rsidR="001334C7">
        <w:t>s in conflict</w:t>
      </w:r>
      <w:r w:rsidR="00B25B6E">
        <w:t xml:space="preserve"> </w:t>
      </w:r>
      <w:r w:rsidR="000A3E4D">
        <w:t>from the Early Dynastic IIIa period</w:t>
      </w:r>
      <w:r w:rsidR="007D3F98">
        <w:t xml:space="preserve"> found in the context level of </w:t>
      </w:r>
      <w:r w:rsidR="007847B6">
        <w:t>VIIB</w:t>
      </w:r>
      <w:r w:rsidR="00B75DF3">
        <w:t xml:space="preserve"> in the Temple of </w:t>
      </w:r>
      <w:proofErr w:type="spellStart"/>
      <w:r w:rsidR="00B75DF3">
        <w:t>Ina</w:t>
      </w:r>
      <w:r w:rsidR="00BD60EF">
        <w:t>nna</w:t>
      </w:r>
      <w:proofErr w:type="spellEnd"/>
      <w:r w:rsidR="00BD60EF">
        <w:t xml:space="preserve"> at Nippur.</w:t>
      </w:r>
      <w:r w:rsidR="00FE6B28">
        <w:rPr>
          <w:rStyle w:val="FootnoteReference"/>
        </w:rPr>
        <w:footnoteReference w:id="12"/>
      </w:r>
      <w:r w:rsidR="00EA7CEC">
        <w:t xml:space="preserve"> </w:t>
      </w:r>
      <w:r w:rsidR="001D4ADE">
        <w:t>However</w:t>
      </w:r>
      <w:r w:rsidR="006045B5">
        <w:t>,</w:t>
      </w:r>
      <w:r w:rsidR="001D4ADE">
        <w:t xml:space="preserve"> they were not man</w:t>
      </w:r>
      <w:r w:rsidR="00B21623">
        <w:t>ufactured</w:t>
      </w:r>
      <w:r w:rsidR="00B657DA">
        <w:t xml:space="preserve"> in </w:t>
      </w:r>
      <w:r w:rsidR="00EF105C">
        <w:t>Nippur but</w:t>
      </w:r>
      <w:r w:rsidR="00E47043">
        <w:t xml:space="preserve"> in southeastern Iran, </w:t>
      </w:r>
      <w:proofErr w:type="spellStart"/>
      <w:r w:rsidR="00BD16C0">
        <w:t>Jiroft</w:t>
      </w:r>
      <w:proofErr w:type="spellEnd"/>
      <w:r w:rsidR="00BD16C0">
        <w:t xml:space="preserve"> and </w:t>
      </w:r>
      <w:bookmarkStart w:id="10" w:name="_Int_53GStm6Z"/>
      <w:r w:rsidR="00BD16C0">
        <w:t>were</w:t>
      </w:r>
      <w:r w:rsidR="00AE3360">
        <w:t xml:space="preserve"> imported</w:t>
      </w:r>
      <w:bookmarkEnd w:id="10"/>
      <w:r w:rsidR="00AE3360">
        <w:t xml:space="preserve"> into Mesopotamia</w:t>
      </w:r>
      <w:r w:rsidR="00D03EC1">
        <w:t xml:space="preserve"> as lux</w:t>
      </w:r>
      <w:r w:rsidR="00F80F21">
        <w:t>ury goods</w:t>
      </w:r>
      <w:r w:rsidR="007857F6">
        <w:t>.</w:t>
      </w:r>
      <w:r w:rsidR="00C401CF">
        <w:t xml:space="preserve"> They were engraved in cuneiform</w:t>
      </w:r>
      <w:r w:rsidR="00A033CF">
        <w:t xml:space="preserve"> </w:t>
      </w:r>
      <w:r w:rsidR="00B274EC">
        <w:t xml:space="preserve">to dedicate and make requests to Gods. </w:t>
      </w:r>
      <w:r w:rsidR="00E03D90">
        <w:t>T</w:t>
      </w:r>
      <w:r w:rsidR="00B63113">
        <w:t>he author</w:t>
      </w:r>
      <w:r w:rsidR="007F63C6">
        <w:t xml:space="preserve"> declares</w:t>
      </w:r>
      <w:r w:rsidR="00C1721D">
        <w:t xml:space="preserve"> in the conclusion</w:t>
      </w:r>
      <w:r w:rsidR="007F63C6">
        <w:t xml:space="preserve"> that </w:t>
      </w:r>
      <w:r w:rsidR="004B31DB">
        <w:t xml:space="preserve">the vessels were </w:t>
      </w:r>
      <w:r w:rsidR="000822DA">
        <w:t>exotic to the inhabitants of Mesopotamia</w:t>
      </w:r>
      <w:r w:rsidR="00B04167">
        <w:t xml:space="preserve"> and</w:t>
      </w:r>
      <w:r w:rsidR="00964974">
        <w:t xml:space="preserve"> once imported they were then</w:t>
      </w:r>
      <w:r w:rsidR="00921FAD">
        <w:t xml:space="preserve"> </w:t>
      </w:r>
      <w:r w:rsidR="00964974">
        <w:t>later inscribe</w:t>
      </w:r>
      <w:r w:rsidR="00921FAD">
        <w:t>d</w:t>
      </w:r>
      <w:r w:rsidR="00964974">
        <w:t xml:space="preserve"> </w:t>
      </w:r>
      <w:r w:rsidR="00E87AC6">
        <w:t xml:space="preserve">to </w:t>
      </w:r>
      <w:r w:rsidR="00483945">
        <w:t xml:space="preserve">turn them into a </w:t>
      </w:r>
      <w:r w:rsidR="0075581C">
        <w:t>votive</w:t>
      </w:r>
      <w:r w:rsidR="00483945">
        <w:t xml:space="preserve"> object. </w:t>
      </w:r>
      <w:r w:rsidR="008B09EE">
        <w:t xml:space="preserve">Therefore, these </w:t>
      </w:r>
      <w:r w:rsidR="00EF7C2C">
        <w:t>“</w:t>
      </w:r>
      <w:r w:rsidR="008B09EE">
        <w:t xml:space="preserve">intercultural </w:t>
      </w:r>
      <w:r w:rsidR="00EF7C2C">
        <w:t xml:space="preserve">style” </w:t>
      </w:r>
      <w:r w:rsidR="001150F4">
        <w:t>vessels</w:t>
      </w:r>
      <w:r w:rsidR="00EF7C2C">
        <w:t xml:space="preserve"> are not</w:t>
      </w:r>
      <w:r w:rsidR="0034484F">
        <w:t xml:space="preserve"> intercultural but </w:t>
      </w:r>
      <w:r w:rsidR="00EF7C2C">
        <w:t>are</w:t>
      </w:r>
      <w:r w:rsidR="00A40E97">
        <w:t xml:space="preserve"> ‘culture-specific’ to where they were made</w:t>
      </w:r>
      <w:r w:rsidR="00921FAD">
        <w:t>.</w:t>
      </w:r>
      <w:r w:rsidR="00E922E6">
        <w:t xml:space="preserve"> </w:t>
      </w:r>
    </w:p>
    <w:p w14:paraId="1904168C" w14:textId="5AC88934" w:rsidR="00E14EBF" w:rsidRDefault="0034484F">
      <w:r>
        <w:t>This has given me a new perspective of intercultural style</w:t>
      </w:r>
      <w:r w:rsidR="00671BC7">
        <w:t>s</w:t>
      </w:r>
      <w:r w:rsidR="00771004">
        <w:t xml:space="preserve"> in material culture</w:t>
      </w:r>
      <w:r w:rsidR="00192AEC">
        <w:t xml:space="preserve"> and</w:t>
      </w:r>
      <w:r w:rsidR="005A356D">
        <w:t xml:space="preserve"> their definition</w:t>
      </w:r>
      <w:r w:rsidR="00192AEC">
        <w:t>. A</w:t>
      </w:r>
      <w:r w:rsidR="00C71212">
        <w:t xml:space="preserve">lthough there may be evidence of intercultural exchange between myths and material objects, they are also </w:t>
      </w:r>
      <w:r w:rsidR="000A2938">
        <w:t>culture-specific to wh</w:t>
      </w:r>
      <w:r w:rsidR="00192AEC">
        <w:t>ere they are practiced</w:t>
      </w:r>
      <w:r w:rsidR="003A018A">
        <w:t xml:space="preserve"> and reside. </w:t>
      </w:r>
      <w:r w:rsidR="002C2207">
        <w:t xml:space="preserve">Although I greatly enjoyed this chapter, I was left somewhat frustrated with the author quoting scholarship in a non-English language and offering no translation, causing me to pause and </w:t>
      </w:r>
      <w:r w:rsidR="003325FE">
        <w:t xml:space="preserve">translate independently which ruined the flow of reading. </w:t>
      </w:r>
    </w:p>
    <w:p w14:paraId="47D01881" w14:textId="77777777" w:rsidR="00BA0F81" w:rsidRDefault="00BA0F81"/>
    <w:p w14:paraId="427C06F7" w14:textId="48C6EDE6" w:rsidR="005336E2" w:rsidRDefault="0074276A">
      <w:r>
        <w:t xml:space="preserve">This book also exposed me to </w:t>
      </w:r>
      <w:r w:rsidR="005336E2">
        <w:t xml:space="preserve">the </w:t>
      </w:r>
      <w:proofErr w:type="spellStart"/>
      <w:r w:rsidR="005336E2">
        <w:t>Hittie</w:t>
      </w:r>
      <w:proofErr w:type="spellEnd"/>
      <w:r w:rsidR="005336E2">
        <w:t xml:space="preserve"> kingdom and culture in the chapter </w:t>
      </w:r>
      <w:r w:rsidR="005336E2" w:rsidRPr="00DB243B">
        <w:rPr>
          <w:i/>
          <w:iCs/>
        </w:rPr>
        <w:t xml:space="preserve">Materiality and Presence of the </w:t>
      </w:r>
      <w:proofErr w:type="spellStart"/>
      <w:r w:rsidR="005336E2" w:rsidRPr="00DB243B">
        <w:rPr>
          <w:i/>
          <w:iCs/>
        </w:rPr>
        <w:t>Anitta</w:t>
      </w:r>
      <w:proofErr w:type="spellEnd"/>
      <w:r w:rsidR="005336E2" w:rsidRPr="00DB243B">
        <w:rPr>
          <w:i/>
          <w:iCs/>
        </w:rPr>
        <w:t xml:space="preserve"> Text in Original and Secondary Context: Considerations on </w:t>
      </w:r>
      <w:r w:rsidR="005336E2" w:rsidRPr="00DB243B">
        <w:rPr>
          <w:i/>
          <w:iCs/>
        </w:rPr>
        <w:lastRenderedPageBreak/>
        <w:t xml:space="preserve">the Original Nature of the Proclamation of </w:t>
      </w:r>
      <w:proofErr w:type="spellStart"/>
      <w:r w:rsidR="005336E2" w:rsidRPr="00DB243B">
        <w:rPr>
          <w:i/>
          <w:iCs/>
        </w:rPr>
        <w:t>Anitta</w:t>
      </w:r>
      <w:proofErr w:type="spellEnd"/>
      <w:r w:rsidR="005336E2" w:rsidRPr="00DB243B">
        <w:rPr>
          <w:i/>
          <w:iCs/>
        </w:rPr>
        <w:t xml:space="preserve"> (CTH 1) and Its Transmission as Part of Hittite Traditional Literature</w:t>
      </w:r>
      <w:r w:rsidR="005336E2">
        <w:t xml:space="preserve"> by </w:t>
      </w:r>
      <w:r w:rsidR="00C43180">
        <w:t xml:space="preserve">Lisa </w:t>
      </w:r>
      <w:proofErr w:type="spellStart"/>
      <w:r w:rsidR="00C43180">
        <w:t>Wilhelmi</w:t>
      </w:r>
      <w:proofErr w:type="spellEnd"/>
      <w:r w:rsidR="00C6639B">
        <w:t>.</w:t>
      </w:r>
      <w:r w:rsidR="00C6639B">
        <w:rPr>
          <w:rStyle w:val="FootnoteReference"/>
        </w:rPr>
        <w:footnoteReference w:id="13"/>
      </w:r>
    </w:p>
    <w:p w14:paraId="00576640" w14:textId="77777777" w:rsidR="0089567D" w:rsidRDefault="00260247">
      <w:r>
        <w:t xml:space="preserve">The </w:t>
      </w:r>
      <w:proofErr w:type="spellStart"/>
      <w:r>
        <w:t>Anitta</w:t>
      </w:r>
      <w:proofErr w:type="spellEnd"/>
      <w:r>
        <w:t xml:space="preserve"> text</w:t>
      </w:r>
      <w:r w:rsidR="00487F3E">
        <w:t xml:space="preserve"> (</w:t>
      </w:r>
      <w:r w:rsidR="00487F3E" w:rsidRPr="00444B95">
        <w:rPr>
          <w:i/>
          <w:iCs/>
        </w:rPr>
        <w:t>C</w:t>
      </w:r>
      <w:r w:rsidR="00444B95" w:rsidRPr="00444B95">
        <w:rPr>
          <w:i/>
          <w:iCs/>
        </w:rPr>
        <w:t>T</w:t>
      </w:r>
      <w:r w:rsidR="00487F3E" w:rsidRPr="00444B95">
        <w:rPr>
          <w:i/>
          <w:iCs/>
        </w:rPr>
        <w:t>H</w:t>
      </w:r>
      <w:r w:rsidR="00444B95">
        <w:t xml:space="preserve"> 1)</w:t>
      </w:r>
      <w:r>
        <w:t xml:space="preserve"> provides many insights in the </w:t>
      </w:r>
      <w:proofErr w:type="spellStart"/>
      <w:r>
        <w:t>Hittie</w:t>
      </w:r>
      <w:proofErr w:type="spellEnd"/>
      <w:r>
        <w:t xml:space="preserve"> Kingdom</w:t>
      </w:r>
      <w:r w:rsidR="003509B2">
        <w:t xml:space="preserve"> and</w:t>
      </w:r>
      <w:r w:rsidR="00213452">
        <w:t xml:space="preserve"> the text itself</w:t>
      </w:r>
      <w:r w:rsidR="003509B2">
        <w:t xml:space="preserve"> functions </w:t>
      </w:r>
      <w:r w:rsidR="00FF6E4A">
        <w:t>as</w:t>
      </w:r>
      <w:r w:rsidR="003509B2">
        <w:t xml:space="preserve"> </w:t>
      </w:r>
      <w:r w:rsidR="00FF6E4A">
        <w:t>a</w:t>
      </w:r>
      <w:r w:rsidR="00CA3828">
        <w:t xml:space="preserve"> legitimisation/declaration of kingship and an </w:t>
      </w:r>
      <w:r w:rsidR="003509B2">
        <w:t xml:space="preserve">instruction manual for the </w:t>
      </w:r>
      <w:r w:rsidR="00EF768A">
        <w:t>heir and administration alike</w:t>
      </w:r>
      <w:r w:rsidR="00046F92">
        <w:t xml:space="preserve"> </w:t>
      </w:r>
      <w:r w:rsidR="00112258">
        <w:t>which</w:t>
      </w:r>
      <w:r w:rsidR="00046F92">
        <w:t xml:space="preserve"> even gives examples of </w:t>
      </w:r>
      <w:r w:rsidR="00456A04">
        <w:t xml:space="preserve">royal family discord </w:t>
      </w:r>
      <w:r w:rsidR="009C00F6">
        <w:t xml:space="preserve">from the past </w:t>
      </w:r>
      <w:r w:rsidR="00456A04">
        <w:t xml:space="preserve">and the </w:t>
      </w:r>
      <w:r w:rsidR="0084336A">
        <w:t>untoward affects</w:t>
      </w:r>
      <w:r w:rsidR="009C00F6">
        <w:t xml:space="preserve"> it had on the </w:t>
      </w:r>
      <w:proofErr w:type="spellStart"/>
      <w:r w:rsidR="009C00F6">
        <w:t>Hatti</w:t>
      </w:r>
      <w:proofErr w:type="spellEnd"/>
      <w:r w:rsidR="009C00F6">
        <w:t xml:space="preserve"> land</w:t>
      </w:r>
      <w:r w:rsidR="005906D7">
        <w:t xml:space="preserve"> as a precursor</w:t>
      </w:r>
      <w:r w:rsidR="00EF768A">
        <w:t>.</w:t>
      </w:r>
      <w:r w:rsidR="00EF768A">
        <w:rPr>
          <w:rStyle w:val="FootnoteReference"/>
        </w:rPr>
        <w:footnoteReference w:id="14"/>
      </w:r>
      <w:r w:rsidR="00943142">
        <w:t xml:space="preserve"> </w:t>
      </w:r>
      <w:r w:rsidR="009D2146">
        <w:t xml:space="preserve"> However</w:t>
      </w:r>
      <w:r w:rsidR="001D4B3E">
        <w:t>,</w:t>
      </w:r>
      <w:r w:rsidR="009D2146">
        <w:t xml:space="preserve"> this </w:t>
      </w:r>
      <w:proofErr w:type="spellStart"/>
      <w:r w:rsidR="009D2146">
        <w:t>Anitta</w:t>
      </w:r>
      <w:proofErr w:type="spellEnd"/>
      <w:r w:rsidR="009D2146">
        <w:t xml:space="preserve"> text was repeated</w:t>
      </w:r>
      <w:r w:rsidR="00467109">
        <w:t xml:space="preserve"> and found throughout Anatolia</w:t>
      </w:r>
      <w:r w:rsidR="00990376">
        <w:t xml:space="preserve"> (</w:t>
      </w:r>
      <w:r w:rsidR="000C0D33">
        <w:t xml:space="preserve">including one </w:t>
      </w:r>
      <w:r w:rsidR="00990376">
        <w:t xml:space="preserve">in the gate of </w:t>
      </w:r>
      <w:proofErr w:type="spellStart"/>
      <w:r w:rsidR="00990376">
        <w:t>Anitta’s</w:t>
      </w:r>
      <w:proofErr w:type="spellEnd"/>
      <w:r w:rsidR="00990376">
        <w:t xml:space="preserve"> palace</w:t>
      </w:r>
      <w:r w:rsidR="00310740">
        <w:t>.</w:t>
      </w:r>
      <w:r w:rsidR="00516E69">
        <w:rPr>
          <w:rStyle w:val="FootnoteReference"/>
        </w:rPr>
        <w:footnoteReference w:id="15"/>
      </w:r>
      <w:r w:rsidR="00990376">
        <w:t xml:space="preserve">) </w:t>
      </w:r>
      <w:r w:rsidR="00310740">
        <w:t>C</w:t>
      </w:r>
      <w:r w:rsidR="001D4B3E">
        <w:t>omplied together it is unsure what</w:t>
      </w:r>
      <w:r w:rsidR="00E834C6">
        <w:t xml:space="preserve"> original language was used</w:t>
      </w:r>
      <w:r w:rsidR="00320EC6">
        <w:t xml:space="preserve"> as copies were made in </w:t>
      </w:r>
      <w:r w:rsidR="00D77F2D">
        <w:t>Old Assyrian, Hittit</w:t>
      </w:r>
      <w:r w:rsidR="00D445F8">
        <w:t>e and Hittite with old Babylonia sign forms.</w:t>
      </w:r>
      <w:r w:rsidR="00B73C7D">
        <w:rPr>
          <w:rStyle w:val="FootnoteReference"/>
        </w:rPr>
        <w:footnoteReference w:id="16"/>
      </w:r>
      <w:r w:rsidR="00047E98">
        <w:t xml:space="preserve"> </w:t>
      </w:r>
      <w:r w:rsidR="00AA5DE6">
        <w:t>Unfortunately,</w:t>
      </w:r>
      <w:r w:rsidR="00047E98">
        <w:t xml:space="preserve"> due to </w:t>
      </w:r>
      <w:r w:rsidR="00884BE8">
        <w:t xml:space="preserve">the lack of comparative material, </w:t>
      </w:r>
      <w:r w:rsidR="00AA5DE6">
        <w:t>it is</w:t>
      </w:r>
      <w:r w:rsidR="00884BE8">
        <w:t xml:space="preserve"> unable to </w:t>
      </w:r>
      <w:r w:rsidR="00016A12">
        <w:t xml:space="preserve">decide </w:t>
      </w:r>
      <w:r w:rsidR="00D67926">
        <w:t xml:space="preserve">the original language however </w:t>
      </w:r>
      <w:r w:rsidR="002E6D0F">
        <w:t xml:space="preserve">there is also the question of materials. </w:t>
      </w:r>
    </w:p>
    <w:p w14:paraId="0D3FC3CE" w14:textId="4BF4907A" w:rsidR="0074233F" w:rsidRDefault="00F46583">
      <w:r>
        <w:t>Due to the text being located in a gate, it is assumed to have been written on a stone tablet</w:t>
      </w:r>
      <w:r w:rsidR="000F30DA">
        <w:t xml:space="preserve"> although </w:t>
      </w:r>
      <w:r w:rsidR="00AC520A">
        <w:t>no inscriptions of this type have been found in Anatolia dated to the Old Assyrian period.</w:t>
      </w:r>
      <w:r w:rsidR="00AC520A">
        <w:rPr>
          <w:rStyle w:val="FootnoteReference"/>
        </w:rPr>
        <w:footnoteReference w:id="17"/>
      </w:r>
      <w:r w:rsidR="00F76D00">
        <w:t xml:space="preserve"> One surviving</w:t>
      </w:r>
      <w:r w:rsidR="007F0CA6">
        <w:t xml:space="preserve"> bronze</w:t>
      </w:r>
      <w:r w:rsidR="00F76D00">
        <w:t xml:space="preserve"> tablet </w:t>
      </w:r>
      <w:r w:rsidR="007F0CA6">
        <w:t xml:space="preserve">from the </w:t>
      </w:r>
      <w:proofErr w:type="spellStart"/>
      <w:r w:rsidR="007F0CA6">
        <w:t>Hittie</w:t>
      </w:r>
      <w:proofErr w:type="spellEnd"/>
      <w:r w:rsidR="007F0CA6">
        <w:t xml:space="preserve"> period </w:t>
      </w:r>
      <w:bookmarkStart w:id="11" w:name="_Int_cHX3F50f"/>
      <w:r w:rsidR="00B70576">
        <w:t>represents</w:t>
      </w:r>
      <w:bookmarkEnd w:id="11"/>
      <w:r w:rsidR="00B8153F">
        <w:t xml:space="preserve"> a copy of the silver tablet</w:t>
      </w:r>
      <w:r w:rsidR="00CF0B9E">
        <w:t xml:space="preserve"> brought to Egypt</w:t>
      </w:r>
      <w:r w:rsidR="00F2048A">
        <w:t xml:space="preserve"> containing a peace treaty between </w:t>
      </w:r>
      <w:r w:rsidR="00A52827">
        <w:t xml:space="preserve">the two kingdoms, </w:t>
      </w:r>
      <w:r w:rsidR="001D684B">
        <w:t xml:space="preserve">it was deposited with great care </w:t>
      </w:r>
      <w:r w:rsidR="00337420">
        <w:t xml:space="preserve">however it is questioned whenever the tablet was originally placed in </w:t>
      </w:r>
      <w:r w:rsidR="005A3850">
        <w:t xml:space="preserve">an inner city gate of </w:t>
      </w:r>
      <w:proofErr w:type="spellStart"/>
      <w:r w:rsidR="005A3850">
        <w:t>Hattuša</w:t>
      </w:r>
      <w:proofErr w:type="spellEnd"/>
      <w:r w:rsidR="005A3850">
        <w:t xml:space="preserve">. </w:t>
      </w:r>
    </w:p>
    <w:p w14:paraId="0F84FCB6" w14:textId="4EAABD46" w:rsidR="00BA0F81" w:rsidRDefault="005A3850">
      <w:r>
        <w:t xml:space="preserve">This is my first experience </w:t>
      </w:r>
      <w:r w:rsidR="00392338">
        <w:t xml:space="preserve">reading academically about metal tablets, the author </w:t>
      </w:r>
      <w:r w:rsidR="00404B10">
        <w:t xml:space="preserve">states that due to its value, </w:t>
      </w:r>
      <w:r w:rsidR="00614450">
        <w:t>aesthetics,</w:t>
      </w:r>
      <w:r w:rsidR="00404B10">
        <w:t xml:space="preserve"> and durability tha</w:t>
      </w:r>
      <w:r w:rsidR="00614450">
        <w:t xml:space="preserve">t tablets composed of metal had to </w:t>
      </w:r>
      <w:bookmarkStart w:id="12" w:name="_Int_AlrPWmMT"/>
      <w:r w:rsidR="00614450">
        <w:t xml:space="preserve">be of </w:t>
      </w:r>
      <w:r w:rsidR="00E8037D">
        <w:t>significant importance</w:t>
      </w:r>
      <w:bookmarkEnd w:id="12"/>
      <w:r w:rsidR="00614450">
        <w:t xml:space="preserve"> to the author</w:t>
      </w:r>
      <w:r w:rsidR="00416735">
        <w:t>s</w:t>
      </w:r>
      <w:r w:rsidR="00B76005">
        <w:rPr>
          <w:rStyle w:val="FootnoteReference"/>
        </w:rPr>
        <w:footnoteReference w:id="18"/>
      </w:r>
      <w:r w:rsidR="00B76005">
        <w:t xml:space="preserve"> and despite being the only one found in the Hitti</w:t>
      </w:r>
      <w:r w:rsidR="00E3011F">
        <w:t>t</w:t>
      </w:r>
      <w:r w:rsidR="00B76005">
        <w:t xml:space="preserve">e </w:t>
      </w:r>
      <w:r w:rsidR="00DF3CAB">
        <w:t xml:space="preserve">realm, such </w:t>
      </w:r>
      <w:r w:rsidR="00E3011F">
        <w:t>significance is also present within Mesopotamia</w:t>
      </w:r>
      <w:r w:rsidR="00EA6362">
        <w:t xml:space="preserve">. </w:t>
      </w:r>
    </w:p>
    <w:p w14:paraId="40D3690E" w14:textId="77777777" w:rsidR="002C2207" w:rsidRDefault="002C2207"/>
    <w:p w14:paraId="44CA3E90" w14:textId="7F228B80" w:rsidR="00704D38" w:rsidRDefault="00FC5B74">
      <w:r>
        <w:t>This book also questions the lack of inscribed objects</w:t>
      </w:r>
      <w:r w:rsidR="005C3E7A">
        <w:t xml:space="preserve"> and its meaning in the chapter </w:t>
      </w:r>
      <w:bookmarkStart w:id="13" w:name="_Int_dq2UklUX"/>
      <w:r w:rsidR="005C3E7A">
        <w:t>regarding</w:t>
      </w:r>
      <w:bookmarkEnd w:id="13"/>
      <w:r w:rsidR="005C3E7A">
        <w:t xml:space="preserve"> the Inana Temple of Nippur with </w:t>
      </w:r>
      <w:r w:rsidR="0050330C">
        <w:t>dedicatory objects.</w:t>
      </w:r>
      <w:r w:rsidR="00D97E1F">
        <w:rPr>
          <w:rStyle w:val="FootnoteReference"/>
        </w:rPr>
        <w:footnoteReference w:id="19"/>
      </w:r>
      <w:r w:rsidR="009B0DAF">
        <w:t xml:space="preserve"> </w:t>
      </w:r>
      <w:r w:rsidR="00585068">
        <w:t>With the excavations of Level VIIB there are inscrib</w:t>
      </w:r>
      <w:r w:rsidR="007C6AE4">
        <w:t>ed</w:t>
      </w:r>
      <w:r w:rsidR="00E24B6F">
        <w:t xml:space="preserve"> 25 </w:t>
      </w:r>
      <w:r w:rsidR="0030650A">
        <w:t>stones vessels</w:t>
      </w:r>
      <w:r w:rsidR="00E24B6F">
        <w:t xml:space="preserve"> out of 100</w:t>
      </w:r>
      <w:r w:rsidR="0030650A">
        <w:t xml:space="preserve">, with </w:t>
      </w:r>
      <w:r w:rsidR="00E113C9">
        <w:t>most being dedicated by women.</w:t>
      </w:r>
      <w:r w:rsidR="00E113C9">
        <w:rPr>
          <w:rStyle w:val="FootnoteReference"/>
        </w:rPr>
        <w:footnoteReference w:id="20"/>
      </w:r>
      <w:r w:rsidR="001A0C49">
        <w:t xml:space="preserve"> </w:t>
      </w:r>
      <w:r w:rsidR="005D4122">
        <w:t>Is this the outcome of a</w:t>
      </w:r>
      <w:r w:rsidR="00594C37">
        <w:t xml:space="preserve"> </w:t>
      </w:r>
      <w:r w:rsidR="005D4122">
        <w:t>shift</w:t>
      </w:r>
      <w:r w:rsidR="00594C37">
        <w:t xml:space="preserve"> </w:t>
      </w:r>
      <w:r w:rsidR="006079C0">
        <w:t>of function</w:t>
      </w:r>
      <w:r w:rsidR="005D4122">
        <w:t>?</w:t>
      </w:r>
      <w:r w:rsidR="006079C0">
        <w:t xml:space="preserve"> Or</w:t>
      </w:r>
      <w:r w:rsidR="00A56EDD">
        <w:t xml:space="preserve"> that</w:t>
      </w:r>
      <w:r w:rsidR="006079C0">
        <w:t xml:space="preserve"> the tradition of </w:t>
      </w:r>
      <w:r w:rsidR="002E3521">
        <w:t>dedicating</w:t>
      </w:r>
      <w:r w:rsidR="00A56EDD">
        <w:t xml:space="preserve"> inscribed</w:t>
      </w:r>
      <w:r w:rsidR="002E3521">
        <w:t xml:space="preserve"> objects in the Early Dynastic</w:t>
      </w:r>
      <w:r w:rsidR="00A56EDD">
        <w:t xml:space="preserve"> period did</w:t>
      </w:r>
      <w:r w:rsidR="002E3521">
        <w:t xml:space="preserve"> not </w:t>
      </w:r>
      <w:r w:rsidR="00760E89">
        <w:t xml:space="preserve">yet </w:t>
      </w:r>
      <w:r w:rsidR="002E3521">
        <w:t>begin?</w:t>
      </w:r>
    </w:p>
    <w:p w14:paraId="4E023D06" w14:textId="08BFA688" w:rsidR="00E53900" w:rsidRDefault="00E53900"/>
    <w:p w14:paraId="37F95C0C" w14:textId="6556F883" w:rsidR="003D3FF4" w:rsidRDefault="00E47662">
      <w:r>
        <w:lastRenderedPageBreak/>
        <w:t>Despite being published by a German publishing house, t</w:t>
      </w:r>
      <w:r w:rsidR="00253B57">
        <w:t>he majority language of the book is English</w:t>
      </w:r>
      <w:r w:rsidR="00D670BA">
        <w:t>. H</w:t>
      </w:r>
      <w:r w:rsidR="00253B57">
        <w:t>owever out of 12 essays</w:t>
      </w:r>
      <w:r w:rsidR="6874F063">
        <w:t>,</w:t>
      </w:r>
      <w:r w:rsidR="00253B57">
        <w:t xml:space="preserve"> 4 are in German, </w:t>
      </w:r>
      <w:r w:rsidR="008B0A91">
        <w:t>making these chapters accessible to German-speaking readers</w:t>
      </w:r>
      <w:r w:rsidR="00FB1DF3">
        <w:t xml:space="preserve"> only</w:t>
      </w:r>
      <w:r w:rsidR="008B0A91">
        <w:t>.</w:t>
      </w:r>
      <w:r w:rsidR="00A331C9">
        <w:t xml:space="preserve"> Although this does </w:t>
      </w:r>
      <w:r w:rsidR="00CB1B81">
        <w:t xml:space="preserve">exclude certain chapters of the book to </w:t>
      </w:r>
      <w:r w:rsidR="00C46786">
        <w:t>non-German speaking readers,</w:t>
      </w:r>
      <w:r w:rsidR="000E3D4B">
        <w:t xml:space="preserve"> it is </w:t>
      </w:r>
      <w:r w:rsidR="00BB780E">
        <w:t>important</w:t>
      </w:r>
      <w:r w:rsidR="006A2111">
        <w:t xml:space="preserve"> and expected within academic journals</w:t>
      </w:r>
      <w:r w:rsidR="000E3D4B">
        <w:t xml:space="preserve"> for authors to</w:t>
      </w:r>
      <w:r w:rsidR="00BB780E">
        <w:t xml:space="preserve"> publish in </w:t>
      </w:r>
      <w:r w:rsidR="005A5CFC">
        <w:t xml:space="preserve">languages </w:t>
      </w:r>
      <w:r w:rsidR="00A0455D">
        <w:t xml:space="preserve">that allow them to </w:t>
      </w:r>
      <w:r w:rsidR="003D3FF4">
        <w:t>maintain</w:t>
      </w:r>
      <w:r w:rsidR="00997FFE">
        <w:t xml:space="preserve"> professional language and </w:t>
      </w:r>
      <w:r w:rsidR="000100B8">
        <w:t xml:space="preserve">present their </w:t>
      </w:r>
      <w:bookmarkStart w:id="14" w:name="_Int_tafiSTEB"/>
      <w:r w:rsidR="000100B8">
        <w:t>expertise</w:t>
      </w:r>
      <w:bookmarkEnd w:id="14"/>
      <w:r w:rsidR="000100B8">
        <w:t xml:space="preserve"> within the academic </w:t>
      </w:r>
      <w:r w:rsidR="00B3251C">
        <w:t>scholarship.’</w:t>
      </w:r>
      <w:r w:rsidR="00373271">
        <w:rPr>
          <w:rStyle w:val="FootnoteReference"/>
        </w:rPr>
        <w:footnoteReference w:id="21"/>
      </w:r>
      <w:r w:rsidR="000165B4">
        <w:t xml:space="preserve"> </w:t>
      </w:r>
      <w:r w:rsidR="00A87580">
        <w:t xml:space="preserve"> It </w:t>
      </w:r>
      <w:r w:rsidR="00F973D6">
        <w:t>was also frustrating</w:t>
      </w:r>
      <w:r w:rsidR="00FE7870">
        <w:t xml:space="preserve"> (as mentioned earlier) that authors when quoting scholarship in foreign languages</w:t>
      </w:r>
      <w:r w:rsidR="009D2CC4">
        <w:t xml:space="preserve"> did also not</w:t>
      </w:r>
      <w:r w:rsidR="00FE7870">
        <w:t xml:space="preserve"> offer an English </w:t>
      </w:r>
      <w:r w:rsidR="003779D7">
        <w:t xml:space="preserve">translation version. </w:t>
      </w:r>
      <w:r w:rsidR="007570E5">
        <w:t xml:space="preserve">If reading the e-book on a device, efforts to translate chapters are less </w:t>
      </w:r>
      <w:r w:rsidR="00E92173">
        <w:t>taxing</w:t>
      </w:r>
      <w:r w:rsidR="007570E5">
        <w:t>,</w:t>
      </w:r>
      <w:r w:rsidR="00E92173">
        <w:t xml:space="preserve"> however if reading a physical</w:t>
      </w:r>
      <w:r w:rsidR="00885F43">
        <w:t xml:space="preserve"> copy</w:t>
      </w:r>
      <w:r w:rsidR="4EB5F04D">
        <w:t>,</w:t>
      </w:r>
      <w:r w:rsidR="00885F43">
        <w:t xml:space="preserve"> translating </w:t>
      </w:r>
      <w:r w:rsidR="00290A20">
        <w:t xml:space="preserve">quotes and whole chapters </w:t>
      </w:r>
      <w:r w:rsidR="00885F43">
        <w:t xml:space="preserve">will be more arduous and most likely the reader will </w:t>
      </w:r>
      <w:r w:rsidR="00133DE5">
        <w:t xml:space="preserve">unfortunately </w:t>
      </w:r>
      <w:r w:rsidR="00885F43">
        <w:t>have to miss these</w:t>
      </w:r>
      <w:r w:rsidR="00D142BE">
        <w:t xml:space="preserve"> quotes and</w:t>
      </w:r>
      <w:r w:rsidR="00885F43">
        <w:t xml:space="preserve"> chapters</w:t>
      </w:r>
      <w:r w:rsidR="00D142BE">
        <w:t xml:space="preserve"> </w:t>
      </w:r>
      <w:r w:rsidR="00133DE5">
        <w:t xml:space="preserve">and their </w:t>
      </w:r>
      <w:r w:rsidR="00BC2582">
        <w:t xml:space="preserve">scholarly </w:t>
      </w:r>
      <w:r w:rsidR="00133DE5">
        <w:t>content</w:t>
      </w:r>
      <w:r w:rsidR="00BC2582">
        <w:t xml:space="preserve">, not allowing them to </w:t>
      </w:r>
      <w:r w:rsidR="00565784">
        <w:t xml:space="preserve">reach a </w:t>
      </w:r>
      <w:r w:rsidR="00FB1E42">
        <w:t xml:space="preserve">cohesive </w:t>
      </w:r>
      <w:r w:rsidR="00E85E01">
        <w:t>conclusion</w:t>
      </w:r>
      <w:r w:rsidR="00290A20">
        <w:t xml:space="preserve"> at the end of the book</w:t>
      </w:r>
      <w:r w:rsidR="00E85E01">
        <w:t xml:space="preserve"> </w:t>
      </w:r>
      <w:r w:rsidR="001246E6">
        <w:t xml:space="preserve">due to missing content of </w:t>
      </w:r>
      <w:r w:rsidR="008D4F87">
        <w:t>specific</w:t>
      </w:r>
      <w:r w:rsidR="001246E6">
        <w:t xml:space="preserve"> topics. </w:t>
      </w:r>
      <w:r w:rsidR="00133DE5">
        <w:t xml:space="preserve"> </w:t>
      </w:r>
    </w:p>
    <w:p w14:paraId="21F12295" w14:textId="13323CD2" w:rsidR="00091A23" w:rsidRDefault="007F5F6F" w:rsidP="00091A23">
      <w:r>
        <w:t>Those without an academic background</w:t>
      </w:r>
      <w:r w:rsidR="00EF41F4">
        <w:t xml:space="preserve"> </w:t>
      </w:r>
      <w:r w:rsidR="00F83E4D">
        <w:t xml:space="preserve">may </w:t>
      </w:r>
      <w:r w:rsidR="00EF41F4">
        <w:t>prove challenging for</w:t>
      </w:r>
      <w:r w:rsidR="00F83E4D">
        <w:t xml:space="preserve"> the</w:t>
      </w:r>
      <w:r w:rsidR="00EF41F4">
        <w:t xml:space="preserve"> heavy</w:t>
      </w:r>
      <w:r w:rsidR="00534393">
        <w:t xml:space="preserve"> technical</w:t>
      </w:r>
      <w:r w:rsidR="00F83E4D">
        <w:t xml:space="preserve"> language that is used regarding the</w:t>
      </w:r>
      <w:r w:rsidR="00EF41F4">
        <w:t xml:space="preserve"> </w:t>
      </w:r>
      <w:r w:rsidR="00BC7041">
        <w:t>discussion</w:t>
      </w:r>
      <w:r w:rsidR="00534393">
        <w:t>s of materiality</w:t>
      </w:r>
      <w:r w:rsidR="00F83E4D">
        <w:t xml:space="preserve">, however it seems unlikely that this book would </w:t>
      </w:r>
      <w:r w:rsidR="00091A23">
        <w:t xml:space="preserve">be accessible to those without an academic background or </w:t>
      </w:r>
      <w:r w:rsidR="00F83E4D">
        <w:t>appeal</w:t>
      </w:r>
      <w:r w:rsidR="00D74703">
        <w:t xml:space="preserve"> to those not interested in </w:t>
      </w:r>
      <w:r w:rsidR="00091A23">
        <w:t xml:space="preserve">scholarship surrounding </w:t>
      </w:r>
      <w:r w:rsidR="00D74703">
        <w:t>Mesopotamia or materiality</w:t>
      </w:r>
      <w:r w:rsidR="00091A23">
        <w:t>.</w:t>
      </w:r>
    </w:p>
    <w:p w14:paraId="067BCC5C" w14:textId="74BFDF84" w:rsidR="00877CD9" w:rsidRPr="00091A23" w:rsidRDefault="007542EA" w:rsidP="00091A23">
      <w:r>
        <w:t>Due to a different author for each chapter</w:t>
      </w:r>
      <w:r w:rsidR="003F063F">
        <w:t xml:space="preserve"> and discussing differen</w:t>
      </w:r>
      <w:r w:rsidR="006F73E2">
        <w:t>t aspect</w:t>
      </w:r>
      <w:r w:rsidR="00B7539F">
        <w:t>s</w:t>
      </w:r>
      <w:r w:rsidR="006F73E2">
        <w:t xml:space="preserve"> of</w:t>
      </w:r>
      <w:r w:rsidR="000460D9">
        <w:t xml:space="preserve"> the materiality of writing in the 3</w:t>
      </w:r>
      <w:r w:rsidR="000460D9" w:rsidRPr="000460D9">
        <w:rPr>
          <w:vertAlign w:val="superscript"/>
        </w:rPr>
        <w:t>rd</w:t>
      </w:r>
      <w:r w:rsidR="000460D9">
        <w:t xml:space="preserve"> millennium</w:t>
      </w:r>
      <w:r w:rsidR="006F73E2">
        <w:t xml:space="preserve"> </w:t>
      </w:r>
      <w:r w:rsidR="00CC747B">
        <w:t>Mesopotamia</w:t>
      </w:r>
      <w:r w:rsidR="00AD0BA1">
        <w:t xml:space="preserve">, </w:t>
      </w:r>
      <w:r w:rsidR="008B2D25">
        <w:t xml:space="preserve">there </w:t>
      </w:r>
      <w:r w:rsidR="001E290B">
        <w:t>was a risk of no</w:t>
      </w:r>
      <w:r w:rsidR="0015345F">
        <w:t xml:space="preserve"> </w:t>
      </w:r>
      <w:r w:rsidR="008B2D25">
        <w:t>cohesive writing style</w:t>
      </w:r>
      <w:r w:rsidR="003F063F">
        <w:t xml:space="preserve"> throughout the book</w:t>
      </w:r>
      <w:r w:rsidR="00F66ABF">
        <w:t xml:space="preserve">, </w:t>
      </w:r>
      <w:r w:rsidR="0015345F">
        <w:t>however I found no difficulty in keeping engaged with</w:t>
      </w:r>
      <w:r w:rsidR="00AD0BA1">
        <w:t xml:space="preserve"> the</w:t>
      </w:r>
      <w:r w:rsidR="0015345F">
        <w:t xml:space="preserve"> </w:t>
      </w:r>
      <w:r w:rsidR="007672A5">
        <w:t>multiple authors</w:t>
      </w:r>
      <w:r w:rsidR="00E33171">
        <w:t xml:space="preserve"> and each had similar writing styles/vocabulary. </w:t>
      </w:r>
    </w:p>
    <w:p w14:paraId="29A2BC67" w14:textId="0661F5CD" w:rsidR="00E61AFA" w:rsidRPr="001E290B" w:rsidRDefault="00E61AFA" w:rsidP="001E290B">
      <w:pPr>
        <w:rPr>
          <w:highlight w:val="yellow"/>
        </w:rPr>
      </w:pPr>
    </w:p>
    <w:p w14:paraId="100353C8" w14:textId="04E77754" w:rsidR="00112E18" w:rsidRDefault="00112E18">
      <w:pPr>
        <w:rPr>
          <w:i/>
        </w:rPr>
      </w:pPr>
      <w:r>
        <w:t xml:space="preserve">In the last chapter ‘notes of the contributors’ the reader can learn about each </w:t>
      </w:r>
      <w:r w:rsidR="006037A6">
        <w:t>author's</w:t>
      </w:r>
      <w:r>
        <w:t xml:space="preserve"> academic background, where they are based</w:t>
      </w:r>
      <w:r w:rsidR="006037A6">
        <w:t xml:space="preserve"> professionally,</w:t>
      </w:r>
      <w:r>
        <w:t xml:space="preserve"> and what other works they</w:t>
      </w:r>
      <w:r w:rsidR="006037A6">
        <w:t xml:space="preserve"> have authored</w:t>
      </w:r>
      <w:r>
        <w:t xml:space="preserve">, </w:t>
      </w:r>
      <w:r w:rsidR="00FE59FC">
        <w:t xml:space="preserve">making it easy for the reader to </w:t>
      </w:r>
      <w:r w:rsidR="00C468AC">
        <w:t xml:space="preserve">find and </w:t>
      </w:r>
      <w:r w:rsidR="00FE59FC">
        <w:t xml:space="preserve">consume more of their works if desired. </w:t>
      </w:r>
      <w:r w:rsidR="00C9183C">
        <w:t xml:space="preserve">This book exposed me to Susan Pollock, who </w:t>
      </w:r>
      <w:r w:rsidR="00097F7B">
        <w:t>is author to</w:t>
      </w:r>
      <w:r w:rsidR="00C9183C">
        <w:t xml:space="preserve"> the chapter ‘</w:t>
      </w:r>
      <w:r w:rsidR="00C9183C" w:rsidRPr="00EA39AA">
        <w:rPr>
          <w:i/>
          <w:iCs/>
        </w:rPr>
        <w:t>From Clay to Stone: Material Practices and Writing in Third Mesopotamia</w:t>
      </w:r>
      <w:r w:rsidR="00C9183C">
        <w:t>’</w:t>
      </w:r>
      <w:r w:rsidR="00EA39AA">
        <w:rPr>
          <w:rStyle w:val="FootnoteReference"/>
        </w:rPr>
        <w:footnoteReference w:id="22"/>
      </w:r>
      <w:r w:rsidR="00C9183C">
        <w:t xml:space="preserve"> </w:t>
      </w:r>
      <w:r w:rsidR="00A107B5">
        <w:t xml:space="preserve">and </w:t>
      </w:r>
      <w:r w:rsidR="00C9183C">
        <w:t>has left me wanting to read more scholarship from her such as</w:t>
      </w:r>
      <w:r w:rsidR="00A107B5">
        <w:t xml:space="preserve"> </w:t>
      </w:r>
      <w:r w:rsidR="00B10D82">
        <w:t>the books:</w:t>
      </w:r>
      <w:r w:rsidR="00C9183C">
        <w:t xml:space="preserve"> </w:t>
      </w:r>
      <w:r w:rsidR="00C9183C">
        <w:rPr>
          <w:i/>
          <w:iCs/>
        </w:rPr>
        <w:t>The Eden That Never Was</w:t>
      </w:r>
      <w:r w:rsidR="00C9183C">
        <w:rPr>
          <w:rStyle w:val="FootnoteReference"/>
          <w:i/>
          <w:iCs/>
        </w:rPr>
        <w:footnoteReference w:id="23"/>
      </w:r>
      <w:r w:rsidR="00C9183C">
        <w:rPr>
          <w:i/>
          <w:iCs/>
        </w:rPr>
        <w:t xml:space="preserve"> </w:t>
      </w:r>
      <w:r w:rsidR="00C9183C">
        <w:t xml:space="preserve">and </w:t>
      </w:r>
      <w:r w:rsidR="00C9183C">
        <w:rPr>
          <w:i/>
          <w:iCs/>
        </w:rPr>
        <w:t>Archaeologies of the Middle East: Critical Perspectives.</w:t>
      </w:r>
      <w:r w:rsidR="00C9183C">
        <w:rPr>
          <w:rStyle w:val="FootnoteReference"/>
          <w:i/>
          <w:iCs/>
        </w:rPr>
        <w:footnoteReference w:id="24"/>
      </w:r>
      <w:r w:rsidR="00815C9C">
        <w:rPr>
          <w:i/>
          <w:iCs/>
        </w:rPr>
        <w:t xml:space="preserve"> </w:t>
      </w:r>
    </w:p>
    <w:p w14:paraId="57D364E6" w14:textId="77777777" w:rsidR="00577CDB" w:rsidRDefault="00577CDB">
      <w:pPr>
        <w:rPr>
          <w:i/>
        </w:rPr>
      </w:pPr>
    </w:p>
    <w:p w14:paraId="3A73039A" w14:textId="77777777" w:rsidR="001F21AD" w:rsidRPr="00577CDB" w:rsidRDefault="001F21AD">
      <w:pPr>
        <w:rPr>
          <w:i/>
        </w:rPr>
      </w:pPr>
    </w:p>
    <w:p w14:paraId="41DA7D09" w14:textId="35854F4E" w:rsidR="005F04AB" w:rsidRPr="00577CDB" w:rsidRDefault="00C468AC">
      <w:pPr>
        <w:rPr>
          <w:i/>
          <w:iCs/>
        </w:rPr>
      </w:pPr>
      <w:r>
        <w:rPr>
          <w:i/>
          <w:iCs/>
        </w:rPr>
        <w:lastRenderedPageBreak/>
        <w:t xml:space="preserve">Materiality of Writing in Early Mesopotamia </w:t>
      </w:r>
      <w:r>
        <w:t xml:space="preserve">is a unique book in the genre of Mesopotamia history </w:t>
      </w:r>
      <w:bookmarkStart w:id="15" w:name="_Int_C4eQnpkc"/>
      <w:r>
        <w:t>regarding</w:t>
      </w:r>
      <w:bookmarkEnd w:id="15"/>
      <w:r>
        <w:t xml:space="preserve"> the materiality of writing. Earlier books such as </w:t>
      </w:r>
      <w:r>
        <w:rPr>
          <w:i/>
          <w:iCs/>
        </w:rPr>
        <w:t>Agency in Ancient Writing</w:t>
      </w:r>
      <w:r>
        <w:rPr>
          <w:rStyle w:val="FootnoteReference"/>
          <w:i/>
          <w:iCs/>
        </w:rPr>
        <w:footnoteReference w:id="25"/>
      </w:r>
      <w:r>
        <w:rPr>
          <w:i/>
          <w:iCs/>
        </w:rPr>
        <w:t xml:space="preserve"> </w:t>
      </w:r>
      <w:r>
        <w:t xml:space="preserve">have similar essays however </w:t>
      </w:r>
      <w:r w:rsidR="00884B5B">
        <w:t>have only</w:t>
      </w:r>
      <w:r>
        <w:t xml:space="preserve"> two dedicatory chapters regarding Mesopotamia and are though the discipline of agency as an archaeological concept and material agency, not materiality: </w:t>
      </w:r>
      <w:r>
        <w:rPr>
          <w:i/>
          <w:iCs/>
        </w:rPr>
        <w:t>Bureaucratic Backlashes: Bureaucrats as Agents of Socioeconomic Change in Proto-Historic Mesopotamia</w:t>
      </w:r>
      <w:r>
        <w:rPr>
          <w:rStyle w:val="FootnoteReference"/>
          <w:i/>
          <w:iCs/>
        </w:rPr>
        <w:footnoteReference w:id="26"/>
      </w:r>
      <w:r>
        <w:rPr>
          <w:i/>
          <w:iCs/>
        </w:rPr>
        <w:t xml:space="preserve"> </w:t>
      </w:r>
      <w:r>
        <w:t xml:space="preserve">and </w:t>
      </w:r>
      <w:r>
        <w:rPr>
          <w:i/>
          <w:iCs/>
        </w:rPr>
        <w:t>Contingency and Innovation in Native Transcripts of Encrypted Cuneiform (UD.GAL.NUN).</w:t>
      </w:r>
      <w:r>
        <w:rPr>
          <w:rStyle w:val="FootnoteReference"/>
          <w:i/>
          <w:iCs/>
        </w:rPr>
        <w:footnoteReference w:id="27"/>
      </w:r>
    </w:p>
    <w:p w14:paraId="37CFAE9D" w14:textId="77777777" w:rsidR="00BB34C6" w:rsidRDefault="00BB34C6"/>
    <w:p w14:paraId="17618260" w14:textId="6C17C8C2" w:rsidR="00D03672" w:rsidRDefault="009C5D46">
      <w:r>
        <w:t xml:space="preserve">In conclusion </w:t>
      </w:r>
      <w:r>
        <w:rPr>
          <w:i/>
          <w:iCs/>
        </w:rPr>
        <w:t xml:space="preserve">Materiality of Writing in Early Mesopotamia </w:t>
      </w:r>
      <w:r w:rsidR="00530AA9">
        <w:t>would be an excellent resource for those who want an overview of the materiality of writing in Mesopotamia during the 3</w:t>
      </w:r>
      <w:r w:rsidR="00530AA9" w:rsidRPr="00530AA9">
        <w:rPr>
          <w:vertAlign w:val="superscript"/>
        </w:rPr>
        <w:t>rd</w:t>
      </w:r>
      <w:r w:rsidR="00530AA9">
        <w:t xml:space="preserve"> Millennium.</w:t>
      </w:r>
      <w:r w:rsidR="00D000A8">
        <w:t xml:space="preserve"> Despite each chapter </w:t>
      </w:r>
      <w:bookmarkStart w:id="16" w:name="_Int_m11aXcdF"/>
      <w:r w:rsidR="00D000A8">
        <w:t>being written</w:t>
      </w:r>
      <w:bookmarkEnd w:id="16"/>
      <w:r w:rsidR="00D000A8">
        <w:t xml:space="preserve"> by a different author there is still the same consistency and balance of intellectual rigour and readability in each thematic chapter. Each offer clear and engaging narratives without oversimplifying the complexities of the subject matter.</w:t>
      </w:r>
      <w:r w:rsidR="00922808">
        <w:t xml:space="preserve"> A book written in this nature with multiple authors exposes the reader to multiple scholars of Assyriology and hopefully after this book will continue reading their works. </w:t>
      </w:r>
    </w:p>
    <w:p w14:paraId="4231D765" w14:textId="278D7ABE" w:rsidR="0075092A" w:rsidRPr="00FB301B" w:rsidRDefault="00F57D8B">
      <w:r>
        <w:t xml:space="preserve"> </w:t>
      </w:r>
      <w:r w:rsidR="001A4CFD">
        <w:t xml:space="preserve"> </w:t>
      </w:r>
    </w:p>
    <w:p w14:paraId="1E31E92E" w14:textId="0ED77B38" w:rsidR="00F21D78" w:rsidRDefault="00F21D78"/>
    <w:p w14:paraId="49BB8DD3" w14:textId="3F108C67" w:rsidR="0085607F" w:rsidRPr="0085607F" w:rsidRDefault="0085607F">
      <w:pPr>
        <w:rPr>
          <w:u w:val="single"/>
        </w:rPr>
      </w:pPr>
      <w:r w:rsidRPr="0085607F">
        <w:rPr>
          <w:u w:val="single"/>
        </w:rPr>
        <w:t>Bibliography</w:t>
      </w:r>
    </w:p>
    <w:p w14:paraId="55F7AD5F" w14:textId="19C30562" w:rsidR="0085607F" w:rsidRDefault="0085607F">
      <w:r>
        <w:t xml:space="preserve">Thomas E.Blake and Christina Tsouparopoulou, </w:t>
      </w:r>
      <w:r w:rsidRPr="00FC235E">
        <w:rPr>
          <w:i/>
          <w:iCs/>
        </w:rPr>
        <w:t>Materiality of Writing in Early Mesopotamia</w:t>
      </w:r>
      <w:r>
        <w:rPr>
          <w:i/>
          <w:iCs/>
        </w:rPr>
        <w:t xml:space="preserve">, </w:t>
      </w:r>
      <w:r>
        <w:t xml:space="preserve">De </w:t>
      </w:r>
      <w:proofErr w:type="spellStart"/>
      <w:r>
        <w:t>Gruter</w:t>
      </w:r>
      <w:proofErr w:type="spellEnd"/>
      <w:r>
        <w:t>, 2016.</w:t>
      </w:r>
    </w:p>
    <w:p w14:paraId="1068DE7C" w14:textId="54F43124" w:rsidR="0037029E" w:rsidRDefault="0037029E">
      <w:proofErr w:type="spellStart"/>
      <w:r>
        <w:t>Yali</w:t>
      </w:r>
      <w:proofErr w:type="spellEnd"/>
      <w:r>
        <w:t xml:space="preserve"> Liu &amp; Louisa Buckingham, </w:t>
      </w:r>
      <w:r>
        <w:rPr>
          <w:i/>
          <w:iCs/>
        </w:rPr>
        <w:t xml:space="preserve">Language choice and academic publishing: a social-ecological perspective on languages other than English, </w:t>
      </w:r>
      <w:r>
        <w:t>Journal of Multilingual and Multicultural Development, 2024, Vol. 45, No. 8, 2977-2991, 2022.</w:t>
      </w:r>
    </w:p>
    <w:p w14:paraId="27590531" w14:textId="77777777" w:rsidR="00650819" w:rsidRPr="00650819" w:rsidRDefault="00650819" w:rsidP="00945D29">
      <w:pPr>
        <w:pStyle w:val="FootnoteText"/>
        <w:rPr>
          <w:sz w:val="24"/>
          <w:szCs w:val="24"/>
        </w:rPr>
      </w:pPr>
      <w:r w:rsidRPr="00650819">
        <w:rPr>
          <w:sz w:val="24"/>
          <w:szCs w:val="24"/>
        </w:rPr>
        <w:t xml:space="preserve">Susan Pollock, </w:t>
      </w:r>
      <w:r w:rsidRPr="00650819">
        <w:rPr>
          <w:i/>
          <w:iCs/>
          <w:sz w:val="24"/>
          <w:szCs w:val="24"/>
        </w:rPr>
        <w:t xml:space="preserve">The Eden That Never Was, </w:t>
      </w:r>
      <w:r w:rsidRPr="00650819">
        <w:rPr>
          <w:sz w:val="24"/>
          <w:szCs w:val="24"/>
        </w:rPr>
        <w:t xml:space="preserve">Cambridge, 1999. </w:t>
      </w:r>
    </w:p>
    <w:p w14:paraId="17282AC8" w14:textId="77777777" w:rsidR="00650819" w:rsidRPr="00650819" w:rsidRDefault="00650819" w:rsidP="00945D29">
      <w:pPr>
        <w:pStyle w:val="FootnoteText"/>
        <w:rPr>
          <w:sz w:val="24"/>
          <w:szCs w:val="24"/>
        </w:rPr>
      </w:pPr>
    </w:p>
    <w:p w14:paraId="1D28F827" w14:textId="60361DF5" w:rsidR="00650819" w:rsidRPr="00650819" w:rsidRDefault="00650819" w:rsidP="00945D29">
      <w:pPr>
        <w:pStyle w:val="FootnoteText"/>
        <w:rPr>
          <w:sz w:val="24"/>
          <w:szCs w:val="24"/>
        </w:rPr>
      </w:pPr>
      <w:r w:rsidRPr="00650819">
        <w:rPr>
          <w:sz w:val="24"/>
          <w:szCs w:val="24"/>
        </w:rPr>
        <w:t xml:space="preserve">Susan Pollock and Reinhard </w:t>
      </w:r>
      <w:proofErr w:type="spellStart"/>
      <w:r w:rsidRPr="00650819">
        <w:rPr>
          <w:sz w:val="24"/>
          <w:szCs w:val="24"/>
        </w:rPr>
        <w:t>Bernbeck</w:t>
      </w:r>
      <w:proofErr w:type="spellEnd"/>
      <w:r w:rsidRPr="00650819">
        <w:rPr>
          <w:sz w:val="24"/>
          <w:szCs w:val="24"/>
        </w:rPr>
        <w:t xml:space="preserve">, </w:t>
      </w:r>
      <w:r w:rsidRPr="00650819">
        <w:rPr>
          <w:i/>
          <w:iCs/>
          <w:sz w:val="24"/>
          <w:szCs w:val="24"/>
        </w:rPr>
        <w:t xml:space="preserve">Archaeologies of the Middle East: Critical Perspectives, </w:t>
      </w:r>
      <w:r w:rsidRPr="00650819">
        <w:rPr>
          <w:sz w:val="24"/>
          <w:szCs w:val="24"/>
        </w:rPr>
        <w:t xml:space="preserve">Blackwell, 2005. </w:t>
      </w:r>
    </w:p>
    <w:p w14:paraId="0C580233" w14:textId="77777777" w:rsidR="00650819" w:rsidRPr="00E6414F" w:rsidRDefault="00650819"/>
    <w:sectPr w:rsidR="00650819" w:rsidRPr="00E6414F">
      <w:headerReference w:type="default" r:id="rId11"/>
      <w:footerReference w:type="even" r:id="rId12"/>
      <w:footerReference w:type="default" r:id="rId1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8" w:author="Nigel Watkins" w:date="2024-11-30T15:26:00Z" w:initials="NW">
    <w:p w14:paraId="43C6E231" w14:textId="0DC405FB" w:rsidR="00A024AC" w:rsidRDefault="00A024AC">
      <w:pPr>
        <w:pStyle w:val="CommentText"/>
      </w:pPr>
      <w:r>
        <w:rPr>
          <w:rStyle w:val="CommentReference"/>
        </w:rPr>
        <w:annotationRef/>
      </w:r>
      <w:r w:rsidRPr="4B4ACDC9">
        <w:t>amended spelling</w:t>
      </w:r>
    </w:p>
    <w:p w14:paraId="2D657DF2" w14:textId="4CC403D6" w:rsidR="00A024AC" w:rsidRDefault="00A024AC">
      <w:pPr>
        <w:pStyle w:val="CommentText"/>
      </w:pPr>
    </w:p>
  </w:comment>
  <w:comment w:id="9" w:author="Nigel Watkins" w:date="2024-11-30T15:27:00Z" w:initials="NW">
    <w:p w14:paraId="4D75492C" w14:textId="649CAA5C" w:rsidR="00A024AC" w:rsidRDefault="00A024AC">
      <w:pPr>
        <w:pStyle w:val="CommentText"/>
      </w:pPr>
      <w:r>
        <w:rPr>
          <w:rStyle w:val="CommentReference"/>
        </w:rPr>
        <w:annotationRef/>
      </w:r>
      <w:r w:rsidRPr="04A9C4CA">
        <w:t>amended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D657DF2" w15:done="0"/>
  <w15:commentEx w15:paraId="4D7549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2E5A175" w16cex:dateUtc="2024-11-30T15:26:00Z">
    <w16cex:extLst>
      <w16:ext w16:uri="{CE6994B0-6A32-4C9F-8C6B-6E91EDA988CE}">
        <cr:reactions xmlns:cr="http://schemas.microsoft.com/office/comments/2020/reactions">
          <cr:reaction reactionType="1">
            <cr:reactionInfo dateUtc="2024-11-30T15:46:54Z">
              <cr:user userId="S::2217535@student.uwtsd.ac.uk::40b3e5e7-1a03-4fb0-b49c-0d0e348b964a" userProvider="AD" userName="Theodora Brown (2217535)"/>
            </cr:reactionInfo>
          </cr:reaction>
        </cr:reactions>
      </w16:ext>
    </w16cex:extLst>
  </w16cex:commentExtensible>
  <w16cex:commentExtensible w16cex:durableId="2D25A35A" w16cex:dateUtc="2024-11-30T15:27:00Z">
    <w16cex:extLst>
      <w16:ext w16:uri="{CE6994B0-6A32-4C9F-8C6B-6E91EDA988CE}">
        <cr:reactions xmlns:cr="http://schemas.microsoft.com/office/comments/2020/reactions">
          <cr:reaction reactionType="1">
            <cr:reactionInfo dateUtc="2024-11-30T15:46:53Z">
              <cr:user userId="S::2217535@student.uwtsd.ac.uk::40b3e5e7-1a03-4fb0-b49c-0d0e348b964a" userProvider="AD" userName="Theodora Brown (2217535)"/>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D657DF2" w16cid:durableId="02E5A175"/>
  <w16cid:commentId w16cid:paraId="4D75492C" w16cid:durableId="2D25A3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69C866" w14:textId="77777777" w:rsidR="00A11727" w:rsidRDefault="00A11727" w:rsidP="0094123F">
      <w:pPr>
        <w:spacing w:after="0" w:line="240" w:lineRule="auto"/>
      </w:pPr>
      <w:r>
        <w:separator/>
      </w:r>
    </w:p>
  </w:endnote>
  <w:endnote w:type="continuationSeparator" w:id="0">
    <w:p w14:paraId="5DD0BFE4" w14:textId="77777777" w:rsidR="00A11727" w:rsidRDefault="00A11727" w:rsidP="0094123F">
      <w:pPr>
        <w:spacing w:after="0" w:line="240" w:lineRule="auto"/>
      </w:pPr>
      <w:r>
        <w:continuationSeparator/>
      </w:r>
    </w:p>
  </w:endnote>
  <w:endnote w:type="continuationNotice" w:id="1">
    <w:p w14:paraId="3F429FB2" w14:textId="77777777" w:rsidR="00A11727" w:rsidRDefault="00A117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3575051"/>
      <w:docPartObj>
        <w:docPartGallery w:val="Page Numbers (Bottom of Page)"/>
        <w:docPartUnique/>
      </w:docPartObj>
    </w:sdtPr>
    <w:sdtEndPr>
      <w:rPr>
        <w:rStyle w:val="PageNumber"/>
      </w:rPr>
    </w:sdtEndPr>
    <w:sdtContent>
      <w:p w14:paraId="0CB38510" w14:textId="686EC193" w:rsidR="00B12797" w:rsidRDefault="00B12797">
        <w:pPr>
          <w:pStyle w:val="Foot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094777635"/>
      <w:docPartObj>
        <w:docPartGallery w:val="Page Numbers (Bottom of Page)"/>
        <w:docPartUnique/>
      </w:docPartObj>
    </w:sdtPr>
    <w:sdtEndPr>
      <w:rPr>
        <w:rStyle w:val="PageNumber"/>
      </w:rPr>
    </w:sdtEndPr>
    <w:sdtContent>
      <w:p w14:paraId="04A54B63" w14:textId="304789F2" w:rsidR="00B12797" w:rsidRDefault="00B12797" w:rsidP="00B12797">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1ECF84" w14:textId="77777777" w:rsidR="0094123F" w:rsidRDefault="0094123F" w:rsidP="00B1279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86429764"/>
      <w:docPartObj>
        <w:docPartGallery w:val="Page Numbers (Bottom of Page)"/>
        <w:docPartUnique/>
      </w:docPartObj>
    </w:sdtPr>
    <w:sdtEndPr>
      <w:rPr>
        <w:rStyle w:val="PageNumber"/>
      </w:rPr>
    </w:sdtEndPr>
    <w:sdtContent>
      <w:p w14:paraId="6B1D1B6E" w14:textId="520FE49C" w:rsidR="00B12797" w:rsidRDefault="00B12797">
        <w:pPr>
          <w:pStyle w:val="Foot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w:t>
        </w:r>
        <w:r>
          <w:rPr>
            <w:rStyle w:val="PageNumber"/>
          </w:rPr>
          <w:fldChar w:fldCharType="end"/>
        </w:r>
      </w:p>
    </w:sdtContent>
  </w:sdt>
  <w:p w14:paraId="568AFCF7" w14:textId="77777777" w:rsidR="0094123F" w:rsidRDefault="0094123F" w:rsidP="00B1279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160F88" w14:textId="77777777" w:rsidR="00A11727" w:rsidRDefault="00A11727" w:rsidP="0094123F">
      <w:pPr>
        <w:spacing w:after="0" w:line="240" w:lineRule="auto"/>
      </w:pPr>
      <w:r>
        <w:separator/>
      </w:r>
    </w:p>
  </w:footnote>
  <w:footnote w:type="continuationSeparator" w:id="0">
    <w:p w14:paraId="76AAC674" w14:textId="77777777" w:rsidR="00A11727" w:rsidRDefault="00A11727" w:rsidP="0094123F">
      <w:pPr>
        <w:spacing w:after="0" w:line="240" w:lineRule="auto"/>
      </w:pPr>
      <w:r>
        <w:continuationSeparator/>
      </w:r>
    </w:p>
  </w:footnote>
  <w:footnote w:type="continuationNotice" w:id="1">
    <w:p w14:paraId="6F04D364" w14:textId="77777777" w:rsidR="00A11727" w:rsidRDefault="00A11727">
      <w:pPr>
        <w:spacing w:after="0" w:line="240" w:lineRule="auto"/>
      </w:pPr>
    </w:p>
  </w:footnote>
  <w:footnote w:id="2">
    <w:p w14:paraId="25D09CFA" w14:textId="6284E3DB" w:rsidR="00FC235E" w:rsidRPr="00FC235E" w:rsidRDefault="00FC235E">
      <w:pPr>
        <w:pStyle w:val="FootnoteText"/>
      </w:pPr>
      <w:r>
        <w:rPr>
          <w:rStyle w:val="FootnoteReference"/>
        </w:rPr>
        <w:footnoteRef/>
      </w:r>
      <w:r>
        <w:t xml:space="preserve"> Thomas E.Blake and Christina Tsouparopoulou, </w:t>
      </w:r>
      <w:r w:rsidRPr="00FC235E">
        <w:rPr>
          <w:i/>
          <w:iCs/>
        </w:rPr>
        <w:t>Materiality of Writing in Early Mesopotamia</w:t>
      </w:r>
      <w:r>
        <w:rPr>
          <w:i/>
          <w:iCs/>
        </w:rPr>
        <w:t xml:space="preserve">, </w:t>
      </w:r>
      <w:r w:rsidR="00F73C4A">
        <w:t xml:space="preserve">De </w:t>
      </w:r>
      <w:proofErr w:type="spellStart"/>
      <w:r w:rsidR="00F73C4A">
        <w:t>Gruter</w:t>
      </w:r>
      <w:proofErr w:type="spellEnd"/>
      <w:r w:rsidR="00F73C4A">
        <w:t xml:space="preserve">, 2016. </w:t>
      </w:r>
    </w:p>
  </w:footnote>
  <w:footnote w:id="3">
    <w:p w14:paraId="0D2F21DC" w14:textId="34E259A7" w:rsidR="0029587A" w:rsidRPr="00F42D0C" w:rsidRDefault="0029587A">
      <w:pPr>
        <w:pStyle w:val="FootnoteText"/>
      </w:pPr>
      <w:r w:rsidRPr="00F42D0C">
        <w:rPr>
          <w:rStyle w:val="FootnoteReference"/>
        </w:rPr>
        <w:footnoteRef/>
      </w:r>
      <w:r w:rsidRPr="00F42D0C">
        <w:t xml:space="preserve"> IBID.</w:t>
      </w:r>
    </w:p>
  </w:footnote>
  <w:footnote w:id="4">
    <w:p w14:paraId="33B76B56" w14:textId="1D7C969D" w:rsidR="00BD200B" w:rsidRPr="00F42D0C" w:rsidRDefault="00BD200B">
      <w:pPr>
        <w:pStyle w:val="FootnoteText"/>
      </w:pPr>
      <w:r w:rsidRPr="00F42D0C">
        <w:rPr>
          <w:rStyle w:val="FootnoteReference"/>
        </w:rPr>
        <w:footnoteRef/>
      </w:r>
      <w:r w:rsidRPr="00F42D0C">
        <w:t xml:space="preserve"> IBID, Pg. 3. </w:t>
      </w:r>
    </w:p>
  </w:footnote>
  <w:footnote w:id="5">
    <w:p w14:paraId="735C69E2" w14:textId="750D7778" w:rsidR="006906A2" w:rsidRPr="006906A2" w:rsidRDefault="00B06AB6" w:rsidP="006906A2">
      <w:pPr>
        <w:pStyle w:val="FootnoteText"/>
      </w:pPr>
      <w:r>
        <w:rPr>
          <w:rStyle w:val="FootnoteReference"/>
        </w:rPr>
        <w:footnoteRef/>
      </w:r>
      <w:r>
        <w:t xml:space="preserve"> </w:t>
      </w:r>
      <w:r w:rsidR="006906A2">
        <w:t xml:space="preserve">Thomas E. </w:t>
      </w:r>
      <w:proofErr w:type="spellStart"/>
      <w:r w:rsidR="006906A2">
        <w:t>Balke</w:t>
      </w:r>
      <w:proofErr w:type="spellEnd"/>
      <w:r w:rsidR="006906A2">
        <w:t xml:space="preserve"> </w:t>
      </w:r>
      <w:r w:rsidR="006906A2" w:rsidRPr="006906A2">
        <w:rPr>
          <w:i/>
          <w:iCs/>
        </w:rPr>
        <w:t xml:space="preserve">The Interplay of Material, Text, and Iconography in Some of the Oldest “Legal” </w:t>
      </w:r>
    </w:p>
    <w:p w14:paraId="079F0753" w14:textId="7E1C4E52" w:rsidR="00B06AB6" w:rsidRPr="006906A2" w:rsidRDefault="006906A2">
      <w:pPr>
        <w:pStyle w:val="FootnoteText"/>
      </w:pPr>
      <w:r w:rsidRPr="006906A2">
        <w:rPr>
          <w:i/>
          <w:iCs/>
        </w:rPr>
        <w:t>Documents</w:t>
      </w:r>
      <w:r>
        <w:rPr>
          <w:i/>
          <w:iCs/>
        </w:rPr>
        <w:t xml:space="preserve">, </w:t>
      </w:r>
      <w:proofErr w:type="spellStart"/>
      <w:r>
        <w:t>Pgs</w:t>
      </w:r>
      <w:proofErr w:type="spellEnd"/>
    </w:p>
  </w:footnote>
  <w:footnote w:id="6">
    <w:p w14:paraId="4A616000" w14:textId="527EBCAE" w:rsidR="002F4ACF" w:rsidRPr="005215E2" w:rsidRDefault="00B06AB6" w:rsidP="002F4ACF">
      <w:pPr>
        <w:pStyle w:val="FootnoteText"/>
      </w:pPr>
      <w:r>
        <w:rPr>
          <w:rStyle w:val="FootnoteReference"/>
        </w:rPr>
        <w:footnoteRef/>
      </w:r>
      <w:r w:rsidR="002F4ACF">
        <w:t xml:space="preserve"> Gianni Marchesi</w:t>
      </w:r>
      <w:r w:rsidR="005215E2">
        <w:t xml:space="preserve">, </w:t>
      </w:r>
      <w:r w:rsidR="002F4ACF" w:rsidRPr="002F4ACF">
        <w:rPr>
          <w:i/>
          <w:iCs/>
        </w:rPr>
        <w:t xml:space="preserve">Object, Images, and Text: Remarks on Two “Intercultural Style” Vessels </w:t>
      </w:r>
    </w:p>
    <w:p w14:paraId="720AD3E5" w14:textId="3E98A361" w:rsidR="00B06AB6" w:rsidRDefault="002F4ACF">
      <w:pPr>
        <w:pStyle w:val="FootnoteText"/>
      </w:pPr>
      <w:r w:rsidRPr="002F4ACF">
        <w:rPr>
          <w:i/>
          <w:iCs/>
        </w:rPr>
        <w:t xml:space="preserve">from Nippur </w:t>
      </w:r>
      <w:proofErr w:type="spellStart"/>
      <w:r w:rsidR="005215E2">
        <w:t>Pgs</w:t>
      </w:r>
      <w:proofErr w:type="spellEnd"/>
      <w:r w:rsidR="005215E2">
        <w:t xml:space="preserve"> </w:t>
      </w:r>
      <w:r w:rsidR="005E45CA">
        <w:t xml:space="preserve">95-108 </w:t>
      </w:r>
      <w:r w:rsidRPr="005215E2">
        <w:t>and</w:t>
      </w:r>
      <w:r w:rsidRPr="002F4ACF">
        <w:rPr>
          <w:i/>
          <w:iCs/>
        </w:rPr>
        <w:t xml:space="preserve"> </w:t>
      </w:r>
      <w:r w:rsidRPr="002F4ACF">
        <w:t xml:space="preserve">Jean </w:t>
      </w:r>
      <w:r w:rsidR="00DD6847" w:rsidRPr="002F4ACF">
        <w:t>M. Evans</w:t>
      </w:r>
      <w:r w:rsidRPr="002F4ACF">
        <w:t xml:space="preserve">, </w:t>
      </w:r>
      <w:r w:rsidR="00DD6847" w:rsidRPr="002F4ACF">
        <w:rPr>
          <w:i/>
          <w:iCs/>
        </w:rPr>
        <w:t>Materiality, Writing,</w:t>
      </w:r>
      <w:r w:rsidR="00DD6847">
        <w:t xml:space="preserve"> </w:t>
      </w:r>
      <w:r w:rsidR="00DD6847" w:rsidRPr="002F4ACF">
        <w:rPr>
          <w:i/>
          <w:iCs/>
        </w:rPr>
        <w:t>and Context in the Inana Temple at Nippur: The Dedicatory Objects from Level VIIB</w:t>
      </w:r>
      <w:r w:rsidR="00DD6847">
        <w:t xml:space="preserve"> </w:t>
      </w:r>
      <w:proofErr w:type="spellStart"/>
      <w:r w:rsidR="005215E2">
        <w:t>Pgs</w:t>
      </w:r>
      <w:proofErr w:type="spellEnd"/>
      <w:r w:rsidR="005E45CA">
        <w:t xml:space="preserve">. </w:t>
      </w:r>
      <w:r w:rsidR="0003176E">
        <w:t xml:space="preserve">165-182. </w:t>
      </w:r>
    </w:p>
  </w:footnote>
  <w:footnote w:id="7">
    <w:p w14:paraId="028D3695" w14:textId="0D3852F8" w:rsidR="00536324" w:rsidRPr="00536324" w:rsidRDefault="00B06AB6" w:rsidP="00536324">
      <w:pPr>
        <w:pStyle w:val="FootnoteText"/>
      </w:pPr>
      <w:r>
        <w:rPr>
          <w:rStyle w:val="FootnoteReference"/>
        </w:rPr>
        <w:footnoteRef/>
      </w:r>
      <w:r>
        <w:t xml:space="preserve"> </w:t>
      </w:r>
      <w:r w:rsidR="00536324">
        <w:t xml:space="preserve">Jakob Andersson, </w:t>
      </w:r>
      <w:r w:rsidR="00536324" w:rsidRPr="00536324">
        <w:rPr>
          <w:i/>
          <w:iCs/>
        </w:rPr>
        <w:t xml:space="preserve">Private Commemorative Inscriptions of the Early Dynastic and </w:t>
      </w:r>
      <w:proofErr w:type="spellStart"/>
      <w:r w:rsidR="00536324" w:rsidRPr="00536324">
        <w:rPr>
          <w:i/>
          <w:iCs/>
        </w:rPr>
        <w:t>Sargonic</w:t>
      </w:r>
      <w:proofErr w:type="spellEnd"/>
      <w:r w:rsidR="00536324" w:rsidRPr="00536324">
        <w:rPr>
          <w:i/>
          <w:iCs/>
        </w:rPr>
        <w:t xml:space="preserve"> Periods: </w:t>
      </w:r>
    </w:p>
    <w:p w14:paraId="7174D0B7" w14:textId="7EE53FF5" w:rsidR="00B06AB6" w:rsidRPr="00536324" w:rsidRDefault="00536324">
      <w:pPr>
        <w:pStyle w:val="FootnoteText"/>
      </w:pPr>
      <w:r w:rsidRPr="00536324">
        <w:rPr>
          <w:i/>
          <w:iCs/>
        </w:rPr>
        <w:t>Some Considerations</w:t>
      </w:r>
      <w:r>
        <w:t xml:space="preserve"> </w:t>
      </w:r>
      <w:proofErr w:type="spellStart"/>
      <w:r>
        <w:t>Pgs</w:t>
      </w:r>
      <w:proofErr w:type="spellEnd"/>
      <w:r>
        <w:t xml:space="preserve">. 47-7. </w:t>
      </w:r>
    </w:p>
  </w:footnote>
  <w:footnote w:id="8">
    <w:p w14:paraId="4FB4B07F" w14:textId="6D3DE10C" w:rsidR="000D4264" w:rsidRPr="00AF199D" w:rsidRDefault="00B06AB6" w:rsidP="000D4264">
      <w:pPr>
        <w:pStyle w:val="FootnoteText"/>
      </w:pPr>
      <w:r>
        <w:rPr>
          <w:rStyle w:val="FootnoteReference"/>
        </w:rPr>
        <w:footnoteRef/>
      </w:r>
      <w:r>
        <w:t xml:space="preserve"> </w:t>
      </w:r>
      <w:r w:rsidR="000D4264">
        <w:t xml:space="preserve">Camille </w:t>
      </w:r>
      <w:proofErr w:type="spellStart"/>
      <w:r w:rsidR="000D4264">
        <w:t>Lecompte</w:t>
      </w:r>
      <w:proofErr w:type="spellEnd"/>
      <w:r w:rsidR="00AF199D">
        <w:t xml:space="preserve">, </w:t>
      </w:r>
      <w:r w:rsidR="000D4264" w:rsidRPr="00AF199D">
        <w:rPr>
          <w:i/>
          <w:iCs/>
        </w:rPr>
        <w:t xml:space="preserve">Observations on Diplomatics, Tablet Layout and Cultural Evolution of the Early Third </w:t>
      </w:r>
    </w:p>
    <w:p w14:paraId="14D3179C" w14:textId="409E76D5" w:rsidR="00B06AB6" w:rsidRDefault="000D4264">
      <w:pPr>
        <w:pStyle w:val="FootnoteText"/>
      </w:pPr>
      <w:r w:rsidRPr="00AF199D">
        <w:rPr>
          <w:i/>
          <w:iCs/>
        </w:rPr>
        <w:t>Millennium: The Archaic Texts from Ur,</w:t>
      </w:r>
      <w:r>
        <w:t xml:space="preserve"> </w:t>
      </w:r>
      <w:proofErr w:type="spellStart"/>
      <w:r>
        <w:t>Pgs</w:t>
      </w:r>
      <w:proofErr w:type="spellEnd"/>
      <w:r>
        <w:t xml:space="preserve">. 133-164. </w:t>
      </w:r>
    </w:p>
  </w:footnote>
  <w:footnote w:id="9">
    <w:p w14:paraId="63F45F37" w14:textId="77777777" w:rsidR="000011C7" w:rsidRPr="00F42D0C" w:rsidRDefault="000011C7">
      <w:pPr>
        <w:pStyle w:val="FootnoteText"/>
      </w:pPr>
      <w:r w:rsidRPr="00F42D0C">
        <w:rPr>
          <w:rStyle w:val="FootnoteReference"/>
        </w:rPr>
        <w:footnoteRef/>
      </w:r>
      <w:r w:rsidRPr="00F42D0C">
        <w:t xml:space="preserve"> Paola </w:t>
      </w:r>
      <w:proofErr w:type="spellStart"/>
      <w:r w:rsidRPr="00F42D0C">
        <w:t>Paoletti</w:t>
      </w:r>
      <w:proofErr w:type="spellEnd"/>
      <w:r w:rsidRPr="00F42D0C">
        <w:t xml:space="preserve">, Die </w:t>
      </w:r>
      <w:proofErr w:type="spellStart"/>
      <w:r w:rsidRPr="00F42D0C">
        <w:t>Palägraphie</w:t>
      </w:r>
      <w:proofErr w:type="spellEnd"/>
      <w:r w:rsidRPr="00F42D0C">
        <w:t xml:space="preserve"> </w:t>
      </w:r>
      <w:proofErr w:type="spellStart"/>
      <w:r w:rsidRPr="00F42D0C">
        <w:t>der</w:t>
      </w:r>
      <w:proofErr w:type="spellEnd"/>
      <w:r w:rsidRPr="00F42D0C">
        <w:t xml:space="preserve"> </w:t>
      </w:r>
      <w:proofErr w:type="spellStart"/>
      <w:r w:rsidRPr="00F42D0C">
        <w:t>lexikalischen</w:t>
      </w:r>
      <w:proofErr w:type="spellEnd"/>
      <w:r w:rsidRPr="00F42D0C">
        <w:t xml:space="preserve"> </w:t>
      </w:r>
      <w:proofErr w:type="spellStart"/>
      <w:r w:rsidRPr="00F42D0C">
        <w:t>Texte</w:t>
      </w:r>
      <w:proofErr w:type="spellEnd"/>
      <w:r w:rsidRPr="00F42D0C">
        <w:t xml:space="preserve"> </w:t>
      </w:r>
      <w:proofErr w:type="spellStart"/>
      <w:r w:rsidRPr="00F42D0C">
        <w:t>aus</w:t>
      </w:r>
      <w:proofErr w:type="spellEnd"/>
      <w:r w:rsidRPr="00F42D0C">
        <w:t xml:space="preserve"> Ebla: </w:t>
      </w:r>
      <w:proofErr w:type="spellStart"/>
      <w:r w:rsidRPr="00F42D0C">
        <w:t>Einige</w:t>
      </w:r>
      <w:proofErr w:type="spellEnd"/>
      <w:r w:rsidRPr="00F42D0C">
        <w:t xml:space="preserve"> </w:t>
      </w:r>
      <w:proofErr w:type="spellStart"/>
      <w:r w:rsidRPr="00F42D0C">
        <w:t>erste</w:t>
      </w:r>
      <w:proofErr w:type="spellEnd"/>
      <w:r w:rsidRPr="00F42D0C">
        <w:t xml:space="preserve"> </w:t>
      </w:r>
      <w:proofErr w:type="spellStart"/>
      <w:r w:rsidRPr="00F42D0C">
        <w:t>Betrachtungen</w:t>
      </w:r>
      <w:proofErr w:type="spellEnd"/>
      <w:r w:rsidRPr="00F42D0C">
        <w:t xml:space="preserve">, </w:t>
      </w:r>
      <w:proofErr w:type="spellStart"/>
      <w:r w:rsidRPr="00F42D0C">
        <w:t>Pgs</w:t>
      </w:r>
      <w:proofErr w:type="spellEnd"/>
      <w:r w:rsidRPr="00F42D0C">
        <w:t xml:space="preserve">. 183-222. </w:t>
      </w:r>
    </w:p>
  </w:footnote>
  <w:footnote w:id="10">
    <w:p w14:paraId="1177DF18" w14:textId="77777777" w:rsidR="00391334" w:rsidRPr="00F42D0C" w:rsidRDefault="00391334">
      <w:pPr>
        <w:pStyle w:val="FootnoteText"/>
      </w:pPr>
      <w:r w:rsidRPr="00F42D0C">
        <w:rPr>
          <w:rStyle w:val="FootnoteReference"/>
        </w:rPr>
        <w:footnoteRef/>
      </w:r>
      <w:r w:rsidRPr="00F42D0C">
        <w:t xml:space="preserve"> Gianni Marchesi, Object, Images, and Text: Remarks on Two “Intercultural Style” Vessels from Nippur, </w:t>
      </w:r>
      <w:proofErr w:type="spellStart"/>
      <w:r w:rsidRPr="00F42D0C">
        <w:t>Pgs</w:t>
      </w:r>
      <w:proofErr w:type="spellEnd"/>
      <w:r w:rsidRPr="00F42D0C">
        <w:t>. 95-108.</w:t>
      </w:r>
    </w:p>
  </w:footnote>
  <w:footnote w:id="11">
    <w:p w14:paraId="40A68087" w14:textId="2543AB20" w:rsidR="000B734C" w:rsidRPr="00FF34DE" w:rsidRDefault="000B734C">
      <w:pPr>
        <w:pStyle w:val="FootnoteText"/>
      </w:pPr>
      <w:r>
        <w:rPr>
          <w:rStyle w:val="FootnoteReference"/>
        </w:rPr>
        <w:footnoteRef/>
      </w:r>
      <w:r>
        <w:t xml:space="preserve"> </w:t>
      </w:r>
      <w:r w:rsidR="00FE6B28">
        <w:t xml:space="preserve">IBID, </w:t>
      </w:r>
      <w:proofErr w:type="spellStart"/>
      <w:r w:rsidR="00FE6B28">
        <w:t>Pgs</w:t>
      </w:r>
      <w:proofErr w:type="spellEnd"/>
      <w:r w:rsidR="00FE6B28">
        <w:t xml:space="preserve">. </w:t>
      </w:r>
      <w:r w:rsidR="00650C2F">
        <w:t>95-</w:t>
      </w:r>
      <w:r w:rsidR="005C2C47">
        <w:t xml:space="preserve">107. </w:t>
      </w:r>
    </w:p>
  </w:footnote>
  <w:footnote w:id="12">
    <w:p w14:paraId="016A5C86" w14:textId="3008BE9F" w:rsidR="00FE6B28" w:rsidRDefault="00FE6B28">
      <w:pPr>
        <w:pStyle w:val="FootnoteText"/>
      </w:pPr>
      <w:r>
        <w:rPr>
          <w:rStyle w:val="FootnoteReference"/>
        </w:rPr>
        <w:footnoteRef/>
      </w:r>
      <w:r>
        <w:t xml:space="preserve"> IBID, Pg. 97. </w:t>
      </w:r>
    </w:p>
  </w:footnote>
  <w:footnote w:id="13">
    <w:p w14:paraId="561C79FD" w14:textId="60A49055" w:rsidR="00C6639B" w:rsidRPr="003021A1" w:rsidRDefault="00C6639B">
      <w:pPr>
        <w:pStyle w:val="FootnoteText"/>
      </w:pPr>
      <w:r>
        <w:rPr>
          <w:rStyle w:val="FootnoteReference"/>
        </w:rPr>
        <w:footnoteRef/>
      </w:r>
      <w:r>
        <w:t xml:space="preserve"> Lisa </w:t>
      </w:r>
      <w:proofErr w:type="spellStart"/>
      <w:r w:rsidR="003021A1">
        <w:t>Wilhelmi</w:t>
      </w:r>
      <w:proofErr w:type="spellEnd"/>
      <w:r w:rsidR="003021A1">
        <w:t>,</w:t>
      </w:r>
      <w:r w:rsidR="003021A1" w:rsidRPr="00DB243B">
        <w:rPr>
          <w:i/>
          <w:iCs/>
        </w:rPr>
        <w:t xml:space="preserve"> Materiality</w:t>
      </w:r>
      <w:r w:rsidRPr="00DB243B">
        <w:rPr>
          <w:i/>
          <w:iCs/>
        </w:rPr>
        <w:t xml:space="preserve"> and Presence of the </w:t>
      </w:r>
      <w:proofErr w:type="spellStart"/>
      <w:r w:rsidRPr="00DB243B">
        <w:rPr>
          <w:i/>
          <w:iCs/>
        </w:rPr>
        <w:t>Anitta</w:t>
      </w:r>
      <w:proofErr w:type="spellEnd"/>
      <w:r w:rsidRPr="00DB243B">
        <w:rPr>
          <w:i/>
          <w:iCs/>
        </w:rPr>
        <w:t xml:space="preserve"> Text in Original and Secondary Context: Considerations on the Original Nature of the Proclamation of </w:t>
      </w:r>
      <w:proofErr w:type="spellStart"/>
      <w:r w:rsidRPr="00DB243B">
        <w:rPr>
          <w:i/>
          <w:iCs/>
        </w:rPr>
        <w:t>Anitta</w:t>
      </w:r>
      <w:proofErr w:type="spellEnd"/>
      <w:r w:rsidRPr="00DB243B">
        <w:rPr>
          <w:i/>
          <w:iCs/>
        </w:rPr>
        <w:t xml:space="preserve"> (CTH 1) and Its Transmission as Part of Hittite Traditional Literature</w:t>
      </w:r>
      <w:r w:rsidR="003021A1">
        <w:rPr>
          <w:i/>
          <w:iCs/>
        </w:rPr>
        <w:t xml:space="preserve">, </w:t>
      </w:r>
      <w:proofErr w:type="spellStart"/>
      <w:r w:rsidR="003021A1">
        <w:t>Pgs</w:t>
      </w:r>
      <w:proofErr w:type="spellEnd"/>
      <w:r w:rsidR="003021A1">
        <w:t xml:space="preserve">. 223-240. </w:t>
      </w:r>
    </w:p>
  </w:footnote>
  <w:footnote w:id="14">
    <w:p w14:paraId="5384B3BB" w14:textId="288F1405" w:rsidR="00EF768A" w:rsidRDefault="00EF768A">
      <w:pPr>
        <w:pStyle w:val="FootnoteText"/>
      </w:pPr>
      <w:r>
        <w:rPr>
          <w:rStyle w:val="FootnoteReference"/>
        </w:rPr>
        <w:footnoteRef/>
      </w:r>
      <w:r>
        <w:t xml:space="preserve"> </w:t>
      </w:r>
      <w:r w:rsidR="00322E01">
        <w:t>IBID</w:t>
      </w:r>
      <w:r w:rsidR="00310740">
        <w:rPr>
          <w:i/>
          <w:iCs/>
        </w:rPr>
        <w:t>,</w:t>
      </w:r>
      <w:r w:rsidR="00310740">
        <w:t xml:space="preserve"> </w:t>
      </w:r>
      <w:r>
        <w:t>Pg. 227.</w:t>
      </w:r>
    </w:p>
  </w:footnote>
  <w:footnote w:id="15">
    <w:p w14:paraId="6DCC71BD" w14:textId="5AD1E653" w:rsidR="00516E69" w:rsidRDefault="00516E69">
      <w:pPr>
        <w:pStyle w:val="FootnoteText"/>
      </w:pPr>
      <w:r>
        <w:rPr>
          <w:rStyle w:val="FootnoteReference"/>
        </w:rPr>
        <w:footnoteRef/>
      </w:r>
      <w:r>
        <w:t xml:space="preserve"> IBID, Pg. </w:t>
      </w:r>
      <w:r w:rsidR="00016A12">
        <w:t xml:space="preserve">233. </w:t>
      </w:r>
    </w:p>
  </w:footnote>
  <w:footnote w:id="16">
    <w:p w14:paraId="4597710B" w14:textId="5EAA9961" w:rsidR="00B73C7D" w:rsidRDefault="00B73C7D">
      <w:pPr>
        <w:pStyle w:val="FootnoteText"/>
      </w:pPr>
      <w:r>
        <w:rPr>
          <w:rStyle w:val="FootnoteReference"/>
        </w:rPr>
        <w:footnoteRef/>
      </w:r>
      <w:r>
        <w:t xml:space="preserve"> IBID, Pg. 232-233. </w:t>
      </w:r>
    </w:p>
  </w:footnote>
  <w:footnote w:id="17">
    <w:p w14:paraId="48162A4F" w14:textId="44E55DE7" w:rsidR="00AC520A" w:rsidRDefault="00AC520A">
      <w:pPr>
        <w:pStyle w:val="FootnoteText"/>
      </w:pPr>
      <w:r>
        <w:rPr>
          <w:rStyle w:val="FootnoteReference"/>
        </w:rPr>
        <w:footnoteRef/>
      </w:r>
      <w:r>
        <w:t xml:space="preserve"> IBID, Pg. </w:t>
      </w:r>
      <w:r w:rsidR="00207749">
        <w:t xml:space="preserve">233. </w:t>
      </w:r>
    </w:p>
  </w:footnote>
  <w:footnote w:id="18">
    <w:p w14:paraId="01356988" w14:textId="02AAA7CC" w:rsidR="00B76005" w:rsidRDefault="00B76005">
      <w:pPr>
        <w:pStyle w:val="FootnoteText"/>
      </w:pPr>
      <w:r>
        <w:rPr>
          <w:rStyle w:val="FootnoteReference"/>
        </w:rPr>
        <w:footnoteRef/>
      </w:r>
      <w:r>
        <w:t xml:space="preserve"> IBID, Pg. 235. </w:t>
      </w:r>
    </w:p>
  </w:footnote>
  <w:footnote w:id="19">
    <w:p w14:paraId="1DB722DD" w14:textId="4EBE5D1F" w:rsidR="00D97E1F" w:rsidRPr="002766F6" w:rsidRDefault="00D97E1F">
      <w:pPr>
        <w:pStyle w:val="FootnoteText"/>
      </w:pPr>
      <w:r>
        <w:rPr>
          <w:rStyle w:val="FootnoteReference"/>
        </w:rPr>
        <w:footnoteRef/>
      </w:r>
      <w:r>
        <w:t xml:space="preserve"> Jean M. Evans, </w:t>
      </w:r>
      <w:r>
        <w:rPr>
          <w:i/>
          <w:iCs/>
        </w:rPr>
        <w:t xml:space="preserve">Materiality, Writing, and Context in the Inana Temple at Nippur: The Dedicatory Objects from Level VIIB, </w:t>
      </w:r>
      <w:proofErr w:type="spellStart"/>
      <w:r w:rsidR="002766F6">
        <w:t>Pgs</w:t>
      </w:r>
      <w:proofErr w:type="spellEnd"/>
      <w:r w:rsidR="002766F6">
        <w:t>. 165-18</w:t>
      </w:r>
      <w:r w:rsidR="009B0DAF">
        <w:t xml:space="preserve">2. </w:t>
      </w:r>
    </w:p>
  </w:footnote>
  <w:footnote w:id="20">
    <w:p w14:paraId="475CB3FB" w14:textId="75E541EE" w:rsidR="00E113C9" w:rsidRDefault="00E113C9">
      <w:pPr>
        <w:pStyle w:val="FootnoteText"/>
      </w:pPr>
      <w:r>
        <w:rPr>
          <w:rStyle w:val="FootnoteReference"/>
        </w:rPr>
        <w:footnoteRef/>
      </w:r>
      <w:r>
        <w:t xml:space="preserve"> IBID, Pg. 170. </w:t>
      </w:r>
    </w:p>
  </w:footnote>
  <w:footnote w:id="21">
    <w:p w14:paraId="196F08B2" w14:textId="74D14587" w:rsidR="00373271" w:rsidRPr="00C61F7D" w:rsidRDefault="00373271">
      <w:pPr>
        <w:pStyle w:val="FootnoteText"/>
      </w:pPr>
      <w:r>
        <w:rPr>
          <w:rStyle w:val="FootnoteReference"/>
        </w:rPr>
        <w:footnoteRef/>
      </w:r>
      <w:r>
        <w:t xml:space="preserve"> </w:t>
      </w:r>
      <w:proofErr w:type="spellStart"/>
      <w:r>
        <w:t>Yali</w:t>
      </w:r>
      <w:proofErr w:type="spellEnd"/>
      <w:r>
        <w:t xml:space="preserve"> Liu &amp; Louisa Buckingham, </w:t>
      </w:r>
      <w:r>
        <w:rPr>
          <w:i/>
          <w:iCs/>
        </w:rPr>
        <w:t xml:space="preserve">Language choice and academic publishing: a social-ecological perspective on languages other than English, </w:t>
      </w:r>
      <w:r w:rsidR="00C61F7D">
        <w:t>Journal of Multilingual and Multicultural Development,</w:t>
      </w:r>
      <w:r w:rsidR="00C12295">
        <w:t xml:space="preserve"> 2024, Vol. 45, No. 8, 2977-2991,</w:t>
      </w:r>
      <w:r w:rsidR="00C61F7D">
        <w:t xml:space="preserve"> </w:t>
      </w:r>
      <w:r w:rsidR="006C7667">
        <w:t>2022,</w:t>
      </w:r>
      <w:r w:rsidR="00236FAF">
        <w:t xml:space="preserve"> Pg. 2977.</w:t>
      </w:r>
      <w:r w:rsidR="006C7667">
        <w:t xml:space="preserve"> </w:t>
      </w:r>
    </w:p>
  </w:footnote>
  <w:footnote w:id="22">
    <w:p w14:paraId="43C8A98C" w14:textId="1039926F" w:rsidR="00EA39AA" w:rsidRPr="00A107B5" w:rsidRDefault="00EA39AA">
      <w:pPr>
        <w:pStyle w:val="FootnoteText"/>
      </w:pPr>
      <w:r>
        <w:rPr>
          <w:rStyle w:val="FootnoteReference"/>
        </w:rPr>
        <w:footnoteRef/>
      </w:r>
      <w:r>
        <w:t xml:space="preserve"> </w:t>
      </w:r>
      <w:r w:rsidR="00C6346C">
        <w:t xml:space="preserve">Susan Pollock, </w:t>
      </w:r>
      <w:r w:rsidR="00C6346C">
        <w:rPr>
          <w:i/>
          <w:iCs/>
        </w:rPr>
        <w:t>From Clay to Stone: Material Practices and Writing in Third Mesopotamia</w:t>
      </w:r>
      <w:r w:rsidR="00A107B5">
        <w:rPr>
          <w:i/>
          <w:iCs/>
        </w:rPr>
        <w:t xml:space="preserve">’ </w:t>
      </w:r>
      <w:proofErr w:type="spellStart"/>
      <w:r w:rsidR="00A107B5">
        <w:t>Pgs</w:t>
      </w:r>
      <w:proofErr w:type="spellEnd"/>
      <w:r w:rsidR="00A107B5">
        <w:t>. 277-291.</w:t>
      </w:r>
    </w:p>
  </w:footnote>
  <w:footnote w:id="23">
    <w:p w14:paraId="53462DDA" w14:textId="77777777" w:rsidR="00C9183C" w:rsidRDefault="00C9183C">
      <w:pPr>
        <w:pStyle w:val="FootnoteText"/>
      </w:pPr>
      <w:r>
        <w:rPr>
          <w:rStyle w:val="FootnoteReference"/>
        </w:rPr>
        <w:footnoteRef/>
      </w:r>
      <w:r>
        <w:t xml:space="preserve"> Susan Pollock, </w:t>
      </w:r>
      <w:r>
        <w:rPr>
          <w:i/>
          <w:iCs/>
        </w:rPr>
        <w:t xml:space="preserve">The Eden That Never Was, </w:t>
      </w:r>
      <w:r>
        <w:t xml:space="preserve">Cambridge, 1999. </w:t>
      </w:r>
    </w:p>
  </w:footnote>
  <w:footnote w:id="24">
    <w:p w14:paraId="4659DA37" w14:textId="77777777" w:rsidR="00C9183C" w:rsidRPr="002F4D79" w:rsidRDefault="00C9183C">
      <w:pPr>
        <w:pStyle w:val="FootnoteText"/>
      </w:pPr>
      <w:r>
        <w:rPr>
          <w:rStyle w:val="FootnoteReference"/>
        </w:rPr>
        <w:footnoteRef/>
      </w:r>
      <w:r>
        <w:t xml:space="preserve"> Susan Pollock and Reinhard </w:t>
      </w:r>
      <w:proofErr w:type="spellStart"/>
      <w:r>
        <w:t>Bernbeck</w:t>
      </w:r>
      <w:proofErr w:type="spellEnd"/>
      <w:r>
        <w:t xml:space="preserve">, </w:t>
      </w:r>
      <w:r>
        <w:rPr>
          <w:i/>
          <w:iCs/>
        </w:rPr>
        <w:t xml:space="preserve">Archaeologies of the Middle East: Critical Perspectives, </w:t>
      </w:r>
      <w:r>
        <w:t xml:space="preserve">Blackwell, 2005. </w:t>
      </w:r>
    </w:p>
  </w:footnote>
  <w:footnote w:id="25">
    <w:p w14:paraId="43FF73EF" w14:textId="77777777" w:rsidR="00C468AC" w:rsidRPr="0055715C" w:rsidRDefault="00C468AC">
      <w:pPr>
        <w:pStyle w:val="FootnoteText"/>
      </w:pPr>
      <w:r>
        <w:rPr>
          <w:rStyle w:val="FootnoteReference"/>
        </w:rPr>
        <w:footnoteRef/>
      </w:r>
      <w:r>
        <w:t xml:space="preserve"> Joshua </w:t>
      </w:r>
      <w:proofErr w:type="spellStart"/>
      <w:r>
        <w:t>Englehardt</w:t>
      </w:r>
      <w:proofErr w:type="spellEnd"/>
      <w:r>
        <w:t xml:space="preserve">, </w:t>
      </w:r>
      <w:r>
        <w:rPr>
          <w:i/>
          <w:iCs/>
        </w:rPr>
        <w:t xml:space="preserve">Agency in Ancient Writing, </w:t>
      </w:r>
      <w:r>
        <w:t xml:space="preserve">University Press of Colorado, 2013. </w:t>
      </w:r>
    </w:p>
  </w:footnote>
  <w:footnote w:id="26">
    <w:p w14:paraId="3A0F72F0" w14:textId="77777777" w:rsidR="00C468AC" w:rsidRPr="00D85CE0" w:rsidRDefault="00C468AC">
      <w:pPr>
        <w:pStyle w:val="FootnoteText"/>
      </w:pPr>
      <w:r>
        <w:rPr>
          <w:rStyle w:val="FootnoteReference"/>
        </w:rPr>
        <w:footnoteRef/>
      </w:r>
      <w:r>
        <w:t xml:space="preserve"> IBID, Clemens </w:t>
      </w:r>
      <w:proofErr w:type="spellStart"/>
      <w:r>
        <w:t>Reichel</w:t>
      </w:r>
      <w:proofErr w:type="spellEnd"/>
      <w:r>
        <w:t xml:space="preserve">, </w:t>
      </w:r>
      <w:r>
        <w:rPr>
          <w:i/>
          <w:iCs/>
        </w:rPr>
        <w:t xml:space="preserve">Bureaucratic Backlashes: Bureaucrats as Agents of Socioeconomic Change in Proto-Historic Mesopotamia, </w:t>
      </w:r>
      <w:proofErr w:type="spellStart"/>
      <w:r>
        <w:t>Pgs</w:t>
      </w:r>
      <w:proofErr w:type="spellEnd"/>
      <w:r>
        <w:t>. 45-70.</w:t>
      </w:r>
    </w:p>
  </w:footnote>
  <w:footnote w:id="27">
    <w:p w14:paraId="7DB9363A" w14:textId="77777777" w:rsidR="00C468AC" w:rsidRPr="002306D2" w:rsidRDefault="00C468AC">
      <w:pPr>
        <w:pStyle w:val="FootnoteText"/>
      </w:pPr>
      <w:r>
        <w:rPr>
          <w:rStyle w:val="FootnoteReference"/>
        </w:rPr>
        <w:footnoteRef/>
      </w:r>
      <w:r>
        <w:t xml:space="preserve"> IBID, </w:t>
      </w:r>
      <w:r>
        <w:rPr>
          <w:i/>
          <w:iCs/>
        </w:rPr>
        <w:t xml:space="preserve">Contingency and Innovation in Native Transcripts of Encrypted Cuneiform (UD.GAL.NUN), </w:t>
      </w:r>
      <w:r>
        <w:t xml:space="preserve">PGs. 165-182.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2A2B9" w14:textId="05729228" w:rsidR="0094123F" w:rsidRDefault="0094123F">
    <w:pPr>
      <w:pStyle w:val="Header"/>
    </w:pPr>
    <w:r>
      <w:t>Theodora Brown, 2217535</w:t>
    </w:r>
  </w:p>
</w:hdr>
</file>

<file path=word/intelligence2.xml><?xml version="1.0" encoding="utf-8"?>
<int2:intelligence xmlns:int2="http://schemas.microsoft.com/office/intelligence/2020/intelligence" xmlns:oel="http://schemas.microsoft.com/office/2019/extlst">
  <int2:observations>
    <int2:bookmark int2:bookmarkName="_Int_YrMzwnmn" int2:invalidationBookmarkName="" int2:hashCode="sL0G+dE4deurFZ" int2:id="3O0s8Tdw">
      <int2:state int2:value="Rejected" int2:type="AugLoop_Text_Critique"/>
    </int2:bookmark>
    <int2:bookmark int2:bookmarkName="_Int_Ay2HMij4" int2:invalidationBookmarkName="" int2:hashCode="VRyAVr/dM977IK" int2:id="5urYP903">
      <int2:state int2:value="Rejected" int2:type="AugLoop_Text_Critique"/>
    </int2:bookmark>
    <int2:bookmark int2:bookmarkName="_Int_C4eQnpkc" int2:invalidationBookmarkName="" int2:hashCode="43K/JlIt1QZTyM" int2:id="D7SA0qZ3">
      <int2:state int2:value="Rejected" int2:type="AugLoop_Text_Critique"/>
    </int2:bookmark>
    <int2:bookmark int2:bookmarkName="_Int_m11aXcdF" int2:invalidationBookmarkName="" int2:hashCode="X8kHREp4LEzOiQ" int2:id="DuQMnzp2">
      <int2:state int2:value="Rejected" int2:type="AugLoop_Text_Critique"/>
    </int2:bookmark>
    <int2:bookmark int2:bookmarkName="_Int_z64GQqV9" int2:invalidationBookmarkName="" int2:hashCode="ll1VRBGnEfwLPp" int2:id="JQnIOr7C">
      <int2:state int2:value="Rejected" int2:type="AugLoop_Text_Critique"/>
    </int2:bookmark>
    <int2:bookmark int2:bookmarkName="_Int_IpsMhmbX" int2:invalidationBookmarkName="" int2:hashCode="Z4gFf8j7JXMKpF" int2:id="Y9xloYTL">
      <int2:state int2:value="Rejected" int2:type="AugLoop_Text_Critique"/>
    </int2:bookmark>
    <int2:bookmark int2:bookmarkName="_Int_A9jV9UUi" int2:invalidationBookmarkName="" int2:hashCode="0tyHOGg/WBc2bv" int2:id="cZfYV521">
      <int2:state int2:value="Rejected" int2:type="AugLoop_Text_Critique"/>
    </int2:bookmark>
    <int2:bookmark int2:bookmarkName="_Int_tafiSTEB" int2:invalidationBookmarkName="" int2:hashCode="s4nYnOhSAw/+QB" int2:id="e1tpSURa">
      <int2:state int2:value="Rejected" int2:type="AugLoop_Text_Critique"/>
    </int2:bookmark>
    <int2:bookmark int2:bookmarkName="_Int_dq2UklUX" int2:invalidationBookmarkName="" int2:hashCode="43K/JlIt1QZTyM" int2:id="j7btemYF">
      <int2:state int2:value="Rejected" int2:type="AugLoop_Text_Critique"/>
    </int2:bookmark>
    <int2:bookmark int2:bookmarkName="_Int_ODSb6FPm" int2:invalidationBookmarkName="" int2:hashCode="Wt/5gZLoe4qFV4" int2:id="o8LYVq4A">
      <int2:state int2:value="Rejected" int2:type="AugLoop_Text_Critique"/>
    </int2:bookmark>
    <int2:bookmark int2:bookmarkName="_Int_53GStm6Z" int2:invalidationBookmarkName="" int2:hashCode="9xxD8ll513D6Wh" int2:id="q8AJ2eWk">
      <int2:state int2:value="Rejected" int2:type="AugLoop_Text_Critique"/>
    </int2:bookmark>
    <int2:bookmark int2:bookmarkName="_Int_cHX3F50f" int2:invalidationBookmarkName="" int2:hashCode="20lmumeNxO0dfa" int2:id="aE4P07wP">
      <int2:state int2:value="Rejected" int2:type="AugLoop_Text_Critique"/>
    </int2:bookmark>
    <int2:bookmark int2:bookmarkName="_Int_AlrPWmMT" int2:invalidationBookmarkName="" int2:hashCode="7T3ULOST2Kt8ek" int2:id="vm2cmMpZ">
      <int2:state int2:value="Rejected" int2:type="AugLoop_Text_Critique"/>
    </int2:bookmark>
    <int2:bookmark int2:bookmarkName="_Int_XJQaqsdz" int2:invalidationBookmarkName="" int2:hashCode="TI4/JIUFaYv/rc" int2:id="Z4ddKvZV">
      <int2:state int2:value="Rejected" int2:type="AugLoop_Text_Critique"/>
    </int2:bookmark>
    <int2:bookmark int2:bookmarkName="_Int_flVp0dB4" int2:invalidationBookmarkName="" int2:hashCode="jLCom9prjio6Kv" int2:id="2gypDCj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D60690"/>
    <w:multiLevelType w:val="hybridMultilevel"/>
    <w:tmpl w:val="FFFFFFFF"/>
    <w:lvl w:ilvl="0" w:tplc="31A85F96">
      <w:start w:val="1"/>
      <w:numFmt w:val="bullet"/>
      <w:lvlText w:val=""/>
      <w:lvlJc w:val="left"/>
      <w:pPr>
        <w:ind w:left="720" w:hanging="360"/>
      </w:pPr>
      <w:rPr>
        <w:rFonts w:ascii="Symbol" w:hAnsi="Symbol" w:hint="default"/>
      </w:rPr>
    </w:lvl>
    <w:lvl w:ilvl="1" w:tplc="822A1D28">
      <w:start w:val="1"/>
      <w:numFmt w:val="bullet"/>
      <w:lvlText w:val="o"/>
      <w:lvlJc w:val="left"/>
      <w:pPr>
        <w:ind w:left="1440" w:hanging="360"/>
      </w:pPr>
      <w:rPr>
        <w:rFonts w:ascii="Courier New" w:hAnsi="Courier New" w:hint="default"/>
      </w:rPr>
    </w:lvl>
    <w:lvl w:ilvl="2" w:tplc="D6CA7F7C">
      <w:start w:val="1"/>
      <w:numFmt w:val="bullet"/>
      <w:lvlText w:val=""/>
      <w:lvlJc w:val="left"/>
      <w:pPr>
        <w:ind w:left="2160" w:hanging="360"/>
      </w:pPr>
      <w:rPr>
        <w:rFonts w:ascii="Wingdings" w:hAnsi="Wingdings" w:hint="default"/>
      </w:rPr>
    </w:lvl>
    <w:lvl w:ilvl="3" w:tplc="546C3790">
      <w:start w:val="1"/>
      <w:numFmt w:val="bullet"/>
      <w:lvlText w:val=""/>
      <w:lvlJc w:val="left"/>
      <w:pPr>
        <w:ind w:left="2880" w:hanging="360"/>
      </w:pPr>
      <w:rPr>
        <w:rFonts w:ascii="Symbol" w:hAnsi="Symbol" w:hint="default"/>
      </w:rPr>
    </w:lvl>
    <w:lvl w:ilvl="4" w:tplc="E022345E">
      <w:start w:val="1"/>
      <w:numFmt w:val="bullet"/>
      <w:lvlText w:val="o"/>
      <w:lvlJc w:val="left"/>
      <w:pPr>
        <w:ind w:left="3600" w:hanging="360"/>
      </w:pPr>
      <w:rPr>
        <w:rFonts w:ascii="Courier New" w:hAnsi="Courier New" w:hint="default"/>
      </w:rPr>
    </w:lvl>
    <w:lvl w:ilvl="5" w:tplc="78DAA4F0">
      <w:start w:val="1"/>
      <w:numFmt w:val="bullet"/>
      <w:lvlText w:val=""/>
      <w:lvlJc w:val="left"/>
      <w:pPr>
        <w:ind w:left="4320" w:hanging="360"/>
      </w:pPr>
      <w:rPr>
        <w:rFonts w:ascii="Wingdings" w:hAnsi="Wingdings" w:hint="default"/>
      </w:rPr>
    </w:lvl>
    <w:lvl w:ilvl="6" w:tplc="0AAEF8E4">
      <w:start w:val="1"/>
      <w:numFmt w:val="bullet"/>
      <w:lvlText w:val=""/>
      <w:lvlJc w:val="left"/>
      <w:pPr>
        <w:ind w:left="5040" w:hanging="360"/>
      </w:pPr>
      <w:rPr>
        <w:rFonts w:ascii="Symbol" w:hAnsi="Symbol" w:hint="default"/>
      </w:rPr>
    </w:lvl>
    <w:lvl w:ilvl="7" w:tplc="CA0A81DA">
      <w:start w:val="1"/>
      <w:numFmt w:val="bullet"/>
      <w:lvlText w:val="o"/>
      <w:lvlJc w:val="left"/>
      <w:pPr>
        <w:ind w:left="5760" w:hanging="360"/>
      </w:pPr>
      <w:rPr>
        <w:rFonts w:ascii="Courier New" w:hAnsi="Courier New" w:hint="default"/>
      </w:rPr>
    </w:lvl>
    <w:lvl w:ilvl="8" w:tplc="2CF656BC">
      <w:start w:val="1"/>
      <w:numFmt w:val="bullet"/>
      <w:lvlText w:val=""/>
      <w:lvlJc w:val="left"/>
      <w:pPr>
        <w:ind w:left="6480" w:hanging="360"/>
      </w:pPr>
      <w:rPr>
        <w:rFonts w:ascii="Wingdings" w:hAnsi="Wingdings" w:hint="default"/>
      </w:rPr>
    </w:lvl>
  </w:abstractNum>
  <w:abstractNum w:abstractNumId="1" w15:restartNumberingAfterBreak="0">
    <w:nsid w:val="40FF39F0"/>
    <w:multiLevelType w:val="hybridMultilevel"/>
    <w:tmpl w:val="836E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5926570">
    <w:abstractNumId w:val="1"/>
  </w:num>
  <w:num w:numId="2" w16cid:durableId="32239100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Nigel Watkins">
    <w15:presenceInfo w15:providerId="AD" w15:userId="S::nigel.watkins@uwtsd.ac.uk::e141a8fa-0483-4f84-b900-041766bca0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D12"/>
    <w:rsid w:val="00000917"/>
    <w:rsid w:val="000011C7"/>
    <w:rsid w:val="00005FB0"/>
    <w:rsid w:val="000100B8"/>
    <w:rsid w:val="000165B4"/>
    <w:rsid w:val="00016A12"/>
    <w:rsid w:val="0003176E"/>
    <w:rsid w:val="00034460"/>
    <w:rsid w:val="00034D12"/>
    <w:rsid w:val="00041F91"/>
    <w:rsid w:val="00042A5E"/>
    <w:rsid w:val="000460D9"/>
    <w:rsid w:val="000469DD"/>
    <w:rsid w:val="00046F92"/>
    <w:rsid w:val="00047E98"/>
    <w:rsid w:val="000555A2"/>
    <w:rsid w:val="000575B2"/>
    <w:rsid w:val="000627CA"/>
    <w:rsid w:val="00074890"/>
    <w:rsid w:val="000822DA"/>
    <w:rsid w:val="000903F5"/>
    <w:rsid w:val="00091A23"/>
    <w:rsid w:val="00091B04"/>
    <w:rsid w:val="0009391C"/>
    <w:rsid w:val="00097F7B"/>
    <w:rsid w:val="000A18F4"/>
    <w:rsid w:val="000A251C"/>
    <w:rsid w:val="000A2844"/>
    <w:rsid w:val="000A2938"/>
    <w:rsid w:val="000A3068"/>
    <w:rsid w:val="000A3E4D"/>
    <w:rsid w:val="000A3F93"/>
    <w:rsid w:val="000A4292"/>
    <w:rsid w:val="000B734C"/>
    <w:rsid w:val="000B7BDE"/>
    <w:rsid w:val="000B7C27"/>
    <w:rsid w:val="000C0D33"/>
    <w:rsid w:val="000C61FB"/>
    <w:rsid w:val="000C6F03"/>
    <w:rsid w:val="000D4264"/>
    <w:rsid w:val="000D4375"/>
    <w:rsid w:val="000D4540"/>
    <w:rsid w:val="000D7983"/>
    <w:rsid w:val="000E1541"/>
    <w:rsid w:val="000E2524"/>
    <w:rsid w:val="000E3D4B"/>
    <w:rsid w:val="000F24CA"/>
    <w:rsid w:val="000F2651"/>
    <w:rsid w:val="000F30DA"/>
    <w:rsid w:val="000F7572"/>
    <w:rsid w:val="0010010D"/>
    <w:rsid w:val="001010F1"/>
    <w:rsid w:val="00105CE9"/>
    <w:rsid w:val="00110569"/>
    <w:rsid w:val="00111494"/>
    <w:rsid w:val="00112258"/>
    <w:rsid w:val="0011286B"/>
    <w:rsid w:val="00112E18"/>
    <w:rsid w:val="00113AD5"/>
    <w:rsid w:val="00114E20"/>
    <w:rsid w:val="001150F4"/>
    <w:rsid w:val="001204C9"/>
    <w:rsid w:val="001212DC"/>
    <w:rsid w:val="001246E6"/>
    <w:rsid w:val="00126677"/>
    <w:rsid w:val="00130320"/>
    <w:rsid w:val="00131E91"/>
    <w:rsid w:val="001334C7"/>
    <w:rsid w:val="00133DE5"/>
    <w:rsid w:val="001373D4"/>
    <w:rsid w:val="00140CBF"/>
    <w:rsid w:val="00145C77"/>
    <w:rsid w:val="00146938"/>
    <w:rsid w:val="00150FDA"/>
    <w:rsid w:val="0015143D"/>
    <w:rsid w:val="0015345F"/>
    <w:rsid w:val="00161DA8"/>
    <w:rsid w:val="00161EC2"/>
    <w:rsid w:val="0016593C"/>
    <w:rsid w:val="00175D91"/>
    <w:rsid w:val="00182674"/>
    <w:rsid w:val="00192AEC"/>
    <w:rsid w:val="00196384"/>
    <w:rsid w:val="001A0C49"/>
    <w:rsid w:val="001A321A"/>
    <w:rsid w:val="001A4CFD"/>
    <w:rsid w:val="001B0F3C"/>
    <w:rsid w:val="001B467A"/>
    <w:rsid w:val="001B7EB0"/>
    <w:rsid w:val="001C28EE"/>
    <w:rsid w:val="001C453F"/>
    <w:rsid w:val="001D4ADE"/>
    <w:rsid w:val="001D4B3E"/>
    <w:rsid w:val="001D5B35"/>
    <w:rsid w:val="001D684B"/>
    <w:rsid w:val="001D7D91"/>
    <w:rsid w:val="001E02BE"/>
    <w:rsid w:val="001E1E8A"/>
    <w:rsid w:val="001E290B"/>
    <w:rsid w:val="001E4812"/>
    <w:rsid w:val="001E7DD4"/>
    <w:rsid w:val="001F03A0"/>
    <w:rsid w:val="001F21AD"/>
    <w:rsid w:val="001F3459"/>
    <w:rsid w:val="001F3C59"/>
    <w:rsid w:val="001F463E"/>
    <w:rsid w:val="001F46C5"/>
    <w:rsid w:val="001F4A76"/>
    <w:rsid w:val="00203F94"/>
    <w:rsid w:val="00204DC0"/>
    <w:rsid w:val="002058ED"/>
    <w:rsid w:val="00207749"/>
    <w:rsid w:val="00213452"/>
    <w:rsid w:val="00215033"/>
    <w:rsid w:val="002228D7"/>
    <w:rsid w:val="002306D2"/>
    <w:rsid w:val="002313BD"/>
    <w:rsid w:val="00236FAF"/>
    <w:rsid w:val="00240D14"/>
    <w:rsid w:val="00241744"/>
    <w:rsid w:val="00242074"/>
    <w:rsid w:val="0024505F"/>
    <w:rsid w:val="0024756A"/>
    <w:rsid w:val="00252C92"/>
    <w:rsid w:val="0025345B"/>
    <w:rsid w:val="002535F6"/>
    <w:rsid w:val="00253B57"/>
    <w:rsid w:val="00253DB1"/>
    <w:rsid w:val="00257512"/>
    <w:rsid w:val="00260247"/>
    <w:rsid w:val="00272552"/>
    <w:rsid w:val="0027368B"/>
    <w:rsid w:val="00275012"/>
    <w:rsid w:val="002766F6"/>
    <w:rsid w:val="00280602"/>
    <w:rsid w:val="00285E5F"/>
    <w:rsid w:val="002878BB"/>
    <w:rsid w:val="00290A20"/>
    <w:rsid w:val="002928A4"/>
    <w:rsid w:val="00292BDF"/>
    <w:rsid w:val="00295132"/>
    <w:rsid w:val="0029587A"/>
    <w:rsid w:val="002972C2"/>
    <w:rsid w:val="002B0182"/>
    <w:rsid w:val="002B2D6E"/>
    <w:rsid w:val="002B60FA"/>
    <w:rsid w:val="002C0AE6"/>
    <w:rsid w:val="002C2207"/>
    <w:rsid w:val="002C7E6B"/>
    <w:rsid w:val="002D2BFF"/>
    <w:rsid w:val="002D55FC"/>
    <w:rsid w:val="002D5E18"/>
    <w:rsid w:val="002D5E88"/>
    <w:rsid w:val="002D6F2D"/>
    <w:rsid w:val="002D724B"/>
    <w:rsid w:val="002E3004"/>
    <w:rsid w:val="002E3521"/>
    <w:rsid w:val="002E54F0"/>
    <w:rsid w:val="002E6D0F"/>
    <w:rsid w:val="002F15CD"/>
    <w:rsid w:val="002F2EB4"/>
    <w:rsid w:val="002F309C"/>
    <w:rsid w:val="002F4ACF"/>
    <w:rsid w:val="002F4AF5"/>
    <w:rsid w:val="002F4D79"/>
    <w:rsid w:val="002F5541"/>
    <w:rsid w:val="003021A1"/>
    <w:rsid w:val="003064E4"/>
    <w:rsid w:val="0030650A"/>
    <w:rsid w:val="00310740"/>
    <w:rsid w:val="003120C2"/>
    <w:rsid w:val="00315C48"/>
    <w:rsid w:val="0032055E"/>
    <w:rsid w:val="00320EC6"/>
    <w:rsid w:val="00322C2A"/>
    <w:rsid w:val="00322E01"/>
    <w:rsid w:val="003254B1"/>
    <w:rsid w:val="00327815"/>
    <w:rsid w:val="00327AB0"/>
    <w:rsid w:val="003325FE"/>
    <w:rsid w:val="00334FEB"/>
    <w:rsid w:val="00336A56"/>
    <w:rsid w:val="00336DB2"/>
    <w:rsid w:val="00337187"/>
    <w:rsid w:val="00337420"/>
    <w:rsid w:val="003378E2"/>
    <w:rsid w:val="00337EE3"/>
    <w:rsid w:val="003445FA"/>
    <w:rsid w:val="0034484F"/>
    <w:rsid w:val="00345F71"/>
    <w:rsid w:val="00346FB8"/>
    <w:rsid w:val="00350515"/>
    <w:rsid w:val="003509B2"/>
    <w:rsid w:val="003563B8"/>
    <w:rsid w:val="003600CD"/>
    <w:rsid w:val="003610ED"/>
    <w:rsid w:val="0036152C"/>
    <w:rsid w:val="00366FC5"/>
    <w:rsid w:val="0037029E"/>
    <w:rsid w:val="00373271"/>
    <w:rsid w:val="003764AF"/>
    <w:rsid w:val="003779D7"/>
    <w:rsid w:val="003812AA"/>
    <w:rsid w:val="0038412F"/>
    <w:rsid w:val="00390252"/>
    <w:rsid w:val="00391334"/>
    <w:rsid w:val="00392338"/>
    <w:rsid w:val="0039793E"/>
    <w:rsid w:val="003A018A"/>
    <w:rsid w:val="003A06F2"/>
    <w:rsid w:val="003A0CC6"/>
    <w:rsid w:val="003A379C"/>
    <w:rsid w:val="003A7C1D"/>
    <w:rsid w:val="003B2210"/>
    <w:rsid w:val="003B6EC0"/>
    <w:rsid w:val="003C374E"/>
    <w:rsid w:val="003C3E4A"/>
    <w:rsid w:val="003C64E7"/>
    <w:rsid w:val="003D3FF4"/>
    <w:rsid w:val="003D432D"/>
    <w:rsid w:val="003D4C76"/>
    <w:rsid w:val="003D599B"/>
    <w:rsid w:val="003D6D36"/>
    <w:rsid w:val="003F063F"/>
    <w:rsid w:val="003F28B6"/>
    <w:rsid w:val="003F7815"/>
    <w:rsid w:val="00402BC2"/>
    <w:rsid w:val="00404B10"/>
    <w:rsid w:val="0040515C"/>
    <w:rsid w:val="00406462"/>
    <w:rsid w:val="0041007F"/>
    <w:rsid w:val="004128ED"/>
    <w:rsid w:val="0041659E"/>
    <w:rsid w:val="00416735"/>
    <w:rsid w:val="0041729F"/>
    <w:rsid w:val="00426E55"/>
    <w:rsid w:val="0043166F"/>
    <w:rsid w:val="00433E06"/>
    <w:rsid w:val="004360EC"/>
    <w:rsid w:val="00437276"/>
    <w:rsid w:val="00440A65"/>
    <w:rsid w:val="00443D14"/>
    <w:rsid w:val="004447F1"/>
    <w:rsid w:val="00444B95"/>
    <w:rsid w:val="00445649"/>
    <w:rsid w:val="00452788"/>
    <w:rsid w:val="00456A04"/>
    <w:rsid w:val="00456AD8"/>
    <w:rsid w:val="0046265A"/>
    <w:rsid w:val="004635ED"/>
    <w:rsid w:val="004658AD"/>
    <w:rsid w:val="00467109"/>
    <w:rsid w:val="00467814"/>
    <w:rsid w:val="00467F4D"/>
    <w:rsid w:val="00471111"/>
    <w:rsid w:val="00477492"/>
    <w:rsid w:val="00483945"/>
    <w:rsid w:val="00484846"/>
    <w:rsid w:val="00487F3E"/>
    <w:rsid w:val="0049450F"/>
    <w:rsid w:val="004A71E2"/>
    <w:rsid w:val="004A7637"/>
    <w:rsid w:val="004B31DB"/>
    <w:rsid w:val="004C0213"/>
    <w:rsid w:val="004C24BD"/>
    <w:rsid w:val="004D1512"/>
    <w:rsid w:val="004D1777"/>
    <w:rsid w:val="004D7952"/>
    <w:rsid w:val="004E72CC"/>
    <w:rsid w:val="004F459D"/>
    <w:rsid w:val="004F5799"/>
    <w:rsid w:val="004F6600"/>
    <w:rsid w:val="0050330C"/>
    <w:rsid w:val="00510220"/>
    <w:rsid w:val="0051188F"/>
    <w:rsid w:val="00515D57"/>
    <w:rsid w:val="00516DE6"/>
    <w:rsid w:val="00516E69"/>
    <w:rsid w:val="005215E2"/>
    <w:rsid w:val="00527A8B"/>
    <w:rsid w:val="00530AA9"/>
    <w:rsid w:val="00531DE9"/>
    <w:rsid w:val="005336E2"/>
    <w:rsid w:val="00534393"/>
    <w:rsid w:val="00534BCB"/>
    <w:rsid w:val="00536324"/>
    <w:rsid w:val="00536839"/>
    <w:rsid w:val="00537C7F"/>
    <w:rsid w:val="00540112"/>
    <w:rsid w:val="0054411F"/>
    <w:rsid w:val="005467E8"/>
    <w:rsid w:val="0055612D"/>
    <w:rsid w:val="00556C09"/>
    <w:rsid w:val="0055715C"/>
    <w:rsid w:val="0056176E"/>
    <w:rsid w:val="00561F2D"/>
    <w:rsid w:val="00562850"/>
    <w:rsid w:val="00564D1E"/>
    <w:rsid w:val="00565784"/>
    <w:rsid w:val="005717E6"/>
    <w:rsid w:val="00574BD6"/>
    <w:rsid w:val="005758EE"/>
    <w:rsid w:val="00577CDB"/>
    <w:rsid w:val="00584665"/>
    <w:rsid w:val="00585068"/>
    <w:rsid w:val="00587CA7"/>
    <w:rsid w:val="005906D7"/>
    <w:rsid w:val="005908AF"/>
    <w:rsid w:val="00593978"/>
    <w:rsid w:val="00594C37"/>
    <w:rsid w:val="005A1B45"/>
    <w:rsid w:val="005A31E1"/>
    <w:rsid w:val="005A356D"/>
    <w:rsid w:val="005A3850"/>
    <w:rsid w:val="005A5CFC"/>
    <w:rsid w:val="005A798C"/>
    <w:rsid w:val="005B03D0"/>
    <w:rsid w:val="005B3271"/>
    <w:rsid w:val="005B757A"/>
    <w:rsid w:val="005B7CA6"/>
    <w:rsid w:val="005C2C47"/>
    <w:rsid w:val="005C3E7A"/>
    <w:rsid w:val="005D1978"/>
    <w:rsid w:val="005D4122"/>
    <w:rsid w:val="005D5F42"/>
    <w:rsid w:val="005D6EBA"/>
    <w:rsid w:val="005E006F"/>
    <w:rsid w:val="005E0776"/>
    <w:rsid w:val="005E0CB0"/>
    <w:rsid w:val="005E2873"/>
    <w:rsid w:val="005E45CA"/>
    <w:rsid w:val="005E485E"/>
    <w:rsid w:val="005E7B9C"/>
    <w:rsid w:val="005E7E06"/>
    <w:rsid w:val="005F04AB"/>
    <w:rsid w:val="005F0F20"/>
    <w:rsid w:val="005F26BB"/>
    <w:rsid w:val="005F2E69"/>
    <w:rsid w:val="005F561E"/>
    <w:rsid w:val="005F7B4A"/>
    <w:rsid w:val="005F7F96"/>
    <w:rsid w:val="006037A6"/>
    <w:rsid w:val="0060444C"/>
    <w:rsid w:val="006045B5"/>
    <w:rsid w:val="00605E01"/>
    <w:rsid w:val="00606325"/>
    <w:rsid w:val="00606AC5"/>
    <w:rsid w:val="006079C0"/>
    <w:rsid w:val="00610A3F"/>
    <w:rsid w:val="00612715"/>
    <w:rsid w:val="0061377B"/>
    <w:rsid w:val="00614450"/>
    <w:rsid w:val="00617260"/>
    <w:rsid w:val="00626157"/>
    <w:rsid w:val="00631159"/>
    <w:rsid w:val="00634703"/>
    <w:rsid w:val="006375F7"/>
    <w:rsid w:val="0064096C"/>
    <w:rsid w:val="00644EB1"/>
    <w:rsid w:val="00650819"/>
    <w:rsid w:val="00650C2F"/>
    <w:rsid w:val="00663C1B"/>
    <w:rsid w:val="00666A31"/>
    <w:rsid w:val="00670398"/>
    <w:rsid w:val="00671BC7"/>
    <w:rsid w:val="00672D56"/>
    <w:rsid w:val="00683BA0"/>
    <w:rsid w:val="00686C74"/>
    <w:rsid w:val="00687828"/>
    <w:rsid w:val="006906A2"/>
    <w:rsid w:val="00691C16"/>
    <w:rsid w:val="0069792F"/>
    <w:rsid w:val="006A2111"/>
    <w:rsid w:val="006A2567"/>
    <w:rsid w:val="006B459D"/>
    <w:rsid w:val="006B45D7"/>
    <w:rsid w:val="006C1606"/>
    <w:rsid w:val="006C2764"/>
    <w:rsid w:val="006C28D1"/>
    <w:rsid w:val="006C7667"/>
    <w:rsid w:val="006E080B"/>
    <w:rsid w:val="006E6CF1"/>
    <w:rsid w:val="006F4A9E"/>
    <w:rsid w:val="006F6841"/>
    <w:rsid w:val="006F73E2"/>
    <w:rsid w:val="00704D38"/>
    <w:rsid w:val="007102C6"/>
    <w:rsid w:val="007234EB"/>
    <w:rsid w:val="00724EEE"/>
    <w:rsid w:val="0072714B"/>
    <w:rsid w:val="0072785E"/>
    <w:rsid w:val="00731C85"/>
    <w:rsid w:val="00733256"/>
    <w:rsid w:val="00733428"/>
    <w:rsid w:val="0073554B"/>
    <w:rsid w:val="0074233F"/>
    <w:rsid w:val="0074276A"/>
    <w:rsid w:val="0075092A"/>
    <w:rsid w:val="007542EA"/>
    <w:rsid w:val="0075581C"/>
    <w:rsid w:val="007565C7"/>
    <w:rsid w:val="007570E5"/>
    <w:rsid w:val="00757E3C"/>
    <w:rsid w:val="00760E89"/>
    <w:rsid w:val="00760FC1"/>
    <w:rsid w:val="0076109A"/>
    <w:rsid w:val="00762451"/>
    <w:rsid w:val="007672A5"/>
    <w:rsid w:val="00771004"/>
    <w:rsid w:val="00771312"/>
    <w:rsid w:val="007847B6"/>
    <w:rsid w:val="007857F6"/>
    <w:rsid w:val="007875D6"/>
    <w:rsid w:val="007906F0"/>
    <w:rsid w:val="007A2D8E"/>
    <w:rsid w:val="007A2E00"/>
    <w:rsid w:val="007C36B7"/>
    <w:rsid w:val="007C4E79"/>
    <w:rsid w:val="007C59E0"/>
    <w:rsid w:val="007C6AE4"/>
    <w:rsid w:val="007D0291"/>
    <w:rsid w:val="007D093E"/>
    <w:rsid w:val="007D1802"/>
    <w:rsid w:val="007D36B0"/>
    <w:rsid w:val="007D3F98"/>
    <w:rsid w:val="007D4A23"/>
    <w:rsid w:val="007D7179"/>
    <w:rsid w:val="007E63D1"/>
    <w:rsid w:val="007F0CA6"/>
    <w:rsid w:val="007F1F5B"/>
    <w:rsid w:val="007F284A"/>
    <w:rsid w:val="007F5F6F"/>
    <w:rsid w:val="007F63C6"/>
    <w:rsid w:val="007F66B1"/>
    <w:rsid w:val="007F70B5"/>
    <w:rsid w:val="008040BE"/>
    <w:rsid w:val="00804C03"/>
    <w:rsid w:val="008130D8"/>
    <w:rsid w:val="00813139"/>
    <w:rsid w:val="00815C9C"/>
    <w:rsid w:val="00816300"/>
    <w:rsid w:val="00817C4F"/>
    <w:rsid w:val="00821223"/>
    <w:rsid w:val="00824F77"/>
    <w:rsid w:val="00833EBB"/>
    <w:rsid w:val="00836C69"/>
    <w:rsid w:val="00840774"/>
    <w:rsid w:val="0084336A"/>
    <w:rsid w:val="0084339D"/>
    <w:rsid w:val="008516F7"/>
    <w:rsid w:val="0085177F"/>
    <w:rsid w:val="0085365A"/>
    <w:rsid w:val="0085607F"/>
    <w:rsid w:val="00870F97"/>
    <w:rsid w:val="008752A0"/>
    <w:rsid w:val="00877CD9"/>
    <w:rsid w:val="0088029D"/>
    <w:rsid w:val="00883A53"/>
    <w:rsid w:val="00884B5B"/>
    <w:rsid w:val="00884BE8"/>
    <w:rsid w:val="00885F43"/>
    <w:rsid w:val="008861EA"/>
    <w:rsid w:val="0089567D"/>
    <w:rsid w:val="0089625F"/>
    <w:rsid w:val="008A0C0F"/>
    <w:rsid w:val="008A3DB5"/>
    <w:rsid w:val="008A42D9"/>
    <w:rsid w:val="008B04C4"/>
    <w:rsid w:val="008B09EE"/>
    <w:rsid w:val="008B0A91"/>
    <w:rsid w:val="008B2D25"/>
    <w:rsid w:val="008B7027"/>
    <w:rsid w:val="008C3F49"/>
    <w:rsid w:val="008C696F"/>
    <w:rsid w:val="008D0902"/>
    <w:rsid w:val="008D1833"/>
    <w:rsid w:val="008D36C2"/>
    <w:rsid w:val="008D49E2"/>
    <w:rsid w:val="008D4F87"/>
    <w:rsid w:val="008D4FC8"/>
    <w:rsid w:val="008D5340"/>
    <w:rsid w:val="008D5AC8"/>
    <w:rsid w:val="008D66C1"/>
    <w:rsid w:val="008E1B60"/>
    <w:rsid w:val="008E36A8"/>
    <w:rsid w:val="008E6C4D"/>
    <w:rsid w:val="008F188A"/>
    <w:rsid w:val="008F2BF0"/>
    <w:rsid w:val="008F465D"/>
    <w:rsid w:val="008F54D8"/>
    <w:rsid w:val="008F7BBA"/>
    <w:rsid w:val="00901F67"/>
    <w:rsid w:val="00904E9D"/>
    <w:rsid w:val="00905942"/>
    <w:rsid w:val="0090619F"/>
    <w:rsid w:val="0091607F"/>
    <w:rsid w:val="00921FAD"/>
    <w:rsid w:val="009224EC"/>
    <w:rsid w:val="00922808"/>
    <w:rsid w:val="00923435"/>
    <w:rsid w:val="00930467"/>
    <w:rsid w:val="00935D62"/>
    <w:rsid w:val="0093696F"/>
    <w:rsid w:val="00937587"/>
    <w:rsid w:val="0094123F"/>
    <w:rsid w:val="00943142"/>
    <w:rsid w:val="00946384"/>
    <w:rsid w:val="0094762D"/>
    <w:rsid w:val="00955BA1"/>
    <w:rsid w:val="009579E1"/>
    <w:rsid w:val="00961569"/>
    <w:rsid w:val="00963DDC"/>
    <w:rsid w:val="009644C3"/>
    <w:rsid w:val="00964974"/>
    <w:rsid w:val="0097154A"/>
    <w:rsid w:val="00972C18"/>
    <w:rsid w:val="00974760"/>
    <w:rsid w:val="00974E9F"/>
    <w:rsid w:val="0098058A"/>
    <w:rsid w:val="009853A9"/>
    <w:rsid w:val="00990376"/>
    <w:rsid w:val="00994C7E"/>
    <w:rsid w:val="00996C5A"/>
    <w:rsid w:val="00997FFE"/>
    <w:rsid w:val="009B0DAF"/>
    <w:rsid w:val="009B28C3"/>
    <w:rsid w:val="009B2DF1"/>
    <w:rsid w:val="009B7012"/>
    <w:rsid w:val="009C00F6"/>
    <w:rsid w:val="009C06FA"/>
    <w:rsid w:val="009C4108"/>
    <w:rsid w:val="009C4421"/>
    <w:rsid w:val="009C5998"/>
    <w:rsid w:val="009C5D46"/>
    <w:rsid w:val="009D2146"/>
    <w:rsid w:val="009D2CC4"/>
    <w:rsid w:val="009D5212"/>
    <w:rsid w:val="009E155F"/>
    <w:rsid w:val="009E3480"/>
    <w:rsid w:val="009F1B24"/>
    <w:rsid w:val="009F38DF"/>
    <w:rsid w:val="009F4578"/>
    <w:rsid w:val="009F7266"/>
    <w:rsid w:val="00A024AC"/>
    <w:rsid w:val="00A033CF"/>
    <w:rsid w:val="00A0455D"/>
    <w:rsid w:val="00A06552"/>
    <w:rsid w:val="00A0710E"/>
    <w:rsid w:val="00A107B5"/>
    <w:rsid w:val="00A11727"/>
    <w:rsid w:val="00A331C9"/>
    <w:rsid w:val="00A40E97"/>
    <w:rsid w:val="00A43426"/>
    <w:rsid w:val="00A46E58"/>
    <w:rsid w:val="00A52827"/>
    <w:rsid w:val="00A52D49"/>
    <w:rsid w:val="00A56EDD"/>
    <w:rsid w:val="00A64627"/>
    <w:rsid w:val="00A64CE5"/>
    <w:rsid w:val="00A676D0"/>
    <w:rsid w:val="00A75A67"/>
    <w:rsid w:val="00A75AD9"/>
    <w:rsid w:val="00A762E0"/>
    <w:rsid w:val="00A87580"/>
    <w:rsid w:val="00A91D9F"/>
    <w:rsid w:val="00A95FB7"/>
    <w:rsid w:val="00A960E5"/>
    <w:rsid w:val="00A97030"/>
    <w:rsid w:val="00AA10D0"/>
    <w:rsid w:val="00AA5DE6"/>
    <w:rsid w:val="00AB5695"/>
    <w:rsid w:val="00AB5B2C"/>
    <w:rsid w:val="00AC5059"/>
    <w:rsid w:val="00AC520A"/>
    <w:rsid w:val="00AC70D1"/>
    <w:rsid w:val="00AD0BA1"/>
    <w:rsid w:val="00AD0EB6"/>
    <w:rsid w:val="00AD503A"/>
    <w:rsid w:val="00AD5FCB"/>
    <w:rsid w:val="00AE3360"/>
    <w:rsid w:val="00AE69FD"/>
    <w:rsid w:val="00AE7C55"/>
    <w:rsid w:val="00AF199D"/>
    <w:rsid w:val="00AF4CA9"/>
    <w:rsid w:val="00B00872"/>
    <w:rsid w:val="00B04167"/>
    <w:rsid w:val="00B06AB6"/>
    <w:rsid w:val="00B10D82"/>
    <w:rsid w:val="00B12797"/>
    <w:rsid w:val="00B203AB"/>
    <w:rsid w:val="00B21623"/>
    <w:rsid w:val="00B218C7"/>
    <w:rsid w:val="00B25B6E"/>
    <w:rsid w:val="00B274EC"/>
    <w:rsid w:val="00B3251C"/>
    <w:rsid w:val="00B45E33"/>
    <w:rsid w:val="00B62D9E"/>
    <w:rsid w:val="00B63113"/>
    <w:rsid w:val="00B63D10"/>
    <w:rsid w:val="00B657DA"/>
    <w:rsid w:val="00B70576"/>
    <w:rsid w:val="00B70E45"/>
    <w:rsid w:val="00B711FB"/>
    <w:rsid w:val="00B73C7D"/>
    <w:rsid w:val="00B7539F"/>
    <w:rsid w:val="00B75DF3"/>
    <w:rsid w:val="00B76005"/>
    <w:rsid w:val="00B80407"/>
    <w:rsid w:val="00B8153F"/>
    <w:rsid w:val="00B81810"/>
    <w:rsid w:val="00B81A49"/>
    <w:rsid w:val="00B84389"/>
    <w:rsid w:val="00B91C72"/>
    <w:rsid w:val="00B9415D"/>
    <w:rsid w:val="00B96BBF"/>
    <w:rsid w:val="00BA0B05"/>
    <w:rsid w:val="00BA0F81"/>
    <w:rsid w:val="00BA56B0"/>
    <w:rsid w:val="00BA6036"/>
    <w:rsid w:val="00BB010D"/>
    <w:rsid w:val="00BB34C6"/>
    <w:rsid w:val="00BB780E"/>
    <w:rsid w:val="00BB7870"/>
    <w:rsid w:val="00BC2582"/>
    <w:rsid w:val="00BC7041"/>
    <w:rsid w:val="00BD1137"/>
    <w:rsid w:val="00BD12D1"/>
    <w:rsid w:val="00BD16C0"/>
    <w:rsid w:val="00BD200B"/>
    <w:rsid w:val="00BD34E4"/>
    <w:rsid w:val="00BD60EF"/>
    <w:rsid w:val="00BD7794"/>
    <w:rsid w:val="00BE3A6F"/>
    <w:rsid w:val="00BE3B77"/>
    <w:rsid w:val="00BF250E"/>
    <w:rsid w:val="00BF508B"/>
    <w:rsid w:val="00BF6614"/>
    <w:rsid w:val="00BF7BAA"/>
    <w:rsid w:val="00C12295"/>
    <w:rsid w:val="00C128A2"/>
    <w:rsid w:val="00C145D3"/>
    <w:rsid w:val="00C1721D"/>
    <w:rsid w:val="00C245F8"/>
    <w:rsid w:val="00C3161F"/>
    <w:rsid w:val="00C345D0"/>
    <w:rsid w:val="00C401CF"/>
    <w:rsid w:val="00C43180"/>
    <w:rsid w:val="00C44509"/>
    <w:rsid w:val="00C463FD"/>
    <w:rsid w:val="00C46786"/>
    <w:rsid w:val="00C468AC"/>
    <w:rsid w:val="00C531AA"/>
    <w:rsid w:val="00C53E41"/>
    <w:rsid w:val="00C5705D"/>
    <w:rsid w:val="00C61F7D"/>
    <w:rsid w:val="00C6346C"/>
    <w:rsid w:val="00C64B4D"/>
    <w:rsid w:val="00C6639B"/>
    <w:rsid w:val="00C71212"/>
    <w:rsid w:val="00C720E3"/>
    <w:rsid w:val="00C759AA"/>
    <w:rsid w:val="00C76102"/>
    <w:rsid w:val="00C81587"/>
    <w:rsid w:val="00C8267B"/>
    <w:rsid w:val="00C8406B"/>
    <w:rsid w:val="00C9183C"/>
    <w:rsid w:val="00C92B47"/>
    <w:rsid w:val="00C95F29"/>
    <w:rsid w:val="00CA0941"/>
    <w:rsid w:val="00CA3828"/>
    <w:rsid w:val="00CA4C80"/>
    <w:rsid w:val="00CA4E6C"/>
    <w:rsid w:val="00CB0FAC"/>
    <w:rsid w:val="00CB1B81"/>
    <w:rsid w:val="00CB66B2"/>
    <w:rsid w:val="00CB79EF"/>
    <w:rsid w:val="00CC2A44"/>
    <w:rsid w:val="00CC66C5"/>
    <w:rsid w:val="00CC6CF3"/>
    <w:rsid w:val="00CC747B"/>
    <w:rsid w:val="00CD12FF"/>
    <w:rsid w:val="00CD4AAC"/>
    <w:rsid w:val="00CD5243"/>
    <w:rsid w:val="00CD7EC1"/>
    <w:rsid w:val="00CE2152"/>
    <w:rsid w:val="00CE468A"/>
    <w:rsid w:val="00CE6EDB"/>
    <w:rsid w:val="00CE769C"/>
    <w:rsid w:val="00CF0B9E"/>
    <w:rsid w:val="00CF20AD"/>
    <w:rsid w:val="00CF3D34"/>
    <w:rsid w:val="00CF7BCE"/>
    <w:rsid w:val="00D000A8"/>
    <w:rsid w:val="00D03672"/>
    <w:rsid w:val="00D03EC1"/>
    <w:rsid w:val="00D142BE"/>
    <w:rsid w:val="00D15E3B"/>
    <w:rsid w:val="00D221DA"/>
    <w:rsid w:val="00D22E3E"/>
    <w:rsid w:val="00D255FE"/>
    <w:rsid w:val="00D25757"/>
    <w:rsid w:val="00D27784"/>
    <w:rsid w:val="00D32E6A"/>
    <w:rsid w:val="00D343DD"/>
    <w:rsid w:val="00D35D75"/>
    <w:rsid w:val="00D42475"/>
    <w:rsid w:val="00D437F5"/>
    <w:rsid w:val="00D4381A"/>
    <w:rsid w:val="00D445F8"/>
    <w:rsid w:val="00D45BEF"/>
    <w:rsid w:val="00D47D6F"/>
    <w:rsid w:val="00D50915"/>
    <w:rsid w:val="00D522EA"/>
    <w:rsid w:val="00D56497"/>
    <w:rsid w:val="00D6229E"/>
    <w:rsid w:val="00D670BA"/>
    <w:rsid w:val="00D67926"/>
    <w:rsid w:val="00D7025A"/>
    <w:rsid w:val="00D7338E"/>
    <w:rsid w:val="00D74703"/>
    <w:rsid w:val="00D77A62"/>
    <w:rsid w:val="00D77F2D"/>
    <w:rsid w:val="00D80AAB"/>
    <w:rsid w:val="00D81E32"/>
    <w:rsid w:val="00D82A87"/>
    <w:rsid w:val="00D83FBF"/>
    <w:rsid w:val="00D85CE0"/>
    <w:rsid w:val="00D875CA"/>
    <w:rsid w:val="00D87D8F"/>
    <w:rsid w:val="00D87FEA"/>
    <w:rsid w:val="00D90F42"/>
    <w:rsid w:val="00D94A7A"/>
    <w:rsid w:val="00D97E1F"/>
    <w:rsid w:val="00DA2C14"/>
    <w:rsid w:val="00DA5318"/>
    <w:rsid w:val="00DA6E0D"/>
    <w:rsid w:val="00DA78CD"/>
    <w:rsid w:val="00DB243B"/>
    <w:rsid w:val="00DB39C3"/>
    <w:rsid w:val="00DB6931"/>
    <w:rsid w:val="00DC241D"/>
    <w:rsid w:val="00DC6D64"/>
    <w:rsid w:val="00DD6719"/>
    <w:rsid w:val="00DD6847"/>
    <w:rsid w:val="00DD6C4F"/>
    <w:rsid w:val="00DE427A"/>
    <w:rsid w:val="00DE7FE9"/>
    <w:rsid w:val="00DF26B0"/>
    <w:rsid w:val="00DF34D1"/>
    <w:rsid w:val="00DF3CAB"/>
    <w:rsid w:val="00DF4BE3"/>
    <w:rsid w:val="00E02FC8"/>
    <w:rsid w:val="00E03D90"/>
    <w:rsid w:val="00E042F3"/>
    <w:rsid w:val="00E06D4C"/>
    <w:rsid w:val="00E113C9"/>
    <w:rsid w:val="00E11FCC"/>
    <w:rsid w:val="00E14EBF"/>
    <w:rsid w:val="00E2145B"/>
    <w:rsid w:val="00E22717"/>
    <w:rsid w:val="00E227DA"/>
    <w:rsid w:val="00E24B6F"/>
    <w:rsid w:val="00E26579"/>
    <w:rsid w:val="00E3011F"/>
    <w:rsid w:val="00E325E2"/>
    <w:rsid w:val="00E33171"/>
    <w:rsid w:val="00E47043"/>
    <w:rsid w:val="00E47662"/>
    <w:rsid w:val="00E53900"/>
    <w:rsid w:val="00E55109"/>
    <w:rsid w:val="00E56F35"/>
    <w:rsid w:val="00E6067C"/>
    <w:rsid w:val="00E60B25"/>
    <w:rsid w:val="00E60F29"/>
    <w:rsid w:val="00E61AFA"/>
    <w:rsid w:val="00E6414F"/>
    <w:rsid w:val="00E73AA7"/>
    <w:rsid w:val="00E77DE1"/>
    <w:rsid w:val="00E8037D"/>
    <w:rsid w:val="00E834C6"/>
    <w:rsid w:val="00E85E01"/>
    <w:rsid w:val="00E87AC6"/>
    <w:rsid w:val="00E90BF6"/>
    <w:rsid w:val="00E92173"/>
    <w:rsid w:val="00E922E6"/>
    <w:rsid w:val="00E9278D"/>
    <w:rsid w:val="00EA0F6A"/>
    <w:rsid w:val="00EA39AA"/>
    <w:rsid w:val="00EA518F"/>
    <w:rsid w:val="00EA6362"/>
    <w:rsid w:val="00EA7CEC"/>
    <w:rsid w:val="00EA7ED8"/>
    <w:rsid w:val="00EA7FCF"/>
    <w:rsid w:val="00EB1265"/>
    <w:rsid w:val="00EB49A8"/>
    <w:rsid w:val="00EC2893"/>
    <w:rsid w:val="00EC2D74"/>
    <w:rsid w:val="00EC3F87"/>
    <w:rsid w:val="00EC7121"/>
    <w:rsid w:val="00EC75AF"/>
    <w:rsid w:val="00ED3A11"/>
    <w:rsid w:val="00ED4C80"/>
    <w:rsid w:val="00ED554A"/>
    <w:rsid w:val="00ED71F8"/>
    <w:rsid w:val="00EE4D02"/>
    <w:rsid w:val="00EE5501"/>
    <w:rsid w:val="00EF01A5"/>
    <w:rsid w:val="00EF105C"/>
    <w:rsid w:val="00EF1265"/>
    <w:rsid w:val="00EF41F4"/>
    <w:rsid w:val="00EF768A"/>
    <w:rsid w:val="00EF7C2C"/>
    <w:rsid w:val="00F01D9F"/>
    <w:rsid w:val="00F031A2"/>
    <w:rsid w:val="00F1253B"/>
    <w:rsid w:val="00F2048A"/>
    <w:rsid w:val="00F21D78"/>
    <w:rsid w:val="00F2705A"/>
    <w:rsid w:val="00F30D53"/>
    <w:rsid w:val="00F34227"/>
    <w:rsid w:val="00F37742"/>
    <w:rsid w:val="00F42D0C"/>
    <w:rsid w:val="00F46583"/>
    <w:rsid w:val="00F50155"/>
    <w:rsid w:val="00F5159F"/>
    <w:rsid w:val="00F56D2E"/>
    <w:rsid w:val="00F57D8B"/>
    <w:rsid w:val="00F64E33"/>
    <w:rsid w:val="00F66ABF"/>
    <w:rsid w:val="00F66C54"/>
    <w:rsid w:val="00F66FFF"/>
    <w:rsid w:val="00F70304"/>
    <w:rsid w:val="00F73C4A"/>
    <w:rsid w:val="00F74778"/>
    <w:rsid w:val="00F76D00"/>
    <w:rsid w:val="00F80F21"/>
    <w:rsid w:val="00F83E4D"/>
    <w:rsid w:val="00F92FB7"/>
    <w:rsid w:val="00F96EE6"/>
    <w:rsid w:val="00F973D6"/>
    <w:rsid w:val="00FA3560"/>
    <w:rsid w:val="00FB19ED"/>
    <w:rsid w:val="00FB1DF3"/>
    <w:rsid w:val="00FB1E42"/>
    <w:rsid w:val="00FB301B"/>
    <w:rsid w:val="00FB3E6B"/>
    <w:rsid w:val="00FC070D"/>
    <w:rsid w:val="00FC235E"/>
    <w:rsid w:val="00FC5B74"/>
    <w:rsid w:val="00FD305F"/>
    <w:rsid w:val="00FD5B03"/>
    <w:rsid w:val="00FE3ACF"/>
    <w:rsid w:val="00FE59FC"/>
    <w:rsid w:val="00FE6049"/>
    <w:rsid w:val="00FE6B28"/>
    <w:rsid w:val="00FE7870"/>
    <w:rsid w:val="00FF34DE"/>
    <w:rsid w:val="00FF6E4A"/>
    <w:rsid w:val="03141E14"/>
    <w:rsid w:val="03537A81"/>
    <w:rsid w:val="080F3BDD"/>
    <w:rsid w:val="08D4BF81"/>
    <w:rsid w:val="0AA0E749"/>
    <w:rsid w:val="0AA4985C"/>
    <w:rsid w:val="0C98978B"/>
    <w:rsid w:val="0D77D147"/>
    <w:rsid w:val="0DC3F3C1"/>
    <w:rsid w:val="126AFADB"/>
    <w:rsid w:val="127AC70C"/>
    <w:rsid w:val="12F6A482"/>
    <w:rsid w:val="1843DF66"/>
    <w:rsid w:val="19F9AFE6"/>
    <w:rsid w:val="1C280473"/>
    <w:rsid w:val="1CDAFA7D"/>
    <w:rsid w:val="1F8CA654"/>
    <w:rsid w:val="213CDF18"/>
    <w:rsid w:val="2304D61B"/>
    <w:rsid w:val="24594186"/>
    <w:rsid w:val="24D58074"/>
    <w:rsid w:val="24FF097B"/>
    <w:rsid w:val="250B8210"/>
    <w:rsid w:val="25601349"/>
    <w:rsid w:val="2789AF1F"/>
    <w:rsid w:val="284F1C91"/>
    <w:rsid w:val="289243EE"/>
    <w:rsid w:val="29C1B2A7"/>
    <w:rsid w:val="2B910697"/>
    <w:rsid w:val="2CA18B54"/>
    <w:rsid w:val="2EB68C9F"/>
    <w:rsid w:val="311D3B4B"/>
    <w:rsid w:val="33F950AF"/>
    <w:rsid w:val="3715FBF8"/>
    <w:rsid w:val="38E67DC5"/>
    <w:rsid w:val="3BFDADB7"/>
    <w:rsid w:val="3D0A6567"/>
    <w:rsid w:val="3F29C73A"/>
    <w:rsid w:val="405A0FD8"/>
    <w:rsid w:val="40A56D99"/>
    <w:rsid w:val="44F4A9B3"/>
    <w:rsid w:val="45A9E126"/>
    <w:rsid w:val="476945DF"/>
    <w:rsid w:val="48D082D4"/>
    <w:rsid w:val="4994D41E"/>
    <w:rsid w:val="4C779DAF"/>
    <w:rsid w:val="4EB5F04D"/>
    <w:rsid w:val="50FE6076"/>
    <w:rsid w:val="55F7A5FE"/>
    <w:rsid w:val="57698CAB"/>
    <w:rsid w:val="59E1292C"/>
    <w:rsid w:val="5AB520D5"/>
    <w:rsid w:val="5AE5E52E"/>
    <w:rsid w:val="5AEAFEE5"/>
    <w:rsid w:val="5D532DF5"/>
    <w:rsid w:val="5DCC7C8F"/>
    <w:rsid w:val="5EA51AAC"/>
    <w:rsid w:val="5EEDD25B"/>
    <w:rsid w:val="62905BC9"/>
    <w:rsid w:val="6356D37C"/>
    <w:rsid w:val="6521DB53"/>
    <w:rsid w:val="65B9B96F"/>
    <w:rsid w:val="672BEA6D"/>
    <w:rsid w:val="67357C4F"/>
    <w:rsid w:val="680B40B8"/>
    <w:rsid w:val="6874F063"/>
    <w:rsid w:val="6A02DB6F"/>
    <w:rsid w:val="6D940397"/>
    <w:rsid w:val="6FB9D309"/>
    <w:rsid w:val="721504AE"/>
    <w:rsid w:val="72ACC7EC"/>
    <w:rsid w:val="72B39455"/>
    <w:rsid w:val="75179BA6"/>
    <w:rsid w:val="75469085"/>
    <w:rsid w:val="75D4F274"/>
    <w:rsid w:val="767B091E"/>
    <w:rsid w:val="77321F01"/>
    <w:rsid w:val="774FDB16"/>
    <w:rsid w:val="78A81D4D"/>
    <w:rsid w:val="7CEC21F6"/>
    <w:rsid w:val="7DFC7719"/>
    <w:rsid w:val="7F1A1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3F7EC1"/>
  <w15:chartTrackingRefBased/>
  <w15:docId w15:val="{8F0A2046-66EB-6449-8F26-DAA9B2C0F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D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4D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4D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4D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4D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4D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4D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4D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4D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D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4D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4D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4D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4D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4D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4D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4D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4D12"/>
    <w:rPr>
      <w:rFonts w:eastAsiaTheme="majorEastAsia" w:cstheme="majorBidi"/>
      <w:color w:val="272727" w:themeColor="text1" w:themeTint="D8"/>
    </w:rPr>
  </w:style>
  <w:style w:type="paragraph" w:styleId="Title">
    <w:name w:val="Title"/>
    <w:basedOn w:val="Normal"/>
    <w:next w:val="Normal"/>
    <w:link w:val="TitleChar"/>
    <w:uiPriority w:val="10"/>
    <w:qFormat/>
    <w:rsid w:val="00034D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D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4D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4D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4D12"/>
    <w:pPr>
      <w:spacing w:before="160"/>
      <w:jc w:val="center"/>
    </w:pPr>
    <w:rPr>
      <w:i/>
      <w:iCs/>
      <w:color w:val="404040" w:themeColor="text1" w:themeTint="BF"/>
    </w:rPr>
  </w:style>
  <w:style w:type="character" w:customStyle="1" w:styleId="QuoteChar">
    <w:name w:val="Quote Char"/>
    <w:basedOn w:val="DefaultParagraphFont"/>
    <w:link w:val="Quote"/>
    <w:uiPriority w:val="29"/>
    <w:rsid w:val="00034D12"/>
    <w:rPr>
      <w:i/>
      <w:iCs/>
      <w:color w:val="404040" w:themeColor="text1" w:themeTint="BF"/>
    </w:rPr>
  </w:style>
  <w:style w:type="paragraph" w:styleId="ListParagraph">
    <w:name w:val="List Paragraph"/>
    <w:basedOn w:val="Normal"/>
    <w:uiPriority w:val="34"/>
    <w:qFormat/>
    <w:rsid w:val="00034D12"/>
    <w:pPr>
      <w:ind w:left="720"/>
      <w:contextualSpacing/>
    </w:pPr>
  </w:style>
  <w:style w:type="character" w:styleId="IntenseEmphasis">
    <w:name w:val="Intense Emphasis"/>
    <w:basedOn w:val="DefaultParagraphFont"/>
    <w:uiPriority w:val="21"/>
    <w:qFormat/>
    <w:rsid w:val="00034D12"/>
    <w:rPr>
      <w:i/>
      <w:iCs/>
      <w:color w:val="0F4761" w:themeColor="accent1" w:themeShade="BF"/>
    </w:rPr>
  </w:style>
  <w:style w:type="paragraph" w:styleId="IntenseQuote">
    <w:name w:val="Intense Quote"/>
    <w:basedOn w:val="Normal"/>
    <w:next w:val="Normal"/>
    <w:link w:val="IntenseQuoteChar"/>
    <w:uiPriority w:val="30"/>
    <w:qFormat/>
    <w:rsid w:val="00034D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4D12"/>
    <w:rPr>
      <w:i/>
      <w:iCs/>
      <w:color w:val="0F4761" w:themeColor="accent1" w:themeShade="BF"/>
    </w:rPr>
  </w:style>
  <w:style w:type="character" w:styleId="IntenseReference">
    <w:name w:val="Intense Reference"/>
    <w:basedOn w:val="DefaultParagraphFont"/>
    <w:uiPriority w:val="32"/>
    <w:qFormat/>
    <w:rsid w:val="00034D12"/>
    <w:rPr>
      <w:b/>
      <w:bCs/>
      <w:smallCaps/>
      <w:color w:val="0F4761" w:themeColor="accent1" w:themeShade="BF"/>
      <w:spacing w:val="5"/>
    </w:rPr>
  </w:style>
  <w:style w:type="paragraph" w:styleId="Header">
    <w:name w:val="header"/>
    <w:basedOn w:val="Normal"/>
    <w:link w:val="HeaderChar"/>
    <w:uiPriority w:val="99"/>
    <w:unhideWhenUsed/>
    <w:rsid w:val="009412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123F"/>
  </w:style>
  <w:style w:type="paragraph" w:styleId="Footer">
    <w:name w:val="footer"/>
    <w:basedOn w:val="Normal"/>
    <w:link w:val="FooterChar"/>
    <w:uiPriority w:val="99"/>
    <w:unhideWhenUsed/>
    <w:rsid w:val="009412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123F"/>
  </w:style>
  <w:style w:type="character" w:styleId="PageNumber">
    <w:name w:val="page number"/>
    <w:basedOn w:val="DefaultParagraphFont"/>
    <w:uiPriority w:val="99"/>
    <w:semiHidden/>
    <w:unhideWhenUsed/>
    <w:rsid w:val="00B12797"/>
  </w:style>
  <w:style w:type="paragraph" w:styleId="FootnoteText">
    <w:name w:val="footnote text"/>
    <w:basedOn w:val="Normal"/>
    <w:link w:val="FootnoteTextChar"/>
    <w:uiPriority w:val="99"/>
    <w:semiHidden/>
    <w:unhideWhenUsed/>
    <w:rsid w:val="003732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73271"/>
    <w:rPr>
      <w:sz w:val="20"/>
      <w:szCs w:val="20"/>
    </w:rPr>
  </w:style>
  <w:style w:type="character" w:styleId="FootnoteReference">
    <w:name w:val="footnote reference"/>
    <w:basedOn w:val="DefaultParagraphFont"/>
    <w:uiPriority w:val="99"/>
    <w:semiHidden/>
    <w:unhideWhenUsed/>
    <w:rsid w:val="00373271"/>
    <w:rPr>
      <w:vertAlign w:val="superscript"/>
    </w:rPr>
  </w:style>
  <w:style w:type="paragraph" w:styleId="EndnoteText">
    <w:name w:val="endnote text"/>
    <w:basedOn w:val="Normal"/>
    <w:link w:val="EndnoteTextChar"/>
    <w:uiPriority w:val="99"/>
    <w:semiHidden/>
    <w:unhideWhenUsed/>
    <w:rsid w:val="0077131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71312"/>
    <w:rPr>
      <w:sz w:val="20"/>
      <w:szCs w:val="20"/>
    </w:rPr>
  </w:style>
  <w:style w:type="character" w:styleId="EndnoteReference">
    <w:name w:val="endnote reference"/>
    <w:basedOn w:val="DefaultParagraphFont"/>
    <w:uiPriority w:val="99"/>
    <w:semiHidden/>
    <w:unhideWhenUsed/>
    <w:rsid w:val="00771312"/>
    <w:rPr>
      <w:vertAlign w:val="superscript"/>
    </w:rPr>
  </w:style>
  <w:style w:type="paragraph" w:styleId="CommentText">
    <w:name w:val="annotation text"/>
    <w:basedOn w:val="Normal"/>
    <w:link w:val="CommentTextChar"/>
    <w:uiPriority w:val="99"/>
    <w:semiHidden/>
    <w:unhideWhenUsed/>
    <w:rsid w:val="00961569"/>
    <w:pPr>
      <w:spacing w:line="240" w:lineRule="auto"/>
    </w:pPr>
    <w:rPr>
      <w:sz w:val="20"/>
      <w:szCs w:val="20"/>
    </w:rPr>
  </w:style>
  <w:style w:type="character" w:customStyle="1" w:styleId="CommentTextChar">
    <w:name w:val="Comment Text Char"/>
    <w:basedOn w:val="DefaultParagraphFont"/>
    <w:link w:val="CommentText"/>
    <w:uiPriority w:val="99"/>
    <w:semiHidden/>
    <w:rsid w:val="00961569"/>
    <w:rPr>
      <w:sz w:val="20"/>
      <w:szCs w:val="20"/>
    </w:rPr>
  </w:style>
  <w:style w:type="character" w:styleId="CommentReference">
    <w:name w:val="annotation reference"/>
    <w:basedOn w:val="DefaultParagraphFont"/>
    <w:uiPriority w:val="99"/>
    <w:semiHidden/>
    <w:unhideWhenUsed/>
    <w:rsid w:val="0096156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11/relationships/people" Target="peopl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1576</Words>
  <Characters>8988</Characters>
  <Application>Microsoft Office Word</Application>
  <DocSecurity>0</DocSecurity>
  <Lines>74</Lines>
  <Paragraphs>21</Paragraphs>
  <ScaleCrop>false</ScaleCrop>
  <Company/>
  <LinksUpToDate>false</LinksUpToDate>
  <CharactersWithSpaces>10543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Theodora Brown (2217535)</dc:creator>
  <cp:keywords/>
  <dc:description/>
  <cp:lastModifiedBy>Theodora Brown (2217535)</cp:lastModifiedBy>
  <cp:revision>2</cp:revision>
  <dcterms:created xsi:type="dcterms:W3CDTF">2024-12-01T23:53:00Z</dcterms:created>
  <dcterms:modified xsi:type="dcterms:W3CDTF">2024-12-01T23:53:00Z</dcterms:modified>
</cp:coreProperties>
</file>