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C2B49F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273B">
              <w:rPr>
                <w:rFonts w:ascii="Times New Roman" w:hAnsi="Times New Roman" w:cs="Times New Roman"/>
                <w:b/>
                <w:color w:val="auto"/>
                <w:sz w:val="48"/>
              </w:rPr>
              <w:t>Leanne Duncalf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C92304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273B">
              <w:rPr>
                <w:rFonts w:ascii="Times New Roman" w:hAnsi="Times New Roman" w:cs="Times New Roman"/>
                <w:b/>
                <w:color w:val="auto"/>
                <w:sz w:val="48"/>
              </w:rPr>
              <w:t xml:space="preserve"> Duncalf.leanne@gmail.com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77E4FD7" w14:textId="77777777" w:rsidR="00AA273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A273B">
              <w:rPr>
                <w:rFonts w:ascii="Times New Roman" w:hAnsi="Times New Roman" w:cs="Times New Roman"/>
                <w:b/>
                <w:color w:val="auto"/>
                <w:sz w:val="48"/>
              </w:rPr>
              <w:t xml:space="preserve"> </w:t>
            </w:r>
          </w:p>
          <w:p w14:paraId="622FD17A" w14:textId="51A379A3" w:rsidR="0085230E" w:rsidRDefault="00AA273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2420864</w:t>
            </w:r>
          </w:p>
          <w:p w14:paraId="7558257F" w14:textId="77777777" w:rsidR="00AA273B" w:rsidRPr="005D3F07" w:rsidRDefault="00AA273B"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7573D00" w14:textId="77777777" w:rsidR="00AA273B" w:rsidRDefault="00AA273B" w:rsidP="00FF7EBB">
            <w:pPr>
              <w:jc w:val="both"/>
              <w:rPr>
                <w:sz w:val="24"/>
                <w:szCs w:val="24"/>
              </w:rPr>
            </w:pPr>
          </w:p>
          <w:p w14:paraId="579AFD31" w14:textId="77777777" w:rsidR="00AA273B" w:rsidRDefault="00AA273B" w:rsidP="00FF7EBB">
            <w:pPr>
              <w:jc w:val="both"/>
              <w:rPr>
                <w:sz w:val="24"/>
                <w:szCs w:val="24"/>
              </w:rPr>
            </w:pPr>
          </w:p>
          <w:p w14:paraId="39BBD45D" w14:textId="6FF0188A" w:rsidR="00AA273B" w:rsidRPr="00F65866" w:rsidRDefault="00AA273B" w:rsidP="00AA273B">
            <w:pPr>
              <w:spacing w:after="160" w:line="360" w:lineRule="auto"/>
              <w:rPr>
                <w:sz w:val="24"/>
                <w:szCs w:val="24"/>
              </w:rPr>
            </w:pPr>
            <w:r w:rsidRPr="00F65866">
              <w:rPr>
                <w:sz w:val="24"/>
                <w:szCs w:val="24"/>
              </w:rPr>
              <w:t>Safeguarding children in Wales is underpinned by a legal and policy framework that reflects devolved priorities and a right's-based approach, rooted in the United Nations Convention on the Rights of the Child 1989. The Social Services and Well-being (Wales) (SSWBA) Act 2014 is key legislation; Part 7 defines a child at risk as under 18 and experiencing, or is likely to experience, abuse, neglect, or harm. It places a duty on relevant partners to report concerns and requires agencies to work together. The Children Act (CA) 1989 remains essential, particularly in relation to parental responsibility and the powers available to local authorities.</w:t>
            </w:r>
          </w:p>
          <w:p w14:paraId="75CECDC5" w14:textId="77777777" w:rsidR="00AA273B" w:rsidRPr="00F65866" w:rsidRDefault="00AA273B" w:rsidP="00AA273B">
            <w:pPr>
              <w:spacing w:after="160" w:line="360" w:lineRule="auto"/>
              <w:rPr>
                <w:sz w:val="24"/>
                <w:szCs w:val="24"/>
              </w:rPr>
            </w:pPr>
            <w:r w:rsidRPr="00F65866">
              <w:rPr>
                <w:sz w:val="24"/>
                <w:szCs w:val="24"/>
              </w:rPr>
              <w:t>Safeguarding often starts when a referral is received, whether from professionals, family, or the public. Under the Wales Safeguarding Procedures (2019), social services must decide within one working day if further action is needed. If there is reasonable cause to suspect harm, a multi-agency strategy meeting must take place within 24 hours. At this stage, professionals decide whether to initiate a Section 47 enquiry under the CA 1989, which in Wales works alongside Part 7 of SSWBA 2014.</w:t>
            </w:r>
          </w:p>
          <w:p w14:paraId="19B9048A" w14:textId="77777777" w:rsidR="00AA273B" w:rsidRPr="00F65866" w:rsidRDefault="00AA273B" w:rsidP="00AA273B">
            <w:pPr>
              <w:spacing w:after="160" w:line="360" w:lineRule="auto"/>
              <w:rPr>
                <w:sz w:val="24"/>
                <w:szCs w:val="24"/>
              </w:rPr>
            </w:pPr>
          </w:p>
          <w:p w14:paraId="69EFF347" w14:textId="68DFAC89" w:rsidR="00AA273B" w:rsidRPr="00F65866" w:rsidRDefault="00AA273B" w:rsidP="00AA273B">
            <w:pPr>
              <w:spacing w:after="160" w:line="360" w:lineRule="auto"/>
              <w:rPr>
                <w:sz w:val="24"/>
                <w:szCs w:val="24"/>
              </w:rPr>
            </w:pPr>
            <w:r w:rsidRPr="00F65866">
              <w:rPr>
                <w:sz w:val="24"/>
                <w:szCs w:val="24"/>
              </w:rPr>
              <w:lastRenderedPageBreak/>
              <w:t xml:space="preserve">A Section 47 enquiry requires the local authority social worker to see the child, gather evidence, and assess immediate risk (CA, 1989). Where there is concern that a crime may have been committed, the enquiry must be conducted jointly with the police (CA, 1989; Wales Safeguarding Procedures, 2019). The child's wishes and feelings should be considered, with attention to Gillick competence and the Fraser guidelines, which guide decision-making about consent in under-16's (Gillick v West Norfolk and Wisbech AHA [1986]: Department of Health, 2004). If risk is substantiated, an initial child protection conference must be held within 15 working days. </w:t>
            </w:r>
            <w:r>
              <w:rPr>
                <w:sz w:val="24"/>
                <w:szCs w:val="24"/>
              </w:rPr>
              <w:t>During the child protection conference</w:t>
            </w:r>
            <w:r w:rsidRPr="00F65866">
              <w:rPr>
                <w:sz w:val="24"/>
                <w:szCs w:val="24"/>
              </w:rPr>
              <w:t>, professionals and family share information, and a decision is made whether the child should be placed on the child protection register under one or more categories of abuse: physical, sexual, emotional, or neglect (Wales Safeguarding Procedures, 2019).</w:t>
            </w:r>
          </w:p>
          <w:p w14:paraId="3554E022" w14:textId="77777777" w:rsidR="00AA273B" w:rsidRPr="00F65866" w:rsidRDefault="00AA273B" w:rsidP="00AA273B">
            <w:pPr>
              <w:spacing w:after="160" w:line="360" w:lineRule="auto"/>
              <w:rPr>
                <w:sz w:val="24"/>
                <w:szCs w:val="24"/>
              </w:rPr>
            </w:pPr>
          </w:p>
          <w:p w14:paraId="14273D10" w14:textId="77777777" w:rsidR="00AA273B" w:rsidRPr="00F65866" w:rsidRDefault="00AA273B" w:rsidP="00AA273B">
            <w:pPr>
              <w:spacing w:after="160" w:line="360" w:lineRule="auto"/>
              <w:rPr>
                <w:sz w:val="24"/>
                <w:szCs w:val="24"/>
              </w:rPr>
            </w:pPr>
            <w:r w:rsidRPr="00F65866">
              <w:rPr>
                <w:sz w:val="24"/>
                <w:szCs w:val="24"/>
              </w:rPr>
              <w:t>When a child is placed on the child protection register, a statutory child protection plan must be developed, monitored by a core group, and reviewed at 3 and 6 months (Wales Safeguarding Procedures, 2019). When parental co-operation is absent or risks remain high, the local authority may consider legal action. An Emergency Protection Order under Section 44 of the CA 1989 allows immediate removal for up to 8 days, extendable to 15, while a Care Order under Section 31 of the CA 1989 gives the authority parental responsibility.</w:t>
            </w:r>
          </w:p>
          <w:p w14:paraId="405E57F1" w14:textId="77777777" w:rsidR="00AA273B" w:rsidRPr="00F65866" w:rsidRDefault="00AA273B" w:rsidP="00AA273B">
            <w:pPr>
              <w:spacing w:after="160" w:line="360" w:lineRule="auto"/>
              <w:rPr>
                <w:sz w:val="24"/>
                <w:szCs w:val="24"/>
              </w:rPr>
            </w:pPr>
          </w:p>
          <w:p w14:paraId="04DE02C9" w14:textId="541D9CD4" w:rsidR="007F2BC3" w:rsidRDefault="00AA273B" w:rsidP="00AA273B">
            <w:pPr>
              <w:spacing w:after="160" w:line="360" w:lineRule="auto"/>
              <w:rPr>
                <w:sz w:val="24"/>
                <w:szCs w:val="24"/>
              </w:rPr>
            </w:pPr>
            <w:r w:rsidRPr="00F65866">
              <w:rPr>
                <w:sz w:val="24"/>
                <w:szCs w:val="24"/>
              </w:rPr>
              <w:t>National and local frameworks reinforce this process. The Wales Safeguarding Procedures (2019) app helps practitioners access guidance quickly, and the X Safeguarding Board (2023) provides oversight through audits and child practice reviews, ensuring lessons are learned. The Code of Professional Practice (Social Care Wales, 2017) further requires practitioners to protect from harm, respect rights, and collaborate effectively. At an organisational level, policies set out referral pathways, whistleblowing, and supervision duties.</w:t>
            </w:r>
          </w:p>
          <w:p w14:paraId="6778CBC0" w14:textId="77777777" w:rsidR="007F2BC3" w:rsidRPr="00F65866" w:rsidRDefault="007F2BC3" w:rsidP="00AA273B">
            <w:pPr>
              <w:spacing w:after="160" w:line="360" w:lineRule="auto"/>
              <w:rPr>
                <w:sz w:val="24"/>
                <w:szCs w:val="24"/>
              </w:rPr>
            </w:pPr>
          </w:p>
          <w:p w14:paraId="5B7AC560" w14:textId="77777777" w:rsidR="00AA273B" w:rsidRPr="00F65866" w:rsidRDefault="00AA273B" w:rsidP="00AA273B">
            <w:pPr>
              <w:spacing w:after="160" w:line="360" w:lineRule="auto"/>
              <w:rPr>
                <w:sz w:val="24"/>
                <w:szCs w:val="24"/>
              </w:rPr>
            </w:pPr>
            <w:r w:rsidRPr="00F65866">
              <w:rPr>
                <w:sz w:val="24"/>
                <w:szCs w:val="24"/>
              </w:rPr>
              <w:lastRenderedPageBreak/>
              <w:t>Theoretical perspectives guide these duties. Systems theory (Bronfenbrenner, 1979) explains the need for multi-agency collaboration, given the way children's lives are shaped by overlapping contexts. Attachment theory (Bowlby, 1969) shows how maltreatment disrupts secure relationships, underlining the importance of early intervention. Resilience theory (Rutter, 1999) reminds us that protective factors, such as supportive relationships, can mitigate adversity, aligning with the early intervention and prevention principle of the SSWBA 2014.</w:t>
            </w:r>
          </w:p>
          <w:p w14:paraId="372B118B" w14:textId="0C5281D3" w:rsidR="00AA273B" w:rsidRDefault="00AA273B" w:rsidP="00FF7EBB">
            <w:pPr>
              <w:jc w:val="both"/>
              <w:rPr>
                <w:sz w:val="24"/>
                <w:szCs w:val="24"/>
              </w:rPr>
            </w:pPr>
          </w:p>
          <w:p w14:paraId="66839251" w14:textId="02D920F9" w:rsidR="007F2BC3" w:rsidRDefault="007F2BC3" w:rsidP="00FF7EBB">
            <w:pPr>
              <w:jc w:val="both"/>
              <w:rPr>
                <w:sz w:val="24"/>
                <w:szCs w:val="24"/>
              </w:rPr>
            </w:pPr>
            <w:r>
              <w:rPr>
                <w:sz w:val="24"/>
                <w:szCs w:val="24"/>
              </w:rPr>
              <w:t>Word count - 549</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29168728" w14:textId="77777777" w:rsidR="00CC2C0B" w:rsidRDefault="00CC2C0B" w:rsidP="00FC0334">
            <w:pPr>
              <w:jc w:val="both"/>
              <w:rPr>
                <w:i/>
                <w:sz w:val="24"/>
                <w:szCs w:val="24"/>
              </w:rPr>
            </w:pPr>
          </w:p>
          <w:p w14:paraId="51833E06" w14:textId="77777777" w:rsidR="007F2BC3" w:rsidRDefault="007F2BC3" w:rsidP="00FC0334">
            <w:pPr>
              <w:jc w:val="both"/>
              <w:rPr>
                <w:i/>
                <w:sz w:val="24"/>
                <w:szCs w:val="24"/>
              </w:rPr>
            </w:pPr>
          </w:p>
          <w:p w14:paraId="7CC8E9E6" w14:textId="6E3F4029" w:rsidR="00202827" w:rsidRDefault="00202827" w:rsidP="00202827">
            <w:pPr>
              <w:spacing w:line="360" w:lineRule="auto"/>
              <w:rPr>
                <w:sz w:val="24"/>
                <w:szCs w:val="24"/>
              </w:rPr>
            </w:pPr>
            <w:r w:rsidRPr="00133C62">
              <w:rPr>
                <w:sz w:val="24"/>
                <w:szCs w:val="24"/>
              </w:rPr>
              <w:t>Safeguarding aims to protect people from harm, but the processes for children and adults differ.</w:t>
            </w:r>
            <w:r w:rsidRPr="00202827">
              <w:rPr>
                <w:sz w:val="24"/>
                <w:szCs w:val="24"/>
              </w:rPr>
              <w:t xml:space="preserve"> </w:t>
            </w:r>
            <w:r w:rsidRPr="00133C62">
              <w:rPr>
                <w:sz w:val="24"/>
                <w:szCs w:val="24"/>
              </w:rPr>
              <w:t>Part 7 of Social Services and Well-being (Wales) Act</w:t>
            </w:r>
            <w:r w:rsidR="0001120C">
              <w:rPr>
                <w:sz w:val="24"/>
                <w:szCs w:val="24"/>
              </w:rPr>
              <w:t xml:space="preserve"> (SSWBA)</w:t>
            </w:r>
            <w:r w:rsidRPr="00133C62">
              <w:rPr>
                <w:sz w:val="24"/>
                <w:szCs w:val="24"/>
              </w:rPr>
              <w:t xml:space="preserve"> 2014</w:t>
            </w:r>
            <w:r w:rsidRPr="00202827">
              <w:rPr>
                <w:sz w:val="24"/>
                <w:szCs w:val="24"/>
              </w:rPr>
              <w:t xml:space="preserve"> provides the framework with children additionally safeguarded under the Children Act (CA) 1989 and adults by the </w:t>
            </w:r>
            <w:r w:rsidRPr="00133C62">
              <w:rPr>
                <w:sz w:val="24"/>
                <w:szCs w:val="24"/>
              </w:rPr>
              <w:t>Mental Capacity Act 2005. This reflects different assumptions: children are viewed as dependent and needing protection, whereas adults are generally presumed autonomous unless capacity is impaired (</w:t>
            </w:r>
            <w:proofErr w:type="spellStart"/>
            <w:r w:rsidRPr="00133C62">
              <w:rPr>
                <w:sz w:val="24"/>
                <w:szCs w:val="24"/>
              </w:rPr>
              <w:t>Brayne</w:t>
            </w:r>
            <w:proofErr w:type="spellEnd"/>
            <w:r w:rsidRPr="00133C62">
              <w:rPr>
                <w:sz w:val="24"/>
                <w:szCs w:val="24"/>
              </w:rPr>
              <w:t xml:space="preserve"> and Carr, 2018).</w:t>
            </w:r>
          </w:p>
          <w:p w14:paraId="7D346117" w14:textId="77777777" w:rsidR="00202827" w:rsidRPr="00202827" w:rsidRDefault="00202827" w:rsidP="00202827">
            <w:pPr>
              <w:spacing w:line="360" w:lineRule="auto"/>
              <w:rPr>
                <w:sz w:val="24"/>
                <w:szCs w:val="24"/>
              </w:rPr>
            </w:pPr>
          </w:p>
          <w:p w14:paraId="66A705C7" w14:textId="77777777" w:rsidR="000B4C3C" w:rsidRDefault="00202827" w:rsidP="00202827">
            <w:pPr>
              <w:spacing w:after="160" w:line="360" w:lineRule="auto"/>
              <w:rPr>
                <w:sz w:val="24"/>
                <w:szCs w:val="24"/>
              </w:rPr>
            </w:pPr>
            <w:r w:rsidRPr="00133C62">
              <w:rPr>
                <w:sz w:val="24"/>
                <w:szCs w:val="24"/>
              </w:rPr>
              <w:t xml:space="preserve">Definitions also diverge. A child at risk is under 18 and experiencing, or likely to experience, abuse, neglect, or harm (Wales Safeguarding Procedures, 2019). Adults must have care and support needs and be unable to protect themselves. Categories of harm differ too: children may be registered under physical, sexual, emotional abuse, or neglect, while adult safeguarding also includes financial abuse and self-neglect, including hoarding. This reflects broader vulnerabilities, </w:t>
            </w:r>
            <w:proofErr w:type="gramStart"/>
            <w:r w:rsidRPr="00133C62">
              <w:rPr>
                <w:sz w:val="24"/>
                <w:szCs w:val="24"/>
              </w:rPr>
              <w:t>where</w:t>
            </w:r>
            <w:proofErr w:type="gramEnd"/>
            <w:r w:rsidRPr="00133C62">
              <w:rPr>
                <w:sz w:val="24"/>
                <w:szCs w:val="24"/>
              </w:rPr>
              <w:t xml:space="preserve"> lifestyle choices complicate assessments. Preston-Shoot (2020) </w:t>
            </w:r>
            <w:r w:rsidRPr="00202827">
              <w:rPr>
                <w:sz w:val="24"/>
                <w:szCs w:val="24"/>
              </w:rPr>
              <w:t>identifies</w:t>
            </w:r>
            <w:r w:rsidRPr="00133C62">
              <w:rPr>
                <w:sz w:val="24"/>
                <w:szCs w:val="24"/>
              </w:rPr>
              <w:t xml:space="preserve"> self-neglect exposes tensions between autonomy and protection, less pronounced in children’s safeguarding where welfare overrides choice.</w:t>
            </w:r>
          </w:p>
          <w:p w14:paraId="72CE88EF" w14:textId="77777777" w:rsidR="000B4C3C" w:rsidRDefault="000B4C3C" w:rsidP="00202827">
            <w:pPr>
              <w:spacing w:after="160" w:line="360" w:lineRule="auto"/>
              <w:rPr>
                <w:sz w:val="24"/>
                <w:szCs w:val="24"/>
              </w:rPr>
            </w:pPr>
          </w:p>
          <w:p w14:paraId="2B911354" w14:textId="34647D7A" w:rsidR="00202827" w:rsidRDefault="00202827" w:rsidP="00202827">
            <w:pPr>
              <w:spacing w:after="160" w:line="360" w:lineRule="auto"/>
              <w:rPr>
                <w:sz w:val="24"/>
                <w:szCs w:val="24"/>
              </w:rPr>
            </w:pPr>
            <w:r w:rsidRPr="00133C62">
              <w:rPr>
                <w:sz w:val="24"/>
                <w:szCs w:val="24"/>
              </w:rPr>
              <w:t>Processes and timescales also contrast. For children, statutory deadlines require a strategy meeting within 24 hours and an initial protection conference within 15 working days (Wales Safeguarding Procedures, 2019). Adult safeguarding is less rigid,</w:t>
            </w:r>
            <w:r w:rsidR="0001120C">
              <w:rPr>
                <w:sz w:val="24"/>
                <w:szCs w:val="24"/>
              </w:rPr>
              <w:t xml:space="preserve"> </w:t>
            </w:r>
            <w:r w:rsidRPr="00133C62">
              <w:rPr>
                <w:sz w:val="24"/>
                <w:szCs w:val="24"/>
              </w:rPr>
              <w:t>guided by proportionality and professional judgement.</w:t>
            </w:r>
          </w:p>
          <w:p w14:paraId="4F21AD28" w14:textId="77777777" w:rsidR="000B4C3C" w:rsidRPr="00133C62" w:rsidRDefault="000B4C3C" w:rsidP="00202827">
            <w:pPr>
              <w:spacing w:after="160" w:line="360" w:lineRule="auto"/>
              <w:rPr>
                <w:sz w:val="24"/>
                <w:szCs w:val="24"/>
              </w:rPr>
            </w:pPr>
          </w:p>
          <w:p w14:paraId="779F4DB0" w14:textId="77777777" w:rsidR="00202827" w:rsidRDefault="00202827" w:rsidP="00202827">
            <w:pPr>
              <w:spacing w:after="160" w:line="360" w:lineRule="auto"/>
              <w:rPr>
                <w:sz w:val="24"/>
                <w:szCs w:val="24"/>
              </w:rPr>
            </w:pPr>
            <w:r w:rsidRPr="00133C62">
              <w:rPr>
                <w:sz w:val="24"/>
                <w:szCs w:val="24"/>
              </w:rPr>
              <w:t>Consent marks another distinction. For children, parental consent is good practice but not required for Section 47 enquiries, as welfare is paramount. Children’s wishes are considered through Gillick competence and the Fraser guidelines (Gillick v West Norfolk and Wisbech AHA [1986]; Department of Health, 2004). In adults, intervention usually requires consent where capacity is present, except where coercion, duress or risks to others apply, reflecting principles of autonomy and self-determination.</w:t>
            </w:r>
          </w:p>
          <w:p w14:paraId="4C3371F2" w14:textId="77777777" w:rsidR="000B4C3C" w:rsidRPr="00133C62" w:rsidRDefault="000B4C3C" w:rsidP="00202827">
            <w:pPr>
              <w:spacing w:after="160" w:line="360" w:lineRule="auto"/>
              <w:rPr>
                <w:sz w:val="24"/>
                <w:szCs w:val="24"/>
              </w:rPr>
            </w:pPr>
          </w:p>
          <w:p w14:paraId="3574406A" w14:textId="68D2EBDE" w:rsidR="00202827" w:rsidRDefault="00202827" w:rsidP="00202827">
            <w:pPr>
              <w:spacing w:after="160" w:line="360" w:lineRule="auto"/>
              <w:rPr>
                <w:sz w:val="24"/>
                <w:szCs w:val="24"/>
              </w:rPr>
            </w:pPr>
            <w:r w:rsidRPr="00133C62">
              <w:rPr>
                <w:sz w:val="24"/>
                <w:szCs w:val="24"/>
              </w:rPr>
              <w:t>Court powers further differ. Children may be removed under Emergency Protection or Care Orders, transferring responsibility to the local authority (CA 1989). Adults are not ordinarily removed; risks are managed through safeguarding plans or services. Where capacity is lacking, intervention falls under the MCA 2005, including Deprivation of Liberty Safeguards. Where capacity is present but constrained by coercion or undue influence, the High Court’s inherent jurisdiction may authorise removal (Braye and Preston-Shoot, 2016</w:t>
            </w:r>
            <w:r w:rsidR="0001120C">
              <w:rPr>
                <w:sz w:val="24"/>
                <w:szCs w:val="24"/>
              </w:rPr>
              <w:t>b</w:t>
            </w:r>
            <w:r w:rsidRPr="00133C62">
              <w:rPr>
                <w:sz w:val="24"/>
                <w:szCs w:val="24"/>
              </w:rPr>
              <w:t>).</w:t>
            </w:r>
          </w:p>
          <w:p w14:paraId="6384C6C4" w14:textId="77777777" w:rsidR="000B4C3C" w:rsidRPr="00133C62" w:rsidRDefault="000B4C3C" w:rsidP="00202827">
            <w:pPr>
              <w:spacing w:after="160" w:line="360" w:lineRule="auto"/>
              <w:rPr>
                <w:sz w:val="24"/>
                <w:szCs w:val="24"/>
              </w:rPr>
            </w:pPr>
          </w:p>
          <w:p w14:paraId="47D7F681" w14:textId="6AE65FD0" w:rsidR="00202827" w:rsidRDefault="00202827" w:rsidP="00202827">
            <w:pPr>
              <w:spacing w:after="160" w:line="360" w:lineRule="auto"/>
              <w:rPr>
                <w:sz w:val="24"/>
                <w:szCs w:val="24"/>
              </w:rPr>
            </w:pPr>
            <w:r w:rsidRPr="00133C62">
              <w:rPr>
                <w:sz w:val="24"/>
                <w:szCs w:val="24"/>
              </w:rPr>
              <w:t>Advocacy also contrasts. Children may be supported by independent reviewing officers, advocates or CAFCASS, reflecting dependency and developing autonomy. For adults, Part 10 of SSWBA 2014 provides a right to an independent advocate where participation would otherwise be difficult. Both approaches emphasise ensuring the individual’s voice is heard.</w:t>
            </w:r>
          </w:p>
          <w:p w14:paraId="25D1EE6C" w14:textId="77777777" w:rsidR="000B4C3C" w:rsidRPr="00133C62" w:rsidRDefault="000B4C3C" w:rsidP="00202827">
            <w:pPr>
              <w:spacing w:after="160" w:line="360" w:lineRule="auto"/>
              <w:rPr>
                <w:sz w:val="24"/>
                <w:szCs w:val="24"/>
              </w:rPr>
            </w:pPr>
          </w:p>
          <w:p w14:paraId="0354508A" w14:textId="629A26E7" w:rsidR="00FC0334" w:rsidRDefault="00202827" w:rsidP="000B4C3C">
            <w:pPr>
              <w:spacing w:after="160" w:line="360" w:lineRule="auto"/>
              <w:rPr>
                <w:sz w:val="24"/>
                <w:szCs w:val="24"/>
              </w:rPr>
            </w:pPr>
            <w:r w:rsidRPr="00133C62">
              <w:rPr>
                <w:sz w:val="24"/>
                <w:szCs w:val="24"/>
              </w:rPr>
              <w:t xml:space="preserve">Despite contrasts, both are overseen by regional safeguarding boards, guided by Wales Safeguarding Procedures (2019), and underpinned by Social Care Wales </w:t>
            </w:r>
            <w:r w:rsidRPr="00202827">
              <w:rPr>
                <w:sz w:val="24"/>
                <w:szCs w:val="24"/>
              </w:rPr>
              <w:t xml:space="preserve">(2017) </w:t>
            </w:r>
            <w:r w:rsidRPr="00133C62">
              <w:rPr>
                <w:sz w:val="24"/>
                <w:szCs w:val="24"/>
              </w:rPr>
              <w:t xml:space="preserve">Code of </w:t>
            </w:r>
            <w:r w:rsidRPr="00133C62">
              <w:rPr>
                <w:sz w:val="24"/>
                <w:szCs w:val="24"/>
              </w:rPr>
              <w:lastRenderedPageBreak/>
              <w:t>Professional Practice</w:t>
            </w:r>
            <w:r w:rsidR="0001120C">
              <w:rPr>
                <w:sz w:val="24"/>
                <w:szCs w:val="24"/>
              </w:rPr>
              <w:t xml:space="preserve"> for Social Work</w:t>
            </w:r>
            <w:r w:rsidRPr="00133C62">
              <w:rPr>
                <w:sz w:val="24"/>
                <w:szCs w:val="24"/>
              </w:rPr>
              <w:t>. Their shared aim is protection, though processes diverge according to age, autonomy, and legal powers.</w:t>
            </w:r>
          </w:p>
          <w:p w14:paraId="7873FFC3" w14:textId="77777777" w:rsidR="000B4C3C" w:rsidRDefault="000B4C3C" w:rsidP="000B4C3C">
            <w:pPr>
              <w:spacing w:after="160" w:line="360" w:lineRule="auto"/>
              <w:rPr>
                <w:sz w:val="24"/>
                <w:szCs w:val="24"/>
              </w:rPr>
            </w:pPr>
          </w:p>
          <w:p w14:paraId="08760B3D" w14:textId="4FF77BE9" w:rsidR="000B4C3C" w:rsidRPr="006108C9" w:rsidRDefault="000B4C3C" w:rsidP="000B4C3C">
            <w:pPr>
              <w:spacing w:after="160" w:line="360" w:lineRule="auto"/>
              <w:rPr>
                <w:sz w:val="24"/>
                <w:szCs w:val="24"/>
              </w:rPr>
            </w:pPr>
            <w:r>
              <w:rPr>
                <w:sz w:val="24"/>
                <w:szCs w:val="24"/>
              </w:rPr>
              <w:t>Word count- 4</w:t>
            </w:r>
            <w:r w:rsidR="0001120C">
              <w:rPr>
                <w:sz w:val="24"/>
                <w:szCs w:val="24"/>
              </w:rPr>
              <w:t>40</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20C"/>
    <w:rsid w:val="00011F6E"/>
    <w:rsid w:val="00012B16"/>
    <w:rsid w:val="00020EEC"/>
    <w:rsid w:val="0002440E"/>
    <w:rsid w:val="0002759A"/>
    <w:rsid w:val="00027B1F"/>
    <w:rsid w:val="0003088B"/>
    <w:rsid w:val="000325D9"/>
    <w:rsid w:val="000372B2"/>
    <w:rsid w:val="0004079F"/>
    <w:rsid w:val="00043543"/>
    <w:rsid w:val="00043E51"/>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C3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020"/>
    <w:rsid w:val="001F4552"/>
    <w:rsid w:val="002019EB"/>
    <w:rsid w:val="00202827"/>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17A7"/>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BC3"/>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73B"/>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C0B"/>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6C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1196</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Leanne Duncalf</cp:lastModifiedBy>
  <cp:revision>6</cp:revision>
  <cp:lastPrinted>2020-02-11T19:20:00Z</cp:lastPrinted>
  <dcterms:created xsi:type="dcterms:W3CDTF">2022-09-29T11:35:00Z</dcterms:created>
  <dcterms:modified xsi:type="dcterms:W3CDTF">2025-10-07T18:31:00Z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