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79A07" w14:textId="3D1C1E1E" w:rsidR="002B7B6E" w:rsidRDefault="004612F7" w:rsidP="00CB7543">
      <w:pPr>
        <w:spacing w:line="360" w:lineRule="auto"/>
        <w:jc w:val="center"/>
        <w:rPr>
          <w:u w:val="single"/>
        </w:rPr>
      </w:pPr>
      <w:r w:rsidRPr="004612F7">
        <w:rPr>
          <w:u w:val="single"/>
        </w:rPr>
        <w:t xml:space="preserve">To what extent does Donne’s Devotions </w:t>
      </w:r>
      <w:r w:rsidR="00236FE5">
        <w:rPr>
          <w:u w:val="single"/>
        </w:rPr>
        <w:t>U</w:t>
      </w:r>
      <w:r w:rsidRPr="004612F7">
        <w:rPr>
          <w:u w:val="single"/>
        </w:rPr>
        <w:t xml:space="preserve">pon Emergent </w:t>
      </w:r>
      <w:r w:rsidR="00E45111">
        <w:rPr>
          <w:u w:val="single"/>
        </w:rPr>
        <w:t>O</w:t>
      </w:r>
      <w:r w:rsidRPr="004612F7">
        <w:rPr>
          <w:u w:val="single"/>
        </w:rPr>
        <w:t xml:space="preserve">ccasions conform either to the notion that disease is ‘the </w:t>
      </w:r>
      <w:proofErr w:type="spellStart"/>
      <w:r w:rsidRPr="004612F7">
        <w:rPr>
          <w:u w:val="single"/>
        </w:rPr>
        <w:t>wil</w:t>
      </w:r>
      <w:proofErr w:type="spellEnd"/>
      <w:r w:rsidRPr="004612F7">
        <w:rPr>
          <w:u w:val="single"/>
        </w:rPr>
        <w:t xml:space="preserve"> of God rightfully punishing wicked </w:t>
      </w:r>
      <w:proofErr w:type="spellStart"/>
      <w:r w:rsidRPr="004612F7">
        <w:rPr>
          <w:u w:val="single"/>
        </w:rPr>
        <w:t>menne</w:t>
      </w:r>
      <w:proofErr w:type="spellEnd"/>
      <w:r w:rsidRPr="004612F7">
        <w:rPr>
          <w:u w:val="single"/>
        </w:rPr>
        <w:t>’ (Thomas Phaire, The Regiment of Life (1553)) or that ‘affliction is a treasure’ by which we are ‘made fit for God’ (Meditation XVII)?</w:t>
      </w:r>
    </w:p>
    <w:p w14:paraId="64B3A574" w14:textId="2D993B98" w:rsidR="00CB7543" w:rsidRDefault="38746907" w:rsidP="00CB7543">
      <w:pPr>
        <w:spacing w:line="360" w:lineRule="auto"/>
        <w:jc w:val="both"/>
      </w:pPr>
      <w:r>
        <w:t xml:space="preserve">Donne’s work of Devotion upon Emergent occasions is an incredible piece of writing because of the style and detail that Donne has written in. This essay will begin with explaining who John Donne and Thomas Phaire were, then it will examine the illness that Donne experienced at the time of writing the book on Devotion.  Following this, the essay will compare a quotation from Thomas </w:t>
      </w:r>
      <w:proofErr w:type="spellStart"/>
      <w:r>
        <w:t>Phaire’s</w:t>
      </w:r>
      <w:proofErr w:type="spellEnd"/>
      <w:r>
        <w:t xml:space="preserve"> writing, ‘the </w:t>
      </w:r>
      <w:proofErr w:type="spellStart"/>
      <w:r>
        <w:t>wil</w:t>
      </w:r>
      <w:proofErr w:type="spellEnd"/>
      <w:r>
        <w:t xml:space="preserve"> of God rightfully punishing wicked </w:t>
      </w:r>
      <w:proofErr w:type="spellStart"/>
      <w:r>
        <w:t>menne</w:t>
      </w:r>
      <w:proofErr w:type="spellEnd"/>
      <w:r>
        <w:t xml:space="preserve">’, in his book </w:t>
      </w:r>
      <w:r w:rsidRPr="38746907">
        <w:rPr>
          <w:i/>
          <w:iCs/>
        </w:rPr>
        <w:t>The Regiment of Life</w:t>
      </w:r>
      <w:r>
        <w:t xml:space="preserve">, and John Donne’s writing of </w:t>
      </w:r>
      <w:r w:rsidRPr="38746907">
        <w:rPr>
          <w:i/>
          <w:iCs/>
        </w:rPr>
        <w:t>Devotions upon Emergent Occasions,</w:t>
      </w:r>
      <w:r>
        <w:t xml:space="preserve"> specifically the quotation, ‘affliction is a treasure’ by which we are ‘made fit for God’. Finally, this paper will investigate the meaning behind the individual quotations and others which relate to the question, to then understand and answer the extent to which Donne thought sickness is God punishing him for sins that have been committed. </w:t>
      </w:r>
    </w:p>
    <w:p w14:paraId="72E2AEC0" w14:textId="3AF14C3A" w:rsidR="00E572B4" w:rsidRDefault="00E572B4" w:rsidP="38746907">
      <w:pPr>
        <w:spacing w:line="360" w:lineRule="auto"/>
        <w:jc w:val="both"/>
      </w:pPr>
      <w:r>
        <w:t xml:space="preserve">John Donne was known as an English poet, creating works including the three most </w:t>
      </w:r>
      <w:r w:rsidR="38746907">
        <w:t>popular</w:t>
      </w:r>
      <w:r>
        <w:t xml:space="preserve">, </w:t>
      </w:r>
      <w:r w:rsidRPr="38746907">
        <w:rPr>
          <w:i/>
          <w:iCs/>
        </w:rPr>
        <w:t>Songs and Sonnets, Satires,</w:t>
      </w:r>
      <w:r>
        <w:t xml:space="preserve"> and </w:t>
      </w:r>
      <w:r w:rsidRPr="38746907">
        <w:rPr>
          <w:i/>
          <w:iCs/>
        </w:rPr>
        <w:t xml:space="preserve">Devotions upon Emergent </w:t>
      </w:r>
      <w:r w:rsidR="0070389B" w:rsidRPr="38746907">
        <w:rPr>
          <w:i/>
          <w:iCs/>
        </w:rPr>
        <w:t>O</w:t>
      </w:r>
      <w:r w:rsidRPr="38746907">
        <w:rPr>
          <w:i/>
          <w:iCs/>
        </w:rPr>
        <w:t>ccasions</w:t>
      </w:r>
      <w:r>
        <w:t>. He wrote the book of Devotions after a long and horrific illness in 1634, where he inserted the private prayers, he was engaging in into the book.</w:t>
      </w:r>
      <w:r>
        <w:rPr>
          <w:rStyle w:val="FootnoteReference"/>
        </w:rPr>
        <w:footnoteReference w:id="1"/>
      </w:r>
      <w:r>
        <w:t xml:space="preserve"> Throughout his lifetime, John Donne had been </w:t>
      </w:r>
      <w:r w:rsidR="0002730A">
        <w:t>raised as a Roman</w:t>
      </w:r>
      <w:r w:rsidR="00791807">
        <w:t xml:space="preserve"> </w:t>
      </w:r>
      <w:r w:rsidR="0002730A">
        <w:t>C</w:t>
      </w:r>
      <w:r>
        <w:t xml:space="preserve">atholic and </w:t>
      </w:r>
      <w:r w:rsidR="00791807">
        <w:t xml:space="preserve">later in his life became the </w:t>
      </w:r>
      <w:r w:rsidR="00E71A54">
        <w:t>D</w:t>
      </w:r>
      <w:r w:rsidR="00791807">
        <w:t>ean of St Paul</w:t>
      </w:r>
      <w:r w:rsidR="00E71A54">
        <w:t xml:space="preserve">’s </w:t>
      </w:r>
      <w:r w:rsidR="0070389B">
        <w:t>C</w:t>
      </w:r>
      <w:r w:rsidR="00E71A54">
        <w:t>athedral</w:t>
      </w:r>
      <w:r w:rsidR="00791807">
        <w:t xml:space="preserve">. </w:t>
      </w:r>
      <w:r w:rsidR="009341D3">
        <w:t xml:space="preserve">Thomas Phaire had also been regarded as a high member of society at the time because his many professions </w:t>
      </w:r>
      <w:r w:rsidR="00DA55AD">
        <w:t>included</w:t>
      </w:r>
      <w:r w:rsidR="009341D3">
        <w:t xml:space="preserve"> being a translator, a physician, and a lawyer</w:t>
      </w:r>
      <w:r w:rsidR="00C24AB4">
        <w:t xml:space="preserve"> before becoming a member of P</w:t>
      </w:r>
      <w:r w:rsidR="0002730A">
        <w:t>arliament</w:t>
      </w:r>
      <w:r w:rsidR="009341D3">
        <w:t>.</w:t>
      </w:r>
      <w:r w:rsidR="009341D3">
        <w:rPr>
          <w:rStyle w:val="FootnoteReference"/>
        </w:rPr>
        <w:footnoteReference w:id="2"/>
      </w:r>
      <w:r w:rsidR="009341D3">
        <w:t xml:space="preserve"> It is not known if Phaire was religious or not during the time he was alive, from 1510 to 1560, although it was a common perspective within society during this period. </w:t>
      </w:r>
      <w:r w:rsidR="006730C8">
        <w:t xml:space="preserve">Later in his life, Phaire moved to settle in Wales in Cilgerran. </w:t>
      </w:r>
      <w:proofErr w:type="gramStart"/>
      <w:r w:rsidR="00132CFF">
        <w:t>Similar</w:t>
      </w:r>
      <w:r w:rsidR="009341D3">
        <w:t xml:space="preserve"> to</w:t>
      </w:r>
      <w:proofErr w:type="gramEnd"/>
      <w:r w:rsidR="00D857CB">
        <w:t>,</w:t>
      </w:r>
      <w:r w:rsidR="009341D3">
        <w:t xml:space="preserve"> Donne, Phaire wrote books, the most </w:t>
      </w:r>
      <w:r w:rsidR="00132CFF">
        <w:t>well-known</w:t>
      </w:r>
      <w:r w:rsidR="009341D3">
        <w:t xml:space="preserve"> being </w:t>
      </w:r>
      <w:r w:rsidR="009341D3" w:rsidRPr="38746907">
        <w:rPr>
          <w:i/>
          <w:iCs/>
        </w:rPr>
        <w:t xml:space="preserve">The Boke of </w:t>
      </w:r>
      <w:proofErr w:type="spellStart"/>
      <w:r w:rsidR="009341D3" w:rsidRPr="38746907">
        <w:rPr>
          <w:i/>
          <w:iCs/>
        </w:rPr>
        <w:t>Chyldren</w:t>
      </w:r>
      <w:proofErr w:type="spellEnd"/>
      <w:r w:rsidR="009341D3">
        <w:t xml:space="preserve"> and </w:t>
      </w:r>
      <w:r w:rsidR="009341D3" w:rsidRPr="38746907">
        <w:rPr>
          <w:i/>
          <w:iCs/>
        </w:rPr>
        <w:t>The Regiment of Life</w:t>
      </w:r>
      <w:r w:rsidR="009341D3">
        <w:t>.</w:t>
      </w:r>
      <w:r w:rsidR="008E7847">
        <w:rPr>
          <w:rStyle w:val="FootnoteReference"/>
        </w:rPr>
        <w:footnoteReference w:id="3"/>
      </w:r>
    </w:p>
    <w:p w14:paraId="2A86DC84" w14:textId="55611419" w:rsidR="007F6A04" w:rsidRDefault="007F6A04" w:rsidP="38746907">
      <w:pPr>
        <w:spacing w:line="360" w:lineRule="auto"/>
        <w:jc w:val="both"/>
      </w:pPr>
      <w:r w:rsidRPr="003D25B5">
        <w:t xml:space="preserve">To understand the extent of how much Donne’s views on the notion of disease </w:t>
      </w:r>
      <w:r w:rsidR="38746907">
        <w:t>in his own private prayers</w:t>
      </w:r>
      <w:r w:rsidRPr="003D25B5">
        <w:t xml:space="preserve"> </w:t>
      </w:r>
      <w:r w:rsidR="00B16FE1">
        <w:t xml:space="preserve">are, it is important to </w:t>
      </w:r>
      <w:r w:rsidRPr="003D25B5">
        <w:t>note</w:t>
      </w:r>
      <w:r w:rsidR="00B16FE1">
        <w:t xml:space="preserve"> what illness Donne had at the time</w:t>
      </w:r>
      <w:r w:rsidR="00D9767D">
        <w:t xml:space="preserve">, and the impact it presented. </w:t>
      </w:r>
      <w:r w:rsidR="0070389B">
        <w:t xml:space="preserve">Whilst writing this book, Donne </w:t>
      </w:r>
      <w:r w:rsidR="00D9767D">
        <w:t>had been</w:t>
      </w:r>
      <w:r w:rsidR="007F32C5">
        <w:t xml:space="preserve"> ill at the start of the book and began to make a slow recovery, before notable getting worse.</w:t>
      </w:r>
      <w:r w:rsidR="001A6A3E">
        <w:t xml:space="preserve"> Due to the lack of extensive knowledge on different types of illness at the time, it has proved difficult to know which illness Donne presented</w:t>
      </w:r>
      <w:r w:rsidR="0070389B">
        <w:t xml:space="preserve">. Although, because of the time that Donne became ill, it happened during the </w:t>
      </w:r>
      <w:r w:rsidR="001A6A3E">
        <w:t xml:space="preserve">outbreak of the </w:t>
      </w:r>
      <w:r w:rsidR="00D9767D">
        <w:t>plague, meaning that it is possible that when he first became ill, he was infected with the plague.</w:t>
      </w:r>
      <w:r w:rsidR="001A6A3E">
        <w:t xml:space="preserve"> </w:t>
      </w:r>
      <w:r w:rsidR="00D9767D">
        <w:t>When researching into how he eventually died, it is also</w:t>
      </w:r>
      <w:r w:rsidR="004E073D">
        <w:t xml:space="preserve"> suspected that he died from stomach cancer in 1631, </w:t>
      </w:r>
      <w:r w:rsidR="38746907">
        <w:t xml:space="preserve">not long after the </w:t>
      </w:r>
      <w:r w:rsidR="38746907">
        <w:lastRenderedPageBreak/>
        <w:t>publication,</w:t>
      </w:r>
      <w:r w:rsidR="004E073D">
        <w:t xml:space="preserve"> although it is not clear if this is</w:t>
      </w:r>
      <w:r w:rsidR="00E1640E">
        <w:t xml:space="preserve"> true as it has yet to be proven.</w:t>
      </w:r>
      <w:r w:rsidR="004E073D">
        <w:rPr>
          <w:rStyle w:val="FootnoteReference"/>
        </w:rPr>
        <w:footnoteReference w:id="4"/>
      </w:r>
      <w:r w:rsidR="00E1640E">
        <w:t xml:space="preserve"> </w:t>
      </w:r>
      <w:r w:rsidR="006D3E53">
        <w:t xml:space="preserve">This portrays the lack of knowledge on </w:t>
      </w:r>
      <w:r w:rsidR="0070389B">
        <w:t xml:space="preserve">how illnesses were diagnosed compared to today, because the symptoms that Donne presented could have related to either of </w:t>
      </w:r>
      <w:r w:rsidR="006D3E53">
        <w:t>the</w:t>
      </w:r>
      <w:r w:rsidR="00D943B7">
        <w:t xml:space="preserve"> two illness</w:t>
      </w:r>
      <w:r w:rsidR="006D3E53">
        <w:t>es,</w:t>
      </w:r>
      <w:r w:rsidR="00D943B7">
        <w:t xml:space="preserve"> which concludes that it is impossible to tell</w:t>
      </w:r>
      <w:r w:rsidR="006D3E53">
        <w:t xml:space="preserve"> which happened to be more likely</w:t>
      </w:r>
      <w:r w:rsidR="007A01DE">
        <w:t xml:space="preserve">. </w:t>
      </w:r>
      <w:r w:rsidR="006D3E53">
        <w:t xml:space="preserve">However, if it is true that he had </w:t>
      </w:r>
      <w:r w:rsidR="007A01DE">
        <w:t>the plague or cancer in the stomach</w:t>
      </w:r>
      <w:r w:rsidR="007308EE">
        <w:t xml:space="preserve">, it would have created a big impact on how much pain and </w:t>
      </w:r>
      <w:r w:rsidR="007A01DE">
        <w:t>discomfort</w:t>
      </w:r>
      <w:r w:rsidR="00D943B7">
        <w:t xml:space="preserve"> Donne would have been experiencing. Such pain could have amplified the thoughts of considering whether God was punishing him for sin,</w:t>
      </w:r>
      <w:r w:rsidR="007A01DE">
        <w:t xml:space="preserve"> especially because it was an unknown illness, so a thing to be feared and not knowing its cause, this would put forward the</w:t>
      </w:r>
      <w:r w:rsidR="38746907">
        <w:t xml:space="preserve"> possibility of</w:t>
      </w:r>
      <w:r w:rsidR="007A01DE">
        <w:t xml:space="preserve"> it being caused by God</w:t>
      </w:r>
      <w:r w:rsidR="38746907">
        <w:t xml:space="preserve">. </w:t>
      </w:r>
    </w:p>
    <w:p w14:paraId="13513751" w14:textId="6F4171EC" w:rsidR="009058B1" w:rsidRDefault="38746907" w:rsidP="38746907">
      <w:pPr>
        <w:spacing w:line="360" w:lineRule="auto"/>
        <w:jc w:val="both"/>
      </w:pPr>
      <w:r>
        <w:t xml:space="preserve">Whether Donne’s ideas come from the same initial ideas about God as are seen within the quotations of Phaire, needs a consideration of </w:t>
      </w:r>
      <w:proofErr w:type="spellStart"/>
      <w:r>
        <w:t>Phaire’s</w:t>
      </w:r>
      <w:proofErr w:type="spellEnd"/>
      <w:r>
        <w:t xml:space="preserve"> work first.</w:t>
      </w:r>
      <w:r w:rsidR="009058B1">
        <w:t xml:space="preserve"> </w:t>
      </w:r>
      <w:r w:rsidR="00B12630">
        <w:t xml:space="preserve">The section of text </w:t>
      </w:r>
      <w:r w:rsidR="009058B1">
        <w:t xml:space="preserve">that has been selected from </w:t>
      </w:r>
      <w:r w:rsidR="00B12630" w:rsidRPr="38746907">
        <w:rPr>
          <w:i/>
          <w:iCs/>
        </w:rPr>
        <w:t>The Regiment of Life</w:t>
      </w:r>
      <w:r w:rsidR="009058B1">
        <w:t xml:space="preserve">, is the quotation ‘the </w:t>
      </w:r>
      <w:proofErr w:type="spellStart"/>
      <w:r w:rsidR="009058B1">
        <w:t>wil</w:t>
      </w:r>
      <w:proofErr w:type="spellEnd"/>
      <w:r w:rsidR="009058B1">
        <w:t xml:space="preserve"> of God rightfully punishing wicked </w:t>
      </w:r>
      <w:proofErr w:type="spellStart"/>
      <w:r w:rsidR="009058B1">
        <w:t>menne</w:t>
      </w:r>
      <w:proofErr w:type="spellEnd"/>
      <w:r w:rsidR="00B12630">
        <w:t>’</w:t>
      </w:r>
      <w:r w:rsidR="00037766">
        <w:t>.</w:t>
      </w:r>
      <w:r w:rsidR="009058B1">
        <w:rPr>
          <w:rStyle w:val="FootnoteReference"/>
        </w:rPr>
        <w:footnoteReference w:id="5"/>
      </w:r>
      <w:r w:rsidR="002C5591">
        <w:t xml:space="preserve"> Written by Phaire in 1553, </w:t>
      </w:r>
      <w:r w:rsidR="00C2767C">
        <w:t xml:space="preserve">it is strongly suggesting that he believes that God gives illnesses to men who have been wicked in the attempt to punish the actions that they have done. </w:t>
      </w:r>
      <w:r w:rsidR="00881095">
        <w:t>This means</w:t>
      </w:r>
      <w:r w:rsidR="00C2767C">
        <w:t xml:space="preserve"> </w:t>
      </w:r>
      <w:r w:rsidR="00881095">
        <w:t>that</w:t>
      </w:r>
      <w:r w:rsidR="00A04F75">
        <w:t xml:space="preserve"> people who have not been bad or wicked do not get sickness and it is only aimed at the people who are bad. </w:t>
      </w:r>
      <w:r w:rsidR="00DA55AD">
        <w:t xml:space="preserve">During this </w:t>
      </w:r>
      <w:proofErr w:type="gramStart"/>
      <w:r w:rsidR="00DA55AD">
        <w:t>period in time</w:t>
      </w:r>
      <w:proofErr w:type="gramEnd"/>
      <w:r w:rsidR="00DA55AD">
        <w:t xml:space="preserve">, it is clear that Phaire is of the opinion that </w:t>
      </w:r>
      <w:r w:rsidR="00D943B7">
        <w:t xml:space="preserve">God is </w:t>
      </w:r>
      <w:r w:rsidR="00DA55AD">
        <w:t xml:space="preserve">in </w:t>
      </w:r>
      <w:r w:rsidR="00D943B7">
        <w:t>control over everyone around and always watching t</w:t>
      </w:r>
      <w:r w:rsidR="00DA55AD">
        <w:t>he</w:t>
      </w:r>
      <w:r w:rsidR="0081344D">
        <w:t xml:space="preserve"> motions of people in how they are acting within God’s world.</w:t>
      </w:r>
      <w:r>
        <w:t xml:space="preserve">  </w:t>
      </w:r>
    </w:p>
    <w:p w14:paraId="37541DF7" w14:textId="3F84DAA8" w:rsidR="00C2767C" w:rsidRDefault="00C2767C" w:rsidP="00CB7543">
      <w:pPr>
        <w:spacing w:line="360" w:lineRule="auto"/>
        <w:jc w:val="both"/>
      </w:pPr>
      <w:r>
        <w:t xml:space="preserve"> John Donne, however, states in </w:t>
      </w:r>
      <w:r w:rsidRPr="38746907">
        <w:rPr>
          <w:i/>
          <w:iCs/>
        </w:rPr>
        <w:t xml:space="preserve">Devotions </w:t>
      </w:r>
      <w:r w:rsidR="00D943B7" w:rsidRPr="38746907">
        <w:rPr>
          <w:i/>
          <w:iCs/>
        </w:rPr>
        <w:t>U</w:t>
      </w:r>
      <w:r w:rsidRPr="38746907">
        <w:rPr>
          <w:i/>
          <w:iCs/>
        </w:rPr>
        <w:t>pon Emergent Occasions</w:t>
      </w:r>
      <w:r>
        <w:t>, that ‘affliction is a treasure’ by which we are ‘made fit for God’.</w:t>
      </w:r>
      <w:r>
        <w:rPr>
          <w:rStyle w:val="FootnoteReference"/>
        </w:rPr>
        <w:footnoteReference w:id="6"/>
      </w:r>
      <w:r>
        <w:t xml:space="preserve"> </w:t>
      </w:r>
      <w:r w:rsidR="000A0FFC">
        <w:t xml:space="preserve">This could indicate that Donne </w:t>
      </w:r>
      <w:r w:rsidR="00DA55AD">
        <w:t>might have th</w:t>
      </w:r>
      <w:r w:rsidR="000A0FFC">
        <w:t>ought along the same process as Phaire</w:t>
      </w:r>
      <w:r w:rsidR="005D11C1">
        <w:t xml:space="preserve"> with regards to how illness and God are related. However, his view is different too, as in the first section of the quotation ‘affliction is a treasure’ he shows that he believes</w:t>
      </w:r>
      <w:r w:rsidR="00D715AE">
        <w:t xml:space="preserve"> that</w:t>
      </w:r>
      <w:r w:rsidR="005D11C1">
        <w:t xml:space="preserve"> to be ill is a treasure to enlighten the soul and embrace the compassion received by God.</w:t>
      </w:r>
      <w:r w:rsidR="005D11C1">
        <w:rPr>
          <w:rStyle w:val="FootnoteReference"/>
        </w:rPr>
        <w:footnoteReference w:id="7"/>
      </w:r>
      <w:r w:rsidR="00037766">
        <w:t xml:space="preserve"> </w:t>
      </w:r>
      <w:r w:rsidR="00D715AE">
        <w:t xml:space="preserve">The quotation presents an aspect of Donne perhaps feeling </w:t>
      </w:r>
      <w:r w:rsidR="00BF657E">
        <w:t xml:space="preserve">that he is </w:t>
      </w:r>
      <w:r w:rsidR="00D715AE">
        <w:t>closer to God whilst he is ill</w:t>
      </w:r>
      <w:r w:rsidR="009B2031">
        <w:t xml:space="preserve">, </w:t>
      </w:r>
      <w:r w:rsidR="00FC142B">
        <w:t xml:space="preserve">because </w:t>
      </w:r>
      <w:r w:rsidR="00BF657E">
        <w:t xml:space="preserve">when stating the treasure of affliction, it is giving the impression of being pious to God and being able to prove how far people will go to please him. In the second part of the quotation, Donne mentions </w:t>
      </w:r>
      <w:r w:rsidR="00957B89">
        <w:t xml:space="preserve">the </w:t>
      </w:r>
      <w:r w:rsidR="00D943B7">
        <w:t>that we are to be</w:t>
      </w:r>
      <w:r w:rsidR="004503C3">
        <w:t xml:space="preserve"> ‘</w:t>
      </w:r>
      <w:r w:rsidR="00BF657E">
        <w:t xml:space="preserve">made </w:t>
      </w:r>
      <w:r w:rsidR="004503C3">
        <w:t>fit for God’,</w:t>
      </w:r>
      <w:r w:rsidR="004503C3">
        <w:rPr>
          <w:rStyle w:val="FootnoteReference"/>
        </w:rPr>
        <w:footnoteReference w:id="8"/>
      </w:r>
      <w:r w:rsidR="004503C3">
        <w:t xml:space="preserve"> meaning that he also believes that people need to be up to the standard that God expects, because </w:t>
      </w:r>
      <w:r w:rsidR="00957B89">
        <w:t xml:space="preserve">if he is punishing people who are being wicked, there is a standard </w:t>
      </w:r>
      <w:r w:rsidR="00957B89">
        <w:lastRenderedPageBreak/>
        <w:t>that people need to get to a show how pious they are to God before they pass into the afterlife where they may be accepted to live alongside God.</w:t>
      </w:r>
    </w:p>
    <w:p w14:paraId="5AFFAFFC" w14:textId="7E736267" w:rsidR="00E572B4" w:rsidRDefault="00957B89" w:rsidP="00CB7543">
      <w:pPr>
        <w:spacing w:line="360" w:lineRule="auto"/>
        <w:jc w:val="both"/>
      </w:pPr>
      <w:r>
        <w:t xml:space="preserve">When researching into </w:t>
      </w:r>
      <w:proofErr w:type="gramStart"/>
      <w:r>
        <w:t>both of the separate</w:t>
      </w:r>
      <w:proofErr w:type="gramEnd"/>
      <w:r>
        <w:t xml:space="preserve"> sources from Phaire and Donne, it is clear that both </w:t>
      </w:r>
      <w:r w:rsidR="00970ED4">
        <w:t xml:space="preserve">men </w:t>
      </w:r>
      <w:r>
        <w:t>have a sense of piety towards God and the expectation of how people ought to be acting so that they can be perceived well by God.</w:t>
      </w:r>
      <w:r w:rsidR="009A49FA">
        <w:t xml:space="preserve"> </w:t>
      </w:r>
      <w:r w:rsidR="00970ED4">
        <w:t xml:space="preserve">Looking at Donne’s work, it suggests that he seems to typically follow the same as </w:t>
      </w:r>
      <w:proofErr w:type="spellStart"/>
      <w:r w:rsidR="00970ED4">
        <w:t>Phaire’s</w:t>
      </w:r>
      <w:proofErr w:type="spellEnd"/>
      <w:r w:rsidR="00970ED4">
        <w:t xml:space="preserve"> beliefs on which sickness is a punishment because </w:t>
      </w:r>
      <w:r w:rsidR="00384CB0">
        <w:t>he writes ‘death is the wages of sin it is due to me; as death is the end of sickness it belongs to me’.</w:t>
      </w:r>
      <w:r w:rsidR="00384CB0">
        <w:rPr>
          <w:rStyle w:val="FootnoteReference"/>
        </w:rPr>
        <w:footnoteReference w:id="9"/>
      </w:r>
      <w:r w:rsidR="00384CB0">
        <w:t xml:space="preserve"> Donne appears to imply that death is brought upon people because of the sins that they have done in the eyes of God, hence meaning that </w:t>
      </w:r>
      <w:r w:rsidR="002C4247">
        <w:t xml:space="preserve">death is brought on due to the payment of sickness being given to them by God. </w:t>
      </w:r>
      <w:r w:rsidR="007418C6">
        <w:t xml:space="preserve">It could </w:t>
      </w:r>
      <w:r w:rsidR="009240FA">
        <w:t xml:space="preserve">also </w:t>
      </w:r>
      <w:r w:rsidR="007418C6">
        <w:t xml:space="preserve">demonstrate how Donne believed that </w:t>
      </w:r>
      <w:r w:rsidR="009240FA">
        <w:t xml:space="preserve">sickness leading to death was the ultimate sacrifice for the sins that he had committed whilst </w:t>
      </w:r>
      <w:r w:rsidR="00D943B7">
        <w:t xml:space="preserve">being </w:t>
      </w:r>
      <w:r w:rsidR="009240FA">
        <w:t>alive. However, even though Donne and Phaire seem to agree on some points, Donne contradicts himself as he writes that ‘my sickness brought me closer to thee in repentance, and my relapse hath cast me farther from thee’.</w:t>
      </w:r>
      <w:r w:rsidR="009240FA">
        <w:rPr>
          <w:rStyle w:val="FootnoteReference"/>
        </w:rPr>
        <w:footnoteReference w:id="10"/>
      </w:r>
      <w:r w:rsidR="009240FA">
        <w:t xml:space="preserve"> This means that despite him believing that God punishes sin with sickness, the first time he fell ill he repented to God for his sins, </w:t>
      </w:r>
      <w:r w:rsidR="00D943B7">
        <w:t>yet he</w:t>
      </w:r>
      <w:r w:rsidR="009240FA">
        <w:t xml:space="preserve"> then repeated his actions again and so got sick again. </w:t>
      </w:r>
      <w:r w:rsidR="00491EDB">
        <w:t xml:space="preserve">Donne is also implying at the end of the quotation that because he had relapsed by committing more sin, </w:t>
      </w:r>
      <w:r w:rsidR="00D943B7">
        <w:t>it</w:t>
      </w:r>
      <w:r w:rsidR="00491EDB">
        <w:t xml:space="preserve"> has now drawn him even further away from God and he re</w:t>
      </w:r>
      <w:r w:rsidR="00D943B7">
        <w:t>cognises</w:t>
      </w:r>
      <w:r w:rsidR="00491EDB">
        <w:t xml:space="preserve"> this.</w:t>
      </w:r>
    </w:p>
    <w:p w14:paraId="6F3E9ED0" w14:textId="5D0726BB" w:rsidR="00E1640E" w:rsidRDefault="38746907" w:rsidP="00CB7543">
      <w:pPr>
        <w:spacing w:line="360" w:lineRule="auto"/>
        <w:jc w:val="both"/>
      </w:pPr>
      <w:r>
        <w:t xml:space="preserve">One statement that Donne </w:t>
      </w:r>
      <w:r w:rsidR="00123510">
        <w:t>makes</w:t>
      </w:r>
      <w:r>
        <w:t xml:space="preserve"> </w:t>
      </w:r>
      <w:r w:rsidR="00123510">
        <w:t xml:space="preserve">in </w:t>
      </w:r>
      <w:r w:rsidR="00E1640E">
        <w:t>‘</w:t>
      </w:r>
      <w:r w:rsidR="00123510">
        <w:t>Expostulation I’ which is fascinating</w:t>
      </w:r>
      <w:r w:rsidR="00C63863">
        <w:t xml:space="preserve"> because of the way he describes the aspect of having a sickness, but not having symptoms to belong to the illness</w:t>
      </w:r>
      <w:r w:rsidR="00123510">
        <w:t>, he writes</w:t>
      </w:r>
      <w:r w:rsidR="00E1640E">
        <w:t>:</w:t>
      </w:r>
    </w:p>
    <w:p w14:paraId="7B319780" w14:textId="31E2BA55" w:rsidR="00E1640E" w:rsidRDefault="00E1640E" w:rsidP="009E514D">
      <w:pPr>
        <w:spacing w:line="360" w:lineRule="auto"/>
        <w:ind w:left="720"/>
        <w:jc w:val="both"/>
      </w:pPr>
      <w:r>
        <w:t xml:space="preserve">“I fall sick of sin, and am bedded and </w:t>
      </w:r>
      <w:proofErr w:type="spellStart"/>
      <w:r>
        <w:t>bedrid</w:t>
      </w:r>
      <w:proofErr w:type="spellEnd"/>
      <w:r>
        <w:t xml:space="preserve">, buried and </w:t>
      </w:r>
      <w:proofErr w:type="spellStart"/>
      <w:r>
        <w:t>putrified</w:t>
      </w:r>
      <w:proofErr w:type="spellEnd"/>
      <w:r>
        <w:t xml:space="preserve"> in the practice of sin, and all this while have no presage, no pulse, no sense of my sickness.”</w:t>
      </w:r>
      <w:r w:rsidR="00813244">
        <w:rPr>
          <w:rStyle w:val="FootnoteReference"/>
        </w:rPr>
        <w:footnoteReference w:id="11"/>
      </w:r>
    </w:p>
    <w:p w14:paraId="17F4E5FC" w14:textId="43A93A75" w:rsidR="00532E4B" w:rsidRDefault="009E514D" w:rsidP="00CB7543">
      <w:pPr>
        <w:spacing w:line="360" w:lineRule="auto"/>
        <w:jc w:val="both"/>
      </w:pPr>
      <w:r>
        <w:t xml:space="preserve">Donne makes it clear in this piece of writing that he has fallen ill due to the sins that he has committed, and now being </w:t>
      </w:r>
      <w:r w:rsidR="00262B06">
        <w:t xml:space="preserve">made bedridden by God for the punishment. It implies that </w:t>
      </w:r>
      <w:r w:rsidR="00C63863">
        <w:t xml:space="preserve">the sins Donne has committed, in the eyes of God are extreme and he seems to have annoyed God in Donne’s point of view because to be bedridden the punishment would have appeared severe. At the end of the </w:t>
      </w:r>
      <w:r w:rsidR="00532E4B">
        <w:t>quotation</w:t>
      </w:r>
      <w:r w:rsidR="00C63863">
        <w:t xml:space="preserve">, Donne writes </w:t>
      </w:r>
      <w:r w:rsidR="00532E4B">
        <w:t xml:space="preserve">that even though he feels bedridden and stuck inside, he is not physically presenting the illness that he has been given. This suggests that perhaps Donne felt he was being punished more in a mental way, rather than physically as he felt that sin had been buried deep within </w:t>
      </w:r>
      <w:r w:rsidR="00532E4B">
        <w:lastRenderedPageBreak/>
        <w:t>him. Donne’s writing could also indicate that he felt guilty for the sins he had committed and could be in fear of the punishment that God might give him to suffer with.</w:t>
      </w:r>
    </w:p>
    <w:p w14:paraId="0101C741" w14:textId="181D1937" w:rsidR="00E572B4" w:rsidRDefault="38746907" w:rsidP="00CB7543">
      <w:pPr>
        <w:spacing w:line="360" w:lineRule="auto"/>
        <w:jc w:val="both"/>
      </w:pPr>
      <w:r>
        <w:t xml:space="preserve">In conclusion, when looking into who Phaire and Donne were at the time they were alive, it is clear of the similarities and differences between the two of them. Donne has heavily relied on some of the statements from Phaire on which to base his initial theories and has also used this in his own private prayer to God that he wrote in </w:t>
      </w:r>
      <w:r w:rsidRPr="38746907">
        <w:rPr>
          <w:i/>
          <w:iCs/>
        </w:rPr>
        <w:t>Devotions upon Emergent Occasions</w:t>
      </w:r>
      <w:r>
        <w:t xml:space="preserve">. Despite Donne mentioning that he believes having sickness is a treasure to draw people closer to God, he also writes that he understands this is a way that God punishes for sin, which is </w:t>
      </w:r>
      <w:proofErr w:type="gramStart"/>
      <w:r>
        <w:t>similar to</w:t>
      </w:r>
      <w:proofErr w:type="gramEnd"/>
      <w:r>
        <w:t xml:space="preserve"> Phaire. However, when understanding the extent of the two possible illnesses that Donne had suffered with at the time, it could have instigated why Donne tried to find a reason for being so ill and suffering harshly. </w:t>
      </w:r>
      <w:r w:rsidR="003442DE">
        <w:t xml:space="preserve">He also suggests in some of his writings that he had shown no physical symptoms of illness, yet mentally he believed that he had sickness riddled within himself. </w:t>
      </w:r>
      <w:r>
        <w:t>Overall, it is distinct that Donne accepts that disease is the notion of God being in control for punishing wicked people and that it is inevitable that everyone will die from sin.</w:t>
      </w:r>
    </w:p>
    <w:p w14:paraId="5839C7F4" w14:textId="0C42C73F" w:rsidR="00E572B4" w:rsidRDefault="00E572B4" w:rsidP="00CB7543">
      <w:pPr>
        <w:spacing w:line="360" w:lineRule="auto"/>
        <w:jc w:val="both"/>
      </w:pPr>
    </w:p>
    <w:p w14:paraId="78E26F82" w14:textId="21DCD433" w:rsidR="00813244" w:rsidRDefault="00813244" w:rsidP="00CB7543">
      <w:pPr>
        <w:spacing w:line="360" w:lineRule="auto"/>
        <w:jc w:val="both"/>
      </w:pPr>
    </w:p>
    <w:p w14:paraId="2FC579AD" w14:textId="45D9B0D2" w:rsidR="00813244" w:rsidRDefault="00813244" w:rsidP="00CB7543">
      <w:pPr>
        <w:spacing w:line="360" w:lineRule="auto"/>
        <w:jc w:val="both"/>
      </w:pPr>
    </w:p>
    <w:p w14:paraId="4B61535C" w14:textId="6FC7DFEA" w:rsidR="00813244" w:rsidRDefault="00813244" w:rsidP="00CB7543">
      <w:pPr>
        <w:spacing w:line="360" w:lineRule="auto"/>
        <w:jc w:val="both"/>
      </w:pPr>
    </w:p>
    <w:p w14:paraId="61E5F8A3" w14:textId="4E805CF5" w:rsidR="00813244" w:rsidRDefault="00813244" w:rsidP="00CB7543">
      <w:pPr>
        <w:spacing w:line="360" w:lineRule="auto"/>
        <w:jc w:val="both"/>
      </w:pPr>
    </w:p>
    <w:p w14:paraId="2D7AF161" w14:textId="608AEFED" w:rsidR="00813244" w:rsidRDefault="00813244" w:rsidP="00CB7543">
      <w:pPr>
        <w:spacing w:line="360" w:lineRule="auto"/>
        <w:jc w:val="both"/>
      </w:pPr>
    </w:p>
    <w:p w14:paraId="4D234132" w14:textId="5C88FCCB" w:rsidR="00813244" w:rsidRDefault="00813244" w:rsidP="00CB7543">
      <w:pPr>
        <w:spacing w:line="360" w:lineRule="auto"/>
        <w:jc w:val="both"/>
      </w:pPr>
    </w:p>
    <w:p w14:paraId="0E56EB97" w14:textId="3798AC4A" w:rsidR="00813244" w:rsidRDefault="00813244" w:rsidP="00CB7543">
      <w:pPr>
        <w:spacing w:line="360" w:lineRule="auto"/>
        <w:jc w:val="both"/>
      </w:pPr>
    </w:p>
    <w:p w14:paraId="3510F277" w14:textId="77777777" w:rsidR="00813244" w:rsidRDefault="00813244" w:rsidP="00CB7543">
      <w:pPr>
        <w:spacing w:line="360" w:lineRule="auto"/>
        <w:jc w:val="both"/>
        <w:rPr>
          <w:u w:val="single"/>
        </w:rPr>
      </w:pPr>
    </w:p>
    <w:p w14:paraId="3BD9D3B9" w14:textId="77777777" w:rsidR="00813244" w:rsidRDefault="00813244" w:rsidP="00CB7543">
      <w:pPr>
        <w:spacing w:line="360" w:lineRule="auto"/>
        <w:jc w:val="both"/>
        <w:rPr>
          <w:u w:val="single"/>
        </w:rPr>
      </w:pPr>
    </w:p>
    <w:p w14:paraId="3A7A0F63" w14:textId="77777777" w:rsidR="00813244" w:rsidRDefault="00813244" w:rsidP="00CB7543">
      <w:pPr>
        <w:spacing w:line="360" w:lineRule="auto"/>
        <w:jc w:val="both"/>
        <w:rPr>
          <w:u w:val="single"/>
        </w:rPr>
      </w:pPr>
    </w:p>
    <w:p w14:paraId="44F54ED9" w14:textId="77777777" w:rsidR="00813244" w:rsidRDefault="00813244" w:rsidP="00CB7543">
      <w:pPr>
        <w:spacing w:line="360" w:lineRule="auto"/>
        <w:jc w:val="both"/>
        <w:rPr>
          <w:u w:val="single"/>
        </w:rPr>
      </w:pPr>
    </w:p>
    <w:p w14:paraId="28C8B085" w14:textId="77777777" w:rsidR="00813244" w:rsidRDefault="00813244" w:rsidP="00CB7543">
      <w:pPr>
        <w:spacing w:line="360" w:lineRule="auto"/>
        <w:jc w:val="both"/>
        <w:rPr>
          <w:u w:val="single"/>
        </w:rPr>
      </w:pPr>
    </w:p>
    <w:p w14:paraId="4F455535" w14:textId="77777777" w:rsidR="00813244" w:rsidRDefault="00813244" w:rsidP="00CB7543">
      <w:pPr>
        <w:spacing w:line="360" w:lineRule="auto"/>
        <w:jc w:val="both"/>
        <w:rPr>
          <w:u w:val="single"/>
        </w:rPr>
      </w:pPr>
    </w:p>
    <w:p w14:paraId="46043B9A" w14:textId="36289E15" w:rsidR="00E572B4" w:rsidRPr="00E572B4" w:rsidRDefault="00E572B4" w:rsidP="00CB7543">
      <w:pPr>
        <w:spacing w:line="360" w:lineRule="auto"/>
        <w:jc w:val="both"/>
        <w:rPr>
          <w:u w:val="single"/>
        </w:rPr>
      </w:pPr>
      <w:r w:rsidRPr="00E572B4">
        <w:rPr>
          <w:u w:val="single"/>
        </w:rPr>
        <w:lastRenderedPageBreak/>
        <w:t>Bibliography</w:t>
      </w:r>
    </w:p>
    <w:p w14:paraId="56D28B60" w14:textId="77777777" w:rsidR="009B2031" w:rsidRDefault="009B2031" w:rsidP="00CB7543">
      <w:pPr>
        <w:spacing w:line="360" w:lineRule="auto"/>
        <w:jc w:val="both"/>
      </w:pPr>
      <w:r w:rsidRPr="00E572B4">
        <w:t>British Literature, ‘John Donne’, [online]. Available: https://sites.udel.edu/britlitwiki/john-donne/.</w:t>
      </w:r>
    </w:p>
    <w:p w14:paraId="6639CCDF" w14:textId="77777777" w:rsidR="009B2031" w:rsidRDefault="009B2031" w:rsidP="009341D3">
      <w:r w:rsidRPr="009341D3">
        <w:t>Dictionary of Welsh Biography, ‘</w:t>
      </w:r>
      <w:proofErr w:type="spellStart"/>
      <w:r w:rsidRPr="009341D3">
        <w:t>Phaer</w:t>
      </w:r>
      <w:proofErr w:type="spellEnd"/>
      <w:r w:rsidRPr="009341D3">
        <w:t xml:space="preserve"> (or </w:t>
      </w:r>
      <w:proofErr w:type="spellStart"/>
      <w:r w:rsidRPr="009341D3">
        <w:t>Phayer</w:t>
      </w:r>
      <w:proofErr w:type="spellEnd"/>
      <w:r w:rsidRPr="009341D3">
        <w:t>), Thomas (1510? – 1560), Lawyer, physician, and translator’, [online]. Available: https://biography.wales/article/s-PHAE-THO-1510.</w:t>
      </w:r>
    </w:p>
    <w:p w14:paraId="52756F89" w14:textId="7EAD1C9E" w:rsidR="009B2031" w:rsidRDefault="38746907" w:rsidP="00C2767C">
      <w:bookmarkStart w:id="8" w:name="_Hlk72344383"/>
      <w:r>
        <w:t xml:space="preserve">Donne, J., </w:t>
      </w:r>
      <w:r w:rsidRPr="38746907">
        <w:rPr>
          <w:i/>
          <w:iCs/>
        </w:rPr>
        <w:t>Devotions upon Emergent Occasions</w:t>
      </w:r>
      <w:r>
        <w:t>, (The University of Michigan Press), [online] Available: https://www.gutenberg.org/files/23772/23772-h/23772-h.htm#Page_1 [Accessed: 12 May 2021]</w:t>
      </w:r>
    </w:p>
    <w:bookmarkEnd w:id="8"/>
    <w:p w14:paraId="261D6CF8" w14:textId="7A13EB26" w:rsidR="38746907" w:rsidRDefault="38746907" w:rsidP="38746907">
      <w:r>
        <w:t xml:space="preserve">Donne, John. </w:t>
      </w:r>
      <w:r w:rsidRPr="38746907">
        <w:rPr>
          <w:i/>
          <w:iCs/>
        </w:rPr>
        <w:t>John Donne: The Major Works</w:t>
      </w:r>
      <w:r>
        <w:t>. (Oxford University Press, 2000).</w:t>
      </w:r>
    </w:p>
    <w:p w14:paraId="7E44C384" w14:textId="5EE76F43" w:rsidR="009B2031" w:rsidRPr="009B2031" w:rsidRDefault="38746907" w:rsidP="009B2031">
      <w:bookmarkStart w:id="9" w:name="_Hlk72344581"/>
      <w:proofErr w:type="spellStart"/>
      <w:r>
        <w:t>Gunderman</w:t>
      </w:r>
      <w:proofErr w:type="spellEnd"/>
      <w:r>
        <w:t xml:space="preserve">, Richard B., and Brandon P. Brown. "Affliction is a treasure." </w:t>
      </w:r>
      <w:r w:rsidRPr="38746907">
        <w:rPr>
          <w:i/>
          <w:iCs/>
        </w:rPr>
        <w:t>The Pharos of Alpha Omega Alpha-</w:t>
      </w:r>
      <w:proofErr w:type="spellStart"/>
      <w:r w:rsidRPr="38746907">
        <w:rPr>
          <w:i/>
          <w:iCs/>
        </w:rPr>
        <w:t>Honor</w:t>
      </w:r>
      <w:proofErr w:type="spellEnd"/>
      <w:r w:rsidRPr="38746907">
        <w:rPr>
          <w:i/>
          <w:iCs/>
        </w:rPr>
        <w:t xml:space="preserve"> Medical Society. Alpha Omega Alpha </w:t>
      </w:r>
      <w:r>
        <w:t>71.2 (2008): 4-11.  [online] Available: https://alphaomegaalpha.org/pharos/PDFs/2008/2/Gunderman-Brown.pdf [accessed 17 May 2021]</w:t>
      </w:r>
    </w:p>
    <w:bookmarkEnd w:id="9"/>
    <w:p w14:paraId="2F0D9C9C" w14:textId="77777777" w:rsidR="009B2031" w:rsidRDefault="009B2031" w:rsidP="009058B1">
      <w:r w:rsidRPr="009058B1">
        <w:t>Phaire,</w:t>
      </w:r>
      <w:r>
        <w:t xml:space="preserve"> T.,</w:t>
      </w:r>
      <w:r w:rsidRPr="009058B1">
        <w:t xml:space="preserve"> </w:t>
      </w:r>
      <w:r w:rsidRPr="009058B1">
        <w:rPr>
          <w:i/>
          <w:iCs/>
        </w:rPr>
        <w:t>The Regiment of Life</w:t>
      </w:r>
      <w:r w:rsidRPr="009058B1">
        <w:t>, (1553).</w:t>
      </w:r>
    </w:p>
    <w:p w14:paraId="383DD7AD" w14:textId="45BA2BD5" w:rsidR="009B2031" w:rsidRDefault="38746907" w:rsidP="008E7847">
      <w:proofErr w:type="spellStart"/>
      <w:r>
        <w:t>Phayer</w:t>
      </w:r>
      <w:proofErr w:type="spellEnd"/>
      <w:r>
        <w:t xml:space="preserve">, T., </w:t>
      </w:r>
      <w:r w:rsidRPr="38746907">
        <w:rPr>
          <w:i/>
          <w:iCs/>
        </w:rPr>
        <w:t xml:space="preserve">The Boke of </w:t>
      </w:r>
      <w:proofErr w:type="spellStart"/>
      <w:r w:rsidRPr="38746907">
        <w:rPr>
          <w:i/>
          <w:iCs/>
        </w:rPr>
        <w:t>Chyldren</w:t>
      </w:r>
      <w:proofErr w:type="spellEnd"/>
      <w:r>
        <w:t xml:space="preserve"> (E. &amp; S. Livingstone: 1955)</w:t>
      </w:r>
    </w:p>
    <w:p w14:paraId="70E363A8" w14:textId="59585BA2" w:rsidR="007A01DE" w:rsidRPr="007A01DE" w:rsidRDefault="38746907" w:rsidP="007A01DE">
      <w:r>
        <w:t xml:space="preserve">World Heritage </w:t>
      </w:r>
      <w:proofErr w:type="spellStart"/>
      <w:r>
        <w:t>Encyclopedia</w:t>
      </w:r>
      <w:proofErr w:type="spellEnd"/>
      <w:r>
        <w:t xml:space="preserve">, </w:t>
      </w:r>
      <w:r w:rsidRPr="38746907">
        <w:rPr>
          <w:i/>
          <w:iCs/>
        </w:rPr>
        <w:t>Donne</w:t>
      </w:r>
      <w:r>
        <w:t>, (</w:t>
      </w:r>
      <w:proofErr w:type="spellStart"/>
      <w:r>
        <w:t>n.a</w:t>
      </w:r>
      <w:proofErr w:type="spellEnd"/>
      <w:r>
        <w:t>), [online] Available: http://www.gutenberg.cc/articles/eng/Donne [Accessed: 18 May 2021].</w:t>
      </w:r>
    </w:p>
    <w:p w14:paraId="21474908" w14:textId="3FE59EC0" w:rsidR="38746907" w:rsidRDefault="38746907" w:rsidP="38746907"/>
    <w:p w14:paraId="6EB40C27" w14:textId="11F8383E" w:rsidR="38746907" w:rsidRDefault="38746907" w:rsidP="38746907"/>
    <w:sectPr w:rsidR="387469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D3457" w14:textId="77777777" w:rsidR="00C5614C" w:rsidRDefault="00C5614C" w:rsidP="00E572B4">
      <w:pPr>
        <w:spacing w:after="0" w:line="240" w:lineRule="auto"/>
      </w:pPr>
      <w:r>
        <w:separator/>
      </w:r>
    </w:p>
  </w:endnote>
  <w:endnote w:type="continuationSeparator" w:id="0">
    <w:p w14:paraId="43F0E36B" w14:textId="77777777" w:rsidR="00C5614C" w:rsidRDefault="00C5614C" w:rsidP="00E57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FC6A5" w14:textId="77777777" w:rsidR="00C5614C" w:rsidRDefault="00C5614C" w:rsidP="00E572B4">
      <w:pPr>
        <w:spacing w:after="0" w:line="240" w:lineRule="auto"/>
      </w:pPr>
      <w:r>
        <w:separator/>
      </w:r>
    </w:p>
  </w:footnote>
  <w:footnote w:type="continuationSeparator" w:id="0">
    <w:p w14:paraId="1D26F307" w14:textId="77777777" w:rsidR="00C5614C" w:rsidRDefault="00C5614C" w:rsidP="00E572B4">
      <w:pPr>
        <w:spacing w:after="0" w:line="240" w:lineRule="auto"/>
      </w:pPr>
      <w:r>
        <w:continuationSeparator/>
      </w:r>
    </w:p>
  </w:footnote>
  <w:footnote w:id="1">
    <w:p w14:paraId="4633727D" w14:textId="15FC5DD5" w:rsidR="00E572B4" w:rsidRDefault="00E572B4">
      <w:pPr>
        <w:pStyle w:val="FootnoteText"/>
      </w:pPr>
      <w:r>
        <w:rPr>
          <w:rStyle w:val="FootnoteReference"/>
        </w:rPr>
        <w:footnoteRef/>
      </w:r>
      <w:r>
        <w:t xml:space="preserve"> </w:t>
      </w:r>
      <w:bookmarkStart w:id="0" w:name="_Hlk72075769"/>
      <w:r>
        <w:t>British Literature, ‘John Donne’, [online]. Available: https://sites.udel.edu/britlitwiki/john-donne/.</w:t>
      </w:r>
      <w:bookmarkEnd w:id="0"/>
    </w:p>
  </w:footnote>
  <w:footnote w:id="2">
    <w:p w14:paraId="6994824F" w14:textId="02393A18" w:rsidR="009341D3" w:rsidRDefault="009341D3">
      <w:pPr>
        <w:pStyle w:val="FootnoteText"/>
      </w:pPr>
      <w:r>
        <w:rPr>
          <w:rStyle w:val="FootnoteReference"/>
        </w:rPr>
        <w:footnoteRef/>
      </w:r>
      <w:r>
        <w:t xml:space="preserve"> </w:t>
      </w:r>
      <w:bookmarkStart w:id="1" w:name="_Hlk72077994"/>
      <w:r>
        <w:t>Dictionary of Welsh Biography, ‘</w:t>
      </w:r>
      <w:proofErr w:type="spellStart"/>
      <w:r>
        <w:t>Phaer</w:t>
      </w:r>
      <w:proofErr w:type="spellEnd"/>
      <w:r>
        <w:t xml:space="preserve"> (or </w:t>
      </w:r>
      <w:proofErr w:type="spellStart"/>
      <w:r>
        <w:t>Phayer</w:t>
      </w:r>
      <w:proofErr w:type="spellEnd"/>
      <w:r>
        <w:t>), Thomas (1510? – 1560), Lawyer, physician, and translator’, [online]. Available: https://biography.wales/article/s-PHAE-THO-1510.</w:t>
      </w:r>
      <w:bookmarkEnd w:id="1"/>
    </w:p>
  </w:footnote>
  <w:footnote w:id="3">
    <w:p w14:paraId="69B8A084" w14:textId="74E3A124" w:rsidR="008E7847" w:rsidRDefault="008E7847">
      <w:pPr>
        <w:pStyle w:val="FootnoteText"/>
      </w:pPr>
      <w:r>
        <w:rPr>
          <w:rStyle w:val="FootnoteReference"/>
        </w:rPr>
        <w:footnoteRef/>
      </w:r>
      <w:r>
        <w:t xml:space="preserve"> </w:t>
      </w:r>
      <w:bookmarkStart w:id="2" w:name="_Hlk72078507"/>
      <w:r>
        <w:t xml:space="preserve">T, </w:t>
      </w:r>
      <w:proofErr w:type="spellStart"/>
      <w:r>
        <w:t>Phayer</w:t>
      </w:r>
      <w:proofErr w:type="spellEnd"/>
      <w:r>
        <w:t xml:space="preserve">, </w:t>
      </w:r>
      <w:r w:rsidRPr="009058B1">
        <w:rPr>
          <w:i/>
          <w:iCs/>
        </w:rPr>
        <w:t xml:space="preserve">The Boke of </w:t>
      </w:r>
      <w:proofErr w:type="spellStart"/>
      <w:r w:rsidRPr="009058B1">
        <w:rPr>
          <w:i/>
          <w:iCs/>
        </w:rPr>
        <w:t>Chyldren</w:t>
      </w:r>
      <w:proofErr w:type="spellEnd"/>
      <w:r>
        <w:t xml:space="preserve"> (E. &amp;S. Livingstone: 1955)</w:t>
      </w:r>
      <w:bookmarkEnd w:id="2"/>
    </w:p>
  </w:footnote>
  <w:footnote w:id="4">
    <w:p w14:paraId="1CFEF856" w14:textId="3243A029" w:rsidR="004E073D" w:rsidRDefault="004E073D">
      <w:pPr>
        <w:pStyle w:val="FootnoteText"/>
      </w:pPr>
      <w:r>
        <w:rPr>
          <w:rStyle w:val="FootnoteReference"/>
        </w:rPr>
        <w:footnoteRef/>
      </w:r>
      <w:r>
        <w:t xml:space="preserve"> </w:t>
      </w:r>
      <w:r w:rsidR="007A01DE">
        <w:t xml:space="preserve">World Heritage </w:t>
      </w:r>
      <w:proofErr w:type="spellStart"/>
      <w:r w:rsidR="007A01DE">
        <w:t>Encyclopedia</w:t>
      </w:r>
      <w:proofErr w:type="spellEnd"/>
      <w:r w:rsidR="007A01DE">
        <w:t xml:space="preserve">, </w:t>
      </w:r>
      <w:r w:rsidR="007A01DE" w:rsidRPr="007A01DE">
        <w:rPr>
          <w:i/>
          <w:iCs/>
        </w:rPr>
        <w:t>Donne,</w:t>
      </w:r>
      <w:r w:rsidR="007A01DE">
        <w:t xml:space="preserve"> available at: </w:t>
      </w:r>
      <w:r w:rsidR="007A01DE" w:rsidRPr="007A01DE">
        <w:t>http://www.gutenberg.cc/articles/eng/Donne</w:t>
      </w:r>
      <w:r w:rsidR="007A01DE">
        <w:t xml:space="preserve"> (Accessed: 18 May 2021.</w:t>
      </w:r>
    </w:p>
  </w:footnote>
  <w:footnote w:id="5">
    <w:p w14:paraId="722728F6" w14:textId="786E247B" w:rsidR="009058B1" w:rsidRDefault="009058B1">
      <w:pPr>
        <w:pStyle w:val="FootnoteText"/>
      </w:pPr>
      <w:r>
        <w:rPr>
          <w:rStyle w:val="FootnoteReference"/>
        </w:rPr>
        <w:footnoteRef/>
      </w:r>
      <w:r>
        <w:t xml:space="preserve"> T. Phaire, </w:t>
      </w:r>
      <w:r w:rsidRPr="009058B1">
        <w:rPr>
          <w:i/>
          <w:iCs/>
        </w:rPr>
        <w:t>The Regiment of Life</w:t>
      </w:r>
      <w:r>
        <w:t>, (1553).</w:t>
      </w:r>
    </w:p>
  </w:footnote>
  <w:footnote w:id="6">
    <w:p w14:paraId="108124B9" w14:textId="6295A424" w:rsidR="00C2767C" w:rsidRDefault="00C2767C">
      <w:pPr>
        <w:pStyle w:val="FootnoteText"/>
      </w:pPr>
      <w:r>
        <w:rPr>
          <w:rStyle w:val="FootnoteReference"/>
        </w:rPr>
        <w:footnoteRef/>
      </w:r>
      <w:r>
        <w:t xml:space="preserve"> </w:t>
      </w:r>
      <w:bookmarkStart w:id="3" w:name="_Hlk72242036"/>
      <w:r w:rsidR="00813244" w:rsidRPr="00813244">
        <w:t>J. Donne, Devotions upon Emergent Occasions, (The University of Michigan Press), [online] Available: https://www.gutenberg.org/files/23772/23772-h/23772-h.htm#Page_1 [Accessed: 12 May 2021]</w:t>
      </w:r>
    </w:p>
    <w:bookmarkEnd w:id="3"/>
  </w:footnote>
  <w:footnote w:id="7">
    <w:p w14:paraId="39CCC645" w14:textId="5080BE22" w:rsidR="005D11C1" w:rsidRDefault="005D11C1">
      <w:pPr>
        <w:pStyle w:val="FootnoteText"/>
      </w:pPr>
      <w:r>
        <w:rPr>
          <w:rStyle w:val="FootnoteReference"/>
        </w:rPr>
        <w:footnoteRef/>
      </w:r>
      <w:r>
        <w:t xml:space="preserve"> </w:t>
      </w:r>
      <w:proofErr w:type="spellStart"/>
      <w:r w:rsidR="00813244" w:rsidRPr="00813244">
        <w:t>Gunderman</w:t>
      </w:r>
      <w:proofErr w:type="spellEnd"/>
      <w:r w:rsidR="00813244" w:rsidRPr="00813244">
        <w:t>, Richard B., and Brandon P. Brown. "Affliction is a treasure." The Pharos of Alpha Omega Alpha-</w:t>
      </w:r>
      <w:proofErr w:type="spellStart"/>
      <w:r w:rsidR="00813244" w:rsidRPr="00813244">
        <w:t>Honor</w:t>
      </w:r>
      <w:proofErr w:type="spellEnd"/>
      <w:r w:rsidR="00813244" w:rsidRPr="00813244">
        <w:t xml:space="preserve"> Medical Society. Alpha Omega Alpha 71.2 (2008): 4-11.  [online] Available: https://alphaomegaalpha.org/pharos/PDFs/2008/2/Gunderman-Brown.pdf [accessed 17 May 2021]</w:t>
      </w:r>
    </w:p>
  </w:footnote>
  <w:footnote w:id="8">
    <w:p w14:paraId="63FAC5CA" w14:textId="016CE13E" w:rsidR="004503C3" w:rsidRDefault="004503C3">
      <w:pPr>
        <w:pStyle w:val="FootnoteText"/>
      </w:pPr>
      <w:r>
        <w:rPr>
          <w:rStyle w:val="FootnoteReference"/>
        </w:rPr>
        <w:footnoteRef/>
      </w:r>
      <w:r>
        <w:t xml:space="preserve"> </w:t>
      </w:r>
      <w:r w:rsidR="00813244" w:rsidRPr="00813244">
        <w:t>J. Donne, Devotions upon Emergent Occasions, (The University of Michigan Press), [online] Available: https://www.gutenberg.org/files/23772/23772-h/23772-h.htm#Page_1 [Accessed: 12 May 2021]</w:t>
      </w:r>
    </w:p>
  </w:footnote>
  <w:footnote w:id="9">
    <w:p w14:paraId="4315CB84" w14:textId="0FED7A72" w:rsidR="00384CB0" w:rsidRDefault="00384CB0">
      <w:pPr>
        <w:pStyle w:val="FootnoteText"/>
      </w:pPr>
      <w:r>
        <w:rPr>
          <w:rStyle w:val="FootnoteReference"/>
        </w:rPr>
        <w:footnoteRef/>
      </w:r>
      <w:r>
        <w:t xml:space="preserve"> </w:t>
      </w:r>
      <w:r w:rsidR="00813244" w:rsidRPr="00813244">
        <w:t>J.</w:t>
      </w:r>
      <w:r w:rsidR="00813244">
        <w:t xml:space="preserve"> Donne</w:t>
      </w:r>
      <w:r w:rsidR="00813244" w:rsidRPr="00813244">
        <w:t>, Devotions upon Emergent Occasions, (The University of Michigan Press), [online] Available: https://www.gutenberg.org/files/23772/23772-h/23772-h.htm#Page_1 [Accessed: 12 May 2021]</w:t>
      </w:r>
      <w:r w:rsidR="00813244">
        <w:t xml:space="preserve"> </w:t>
      </w:r>
      <w:r w:rsidR="007A01DE">
        <w:t>p. 112.</w:t>
      </w:r>
    </w:p>
  </w:footnote>
  <w:footnote w:id="10">
    <w:p w14:paraId="5DB224C8" w14:textId="31F82769" w:rsidR="009240FA" w:rsidRDefault="009240FA">
      <w:pPr>
        <w:pStyle w:val="FootnoteText"/>
      </w:pPr>
      <w:r>
        <w:rPr>
          <w:rStyle w:val="FootnoteReference"/>
        </w:rPr>
        <w:footnoteRef/>
      </w:r>
      <w:r>
        <w:t xml:space="preserve"> </w:t>
      </w:r>
      <w:r w:rsidR="00813244" w:rsidRPr="00813244">
        <w:t>J.</w:t>
      </w:r>
      <w:r w:rsidR="00813244">
        <w:t xml:space="preserve"> Donne</w:t>
      </w:r>
      <w:r w:rsidR="00813244" w:rsidRPr="00813244">
        <w:t>, Devotions upon Emergent Occasions, (The University of Michigan Press), [online] Available: https://www.gutenberg.org/files/23772/23772-h/23772-h.htm#Page_1 [Accessed: 12 May 2021]</w:t>
      </w:r>
      <w:r w:rsidR="007A01DE">
        <w:t xml:space="preserve"> </w:t>
      </w:r>
      <w:r>
        <w:t>p</w:t>
      </w:r>
      <w:r w:rsidR="007A01DE">
        <w:t>.</w:t>
      </w:r>
      <w:r>
        <w:t>157</w:t>
      </w:r>
      <w:r w:rsidR="007A01DE">
        <w:t>.</w:t>
      </w:r>
    </w:p>
  </w:footnote>
  <w:footnote w:id="11">
    <w:p w14:paraId="62130DD1" w14:textId="25612938" w:rsidR="00813244" w:rsidRDefault="00813244">
      <w:pPr>
        <w:pStyle w:val="FootnoteText"/>
      </w:pPr>
      <w:r>
        <w:rPr>
          <w:rStyle w:val="FootnoteReference"/>
        </w:rPr>
        <w:footnoteRef/>
      </w:r>
      <w:r>
        <w:t xml:space="preserve"> </w:t>
      </w:r>
      <w:bookmarkStart w:id="4" w:name="_Hlk72344490"/>
      <w:bookmarkStart w:id="5" w:name="_Hlk72344491"/>
      <w:bookmarkStart w:id="6" w:name="_Hlk72344507"/>
      <w:bookmarkStart w:id="7" w:name="_Hlk72344508"/>
      <w:r>
        <w:t>J</w:t>
      </w:r>
      <w:r w:rsidRPr="00813244">
        <w:t>.</w:t>
      </w:r>
      <w:r>
        <w:t xml:space="preserve"> Donne</w:t>
      </w:r>
      <w:r w:rsidRPr="00813244">
        <w:t>, Devotions upon Emergent Occasions, (The University of Michigan Press), [online] Available: https://www.gutenberg.org/files/23772/23772-h/23772-h.htm#Page_1 [Accessed: 12 May 2021]</w:t>
      </w:r>
      <w:bookmarkEnd w:id="4"/>
      <w:bookmarkEnd w:id="5"/>
      <w:bookmarkEnd w:id="6"/>
      <w:bookmarkEnd w:id="7"/>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2F7"/>
    <w:rsid w:val="000056B0"/>
    <w:rsid w:val="0002730A"/>
    <w:rsid w:val="00037766"/>
    <w:rsid w:val="00040CFA"/>
    <w:rsid w:val="000430BA"/>
    <w:rsid w:val="000A0FFC"/>
    <w:rsid w:val="000B45C2"/>
    <w:rsid w:val="000F6E5C"/>
    <w:rsid w:val="00123510"/>
    <w:rsid w:val="00132CFF"/>
    <w:rsid w:val="001A6A3E"/>
    <w:rsid w:val="001D236E"/>
    <w:rsid w:val="001D6587"/>
    <w:rsid w:val="00236FE5"/>
    <w:rsid w:val="00262B06"/>
    <w:rsid w:val="00292335"/>
    <w:rsid w:val="00293940"/>
    <w:rsid w:val="002B7B6E"/>
    <w:rsid w:val="002C4247"/>
    <w:rsid w:val="002C5591"/>
    <w:rsid w:val="003442DE"/>
    <w:rsid w:val="00384CB0"/>
    <w:rsid w:val="003B78A4"/>
    <w:rsid w:val="003D25B5"/>
    <w:rsid w:val="004503C3"/>
    <w:rsid w:val="004612F7"/>
    <w:rsid w:val="00491EDB"/>
    <w:rsid w:val="00496D19"/>
    <w:rsid w:val="004E073D"/>
    <w:rsid w:val="004E09D6"/>
    <w:rsid w:val="00506B7A"/>
    <w:rsid w:val="00532E4B"/>
    <w:rsid w:val="005D11C1"/>
    <w:rsid w:val="006125D9"/>
    <w:rsid w:val="00623C2A"/>
    <w:rsid w:val="006730C8"/>
    <w:rsid w:val="006D3E53"/>
    <w:rsid w:val="006F0F53"/>
    <w:rsid w:val="0070389B"/>
    <w:rsid w:val="007308EE"/>
    <w:rsid w:val="007418C6"/>
    <w:rsid w:val="00791807"/>
    <w:rsid w:val="007A01DE"/>
    <w:rsid w:val="007F32C5"/>
    <w:rsid w:val="007F6A04"/>
    <w:rsid w:val="007F7C22"/>
    <w:rsid w:val="00813244"/>
    <w:rsid w:val="0081344D"/>
    <w:rsid w:val="008312CA"/>
    <w:rsid w:val="00881095"/>
    <w:rsid w:val="008C53DD"/>
    <w:rsid w:val="008E7847"/>
    <w:rsid w:val="008F4EA2"/>
    <w:rsid w:val="009058B1"/>
    <w:rsid w:val="009240FA"/>
    <w:rsid w:val="009341D3"/>
    <w:rsid w:val="00957B89"/>
    <w:rsid w:val="00957E15"/>
    <w:rsid w:val="00970ED4"/>
    <w:rsid w:val="009A49FA"/>
    <w:rsid w:val="009A4DEA"/>
    <w:rsid w:val="009B2031"/>
    <w:rsid w:val="009E514D"/>
    <w:rsid w:val="00A04F75"/>
    <w:rsid w:val="00A65FEE"/>
    <w:rsid w:val="00A667FF"/>
    <w:rsid w:val="00B12630"/>
    <w:rsid w:val="00B16FE1"/>
    <w:rsid w:val="00BA764F"/>
    <w:rsid w:val="00BF657E"/>
    <w:rsid w:val="00C13C08"/>
    <w:rsid w:val="00C14E82"/>
    <w:rsid w:val="00C24AB4"/>
    <w:rsid w:val="00C2767C"/>
    <w:rsid w:val="00C5614C"/>
    <w:rsid w:val="00C63863"/>
    <w:rsid w:val="00C7463C"/>
    <w:rsid w:val="00CB3564"/>
    <w:rsid w:val="00CB7543"/>
    <w:rsid w:val="00D13228"/>
    <w:rsid w:val="00D67204"/>
    <w:rsid w:val="00D715AE"/>
    <w:rsid w:val="00D857CB"/>
    <w:rsid w:val="00D943B7"/>
    <w:rsid w:val="00D9767D"/>
    <w:rsid w:val="00DA55AD"/>
    <w:rsid w:val="00DC75E0"/>
    <w:rsid w:val="00E1640E"/>
    <w:rsid w:val="00E31824"/>
    <w:rsid w:val="00E45111"/>
    <w:rsid w:val="00E572B4"/>
    <w:rsid w:val="00E71634"/>
    <w:rsid w:val="00E71A54"/>
    <w:rsid w:val="00FC142B"/>
    <w:rsid w:val="00FE2D96"/>
    <w:rsid w:val="38746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5B80B"/>
  <w15:chartTrackingRefBased/>
  <w15:docId w15:val="{1FA3CA0C-ECE0-4F0C-B8BB-698840FCA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572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72B4"/>
    <w:rPr>
      <w:sz w:val="20"/>
      <w:szCs w:val="20"/>
    </w:rPr>
  </w:style>
  <w:style w:type="character" w:styleId="FootnoteReference">
    <w:name w:val="footnote reference"/>
    <w:basedOn w:val="DefaultParagraphFont"/>
    <w:uiPriority w:val="99"/>
    <w:semiHidden/>
    <w:unhideWhenUsed/>
    <w:rsid w:val="00E572B4"/>
    <w:rPr>
      <w:vertAlign w:val="superscript"/>
    </w:rPr>
  </w:style>
  <w:style w:type="character" w:styleId="Hyperlink">
    <w:name w:val="Hyperlink"/>
    <w:basedOn w:val="DefaultParagraphFont"/>
    <w:uiPriority w:val="99"/>
    <w:unhideWhenUsed/>
    <w:rsid w:val="00C2767C"/>
    <w:rPr>
      <w:color w:val="0563C1" w:themeColor="hyperlink"/>
      <w:u w:val="single"/>
    </w:rPr>
  </w:style>
  <w:style w:type="character" w:styleId="UnresolvedMention">
    <w:name w:val="Unresolved Mention"/>
    <w:basedOn w:val="DefaultParagraphFont"/>
    <w:uiPriority w:val="99"/>
    <w:semiHidden/>
    <w:unhideWhenUsed/>
    <w:rsid w:val="00C276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256551-5CE7-4390-B351-7348A5812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5</Pages>
  <Words>1580</Words>
  <Characters>9007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Grace Slingsby (1804649)</dc:creator>
  <cp:keywords/>
  <dc:description/>
  <cp:lastModifiedBy>Leila Grace Slingsby (1804649)</cp:lastModifiedBy>
  <cp:revision>86</cp:revision>
  <dcterms:created xsi:type="dcterms:W3CDTF">2021-05-15T14:28:00Z</dcterms:created>
  <dcterms:modified xsi:type="dcterms:W3CDTF">2021-05-19T18:57:00Z</dcterms:modified>
</cp:coreProperties>
</file>