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29CE6C" w14:textId="463A38CF" w:rsidR="00251F6E" w:rsidRDefault="003B7966">
      <w:pPr>
        <w:rPr>
          <w:rFonts w:ascii="Times New Roman" w:hAnsi="Times New Roman" w:cs="Times New Roman"/>
          <w:sz w:val="24"/>
          <w:szCs w:val="24"/>
        </w:rPr>
      </w:pPr>
      <w:r>
        <w:rPr>
          <w:rFonts w:ascii="Times New Roman" w:hAnsi="Times New Roman" w:cs="Times New Roman"/>
          <w:sz w:val="24"/>
          <w:szCs w:val="24"/>
        </w:rPr>
        <w:t>“Is Britain a Nation of Lazy Scroungers?” (Randeep Ramesh, Wednesday, 24</w:t>
      </w:r>
      <w:r w:rsidRPr="003B7966">
        <w:rPr>
          <w:rFonts w:ascii="Times New Roman" w:hAnsi="Times New Roman" w:cs="Times New Roman"/>
          <w:sz w:val="24"/>
          <w:szCs w:val="24"/>
          <w:vertAlign w:val="superscript"/>
        </w:rPr>
        <w:t>th</w:t>
      </w:r>
      <w:r>
        <w:rPr>
          <w:rFonts w:ascii="Times New Roman" w:hAnsi="Times New Roman" w:cs="Times New Roman"/>
          <w:sz w:val="24"/>
          <w:szCs w:val="24"/>
        </w:rPr>
        <w:t xml:space="preserve"> April 2013 – The Guardian online). Critically discuss this statement and explore it in light of current statistics, policy and theory.</w:t>
      </w:r>
    </w:p>
    <w:p w14:paraId="6403CDDB" w14:textId="438FCD38" w:rsidR="00E64C37" w:rsidRDefault="00E64C37" w:rsidP="00E64C37">
      <w:r>
        <w:t>Britain today is quite clearly a nation of haves and have-nots. Whether it’s the workers not shirkers of Iain Duncan Smith’s fame the just about managing of Theresa May or the whatever of David Cameron, there is a clear divide between those who engage in gainful employment and those who ‘choose’? To ‘fritter ‘away other people’s taxes on booze, fags, betting, giant flat screen TVs and weddings – all paid for by the state. But even within the ‘idle ‘scroungers group, the state makes arbitrary divisions. Those who choose not to engage in meaningful employment are seen as scroungers, unless you happen to need £30 million to go towards your wedding. Then, you are seen as an asset and worth every penny. But if you’re on a basic Employment Support Allowance of £73.10 per week</w:t>
      </w:r>
      <w:bookmarkStart w:id="0" w:name="_GoBack"/>
      <w:bookmarkEnd w:id="0"/>
      <w:r>
        <w:t xml:space="preserve"> and struggling to navigate the labyrinthine portals of the welfare state, you run the risk of being ‘</w:t>
      </w:r>
      <w:proofErr w:type="gramStart"/>
      <w:r>
        <w:t>sanctioned‘ for</w:t>
      </w:r>
      <w:proofErr w:type="gramEnd"/>
      <w:r>
        <w:t xml:space="preserve"> anything up to 1092 days. That’s 156 weeks or three years!</w:t>
      </w:r>
      <w:sdt>
        <w:sdtPr>
          <w:id w:val="1442025078"/>
          <w:citation/>
        </w:sdtPr>
        <w:sdtContent>
          <w:r w:rsidR="00B0343C">
            <w:fldChar w:fldCharType="begin"/>
          </w:r>
          <w:r w:rsidR="00B0343C">
            <w:instrText xml:space="preserve"> CITATION aat \l 2057 </w:instrText>
          </w:r>
          <w:r w:rsidR="00B0343C">
            <w:fldChar w:fldCharType="separate"/>
          </w:r>
          <w:r w:rsidR="00C87C67">
            <w:rPr>
              <w:noProof/>
            </w:rPr>
            <w:t xml:space="preserve"> </w:t>
          </w:r>
          <w:r w:rsidR="00C87C67" w:rsidRPr="00C87C67">
            <w:rPr>
              <w:noProof/>
            </w:rPr>
            <w:t>(HM Goverment, 2018)</w:t>
          </w:r>
          <w:r w:rsidR="00B0343C">
            <w:fldChar w:fldCharType="end"/>
          </w:r>
        </w:sdtContent>
      </w:sdt>
      <w:r>
        <w:t xml:space="preserve"> Which sometimes were sanctions mean your benefit is withdrawn</w:t>
      </w:r>
    </w:p>
    <w:p w14:paraId="00FD2F0B" w14:textId="77777777" w:rsidR="00E64C37" w:rsidRDefault="00E64C37" w:rsidP="00E64C37"/>
    <w:p w14:paraId="0C025C5E" w14:textId="77777777" w:rsidR="00E64C37" w:rsidRDefault="00E64C37" w:rsidP="00E64C37">
      <w:r>
        <w:t>Be the product of the of the right person being the right place at the right time and by an accident of birth then by all means have £30 million for the security at your wedding, paid for by the state. The adage that those that have, get, and those that haven’t get nothing for, remains true today.</w:t>
      </w:r>
    </w:p>
    <w:p w14:paraId="519E2B6F" w14:textId="77777777" w:rsidR="00E64C37" w:rsidRDefault="00E64C37" w:rsidP="00E64C37"/>
    <w:p w14:paraId="3BF529E3" w14:textId="77777777" w:rsidR="00E64C37" w:rsidRDefault="00E64C37" w:rsidP="00E64C37">
      <w:r>
        <w:t xml:space="preserve">The total welfare bill for the UK in 2017 was £264 billion, and rising year on year. It is quite right that governments must take action to prevent abuse of the system and keep expenditure within manageable boundaries. If it means that choosing benefits over employment is an attitude to be deplored. (Check if have got the syntax). If people don’t work, they don’t pay taxes, and therefore the burden of subsidising them falls on fewer people in employment. But of the £264 million, 46% (£121 billion) goes on state pensions. A portion of the remainder is paid out in the form of working tax credits for the those already in employment but working for low wages or in precarious employment. Benefits paid for unemployment total only £2,227 billion or 0.84% of the total welfare bill. </w:t>
      </w:r>
      <w:r>
        <w:fldChar w:fldCharType="begin"/>
      </w:r>
      <w:r>
        <w:instrText xml:space="preserve"> REF _Ref514846327 \h </w:instrText>
      </w:r>
      <w:r>
        <w:fldChar w:fldCharType="separate"/>
      </w:r>
      <w:r>
        <w:t>Figur</w:t>
      </w:r>
      <w:r>
        <w:t>e</w:t>
      </w:r>
      <w:r>
        <w:t xml:space="preserve"> </w:t>
      </w:r>
      <w:r>
        <w:rPr>
          <w:noProof/>
        </w:rPr>
        <w:t>1</w:t>
      </w:r>
      <w:r>
        <w:fldChar w:fldCharType="end"/>
      </w:r>
      <w:r>
        <w:t xml:space="preserve"> Whilst governments over the last 25 years raised the age at which people can get a state pension that comes, there comes a time when people do retire, and have the temerity to demand a pension.</w:t>
      </w:r>
    </w:p>
    <w:p w14:paraId="4754C27B" w14:textId="77777777" w:rsidR="00E64C37" w:rsidRDefault="00E64C37" w:rsidP="00E64C37"/>
    <w:p w14:paraId="19B5BA6F" w14:textId="7EE51AE8" w:rsidR="00E64C37" w:rsidRDefault="00E64C37" w:rsidP="00E64C37">
      <w:r>
        <w:t>How do you stop people asking very important and awkward questions of the government? Divide and rule is a well-rehearsed political strategy. Identify a small group of people, politically powerless and isolated, and loudly proclaim they are abusing the system. It worked in Germany in the 1920s and 1930s, and it is still working today. For example, The Daily Star in July 2016 highlighted the profligacy of a family claiming £</w:t>
      </w:r>
      <w:proofErr w:type="gramStart"/>
      <w:r>
        <w:t>38,000  on</w:t>
      </w:r>
      <w:proofErr w:type="gramEnd"/>
      <w:r>
        <w:t xml:space="preserve"> benefits  - 12 children plus themselves, and having the cheek to be pictured with 2 shopping trollies piled high with presents </w:t>
      </w:r>
      <w:sdt>
        <w:sdtPr>
          <w:id w:val="1839645002"/>
          <w:citation/>
        </w:sdtPr>
        <w:sdtContent>
          <w:r>
            <w:fldChar w:fldCharType="begin"/>
          </w:r>
          <w:r>
            <w:instrText xml:space="preserve"> CITATION Bra16 \l 2057 </w:instrText>
          </w:r>
          <w:r>
            <w:fldChar w:fldCharType="separate"/>
          </w:r>
          <w:r w:rsidR="00C87C67" w:rsidRPr="00C87C67">
            <w:rPr>
              <w:noProof/>
            </w:rPr>
            <w:t>(Jolly, 2016)</w:t>
          </w:r>
          <w:r>
            <w:fldChar w:fldCharType="end"/>
          </w:r>
        </w:sdtContent>
      </w:sdt>
      <w:r>
        <w:t>. or appearing in court charge with the fraudulent claiming of disability benefits while working and being photographed taking part in sports. The tactics of finger pointing Imply this is a problem that is everywhere, but with no actual evidence, and sit back whilst the general population joined the (non-existent) dots encouraged by certain sections of the media.</w:t>
      </w:r>
    </w:p>
    <w:p w14:paraId="6BBDEE51" w14:textId="77777777" w:rsidR="00E64C37" w:rsidRDefault="00E64C37" w:rsidP="00E64C37">
      <w:r>
        <w:rPr>
          <w:noProof/>
        </w:rPr>
        <w:lastRenderedPageBreak/>
        <w:drawing>
          <wp:inline distT="0" distB="0" distL="0" distR="0" wp14:anchorId="522866FB" wp14:editId="08DD75E1">
            <wp:extent cx="4648200" cy="2623303"/>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26589"/>
                    <a:stretch/>
                  </pic:blipFill>
                  <pic:spPr bwMode="auto">
                    <a:xfrm>
                      <a:off x="0" y="0"/>
                      <a:ext cx="4655086" cy="2627189"/>
                    </a:xfrm>
                    <a:prstGeom prst="rect">
                      <a:avLst/>
                    </a:prstGeom>
                    <a:ln>
                      <a:noFill/>
                    </a:ln>
                    <a:extLst>
                      <a:ext uri="{53640926-AAD7-44D8-BBD7-CCE9431645EC}">
                        <a14:shadowObscured xmlns:a14="http://schemas.microsoft.com/office/drawing/2010/main"/>
                      </a:ext>
                    </a:extLst>
                  </pic:spPr>
                </pic:pic>
              </a:graphicData>
            </a:graphic>
          </wp:inline>
        </w:drawing>
      </w:r>
    </w:p>
    <w:p w14:paraId="706C89E4" w14:textId="3C3640B7" w:rsidR="00E64C37" w:rsidRDefault="00E64C37" w:rsidP="00E64C37">
      <w:r>
        <w:t>(Google images)</w:t>
      </w:r>
    </w:p>
    <w:p w14:paraId="3688A90E" w14:textId="22945F95" w:rsidR="00200C50" w:rsidRDefault="00200C50" w:rsidP="00200C50">
      <w:r>
        <w:t>As well as the tabloid papers, television programmes such as C</w:t>
      </w:r>
      <w:r>
        <w:t>hannel 5</w:t>
      </w:r>
      <w:r>
        <w:t>’s</w:t>
      </w:r>
      <w:r>
        <w:t xml:space="preserve"> Benefits Street, and other TV programmes of that ilk, are an example of what has come to be known as ‘poverty porn ‘, allowing some people to indulge</w:t>
      </w:r>
      <w:r w:rsidRPr="00365905">
        <w:rPr>
          <w:rFonts w:ascii="Times New Roman" w:hAnsi="Times New Roman" w:cs="Times New Roman"/>
          <w:sz w:val="24"/>
          <w:szCs w:val="24"/>
        </w:rPr>
        <w:t xml:space="preserve"> in </w:t>
      </w:r>
      <w:r w:rsidRPr="00365905">
        <w:rPr>
          <w:rFonts w:ascii="Times New Roman" w:hAnsi="Times New Roman" w:cs="Times New Roman"/>
          <w:color w:val="222222"/>
          <w:sz w:val="24"/>
          <w:szCs w:val="24"/>
          <w:shd w:val="clear" w:color="auto" w:fill="FFFFFF"/>
        </w:rPr>
        <w:t>schadenfreude</w:t>
      </w:r>
      <w:r>
        <w:t>, repetitively fuelled by the ‘gleeful ‘tabloid press.</w:t>
      </w:r>
    </w:p>
    <w:p w14:paraId="085D79F6" w14:textId="3FBC5153" w:rsidR="00200C50" w:rsidRDefault="00200C50" w:rsidP="00E64C37"/>
    <w:p w14:paraId="17AF3A40" w14:textId="52F607B9" w:rsidR="00200C50" w:rsidRDefault="00B0343C" w:rsidP="00E64C37">
      <w:r>
        <w:t>T</w:t>
      </w:r>
      <w:r w:rsidR="00E64C37">
        <w:t xml:space="preserve">he issue of some people who preferred to not work but claim off the state goes back to </w:t>
      </w:r>
      <w:r w:rsidR="00200C50">
        <w:t>the 14</w:t>
      </w:r>
      <w:r w:rsidR="00200C50" w:rsidRPr="00200C50">
        <w:rPr>
          <w:vertAlign w:val="superscript"/>
        </w:rPr>
        <w:t>th</w:t>
      </w:r>
      <w:r w:rsidR="00200C50">
        <w:t xml:space="preserve"> Century</w:t>
      </w:r>
      <w:r w:rsidR="00E64C37">
        <w:t xml:space="preserve">. Sturdy beggars were those people capable of working but who chose instead to claim parish relief and were much fulminated against by the authorities. Even as early as this, we see the division of peoples into </w:t>
      </w:r>
      <w:r>
        <w:t>2 groups -</w:t>
      </w:r>
      <w:r w:rsidR="00E64C37">
        <w:t>the poor, and ‘sturdy beggars ‘. During the 19</w:t>
      </w:r>
      <w:r w:rsidR="00E64C37" w:rsidRPr="00EE1ECA">
        <w:rPr>
          <w:vertAlign w:val="superscript"/>
        </w:rPr>
        <w:t>th</w:t>
      </w:r>
      <w:r w:rsidR="00E64C37">
        <w:t xml:space="preserve"> century the worsening condition of those at the lowest level of the population became increasingly pressing. Whilst the industrial revolution in Great Britain demanded more and more workers, crowded into unsanitary and unsavoury housing conditions, they became breeding grounds for large families because important infant mortality and lack of provision for old age meant that families needed to be large in order to provide those members who were unable to work through age or illness. The increasingly urgent need for social reform and an acceptance that the state had a responsibility to its own people, was in part the impetus for the social welfare reforms enacted by the 1906 Liberal government. As well as introducing old-age pensions for those over 70 the first time the </w:t>
      </w:r>
      <w:r w:rsidR="00200C50">
        <w:t>L</w:t>
      </w:r>
      <w:r w:rsidR="00E64C37">
        <w:t xml:space="preserve">iberal </w:t>
      </w:r>
      <w:r w:rsidR="00200C50">
        <w:t>G</w:t>
      </w:r>
      <w:r w:rsidR="00E64C37">
        <w:t xml:space="preserve">overnment had also introduced a national insurance act in 1911, which provided a small amount of income for those workers unable to work through illness or ill health. This was however, a contribution-based scheme, which meant that a person had to have paid into the scheme, before they were able to draw upon the scheme in certain circumstances later on. It was the effects of the great depression in the 1930s and grows in unemployment over 3 million people that put a severe strain upon the financial resources of government of the time. The response to this pressure, was to apply the means test </w:t>
      </w:r>
      <w:r w:rsidR="00200C50">
        <w:t>-</w:t>
      </w:r>
      <w:r w:rsidR="00E64C37">
        <w:t xml:space="preserve"> an invidious and deeply hum</w:t>
      </w:r>
      <w:r w:rsidR="00200C50">
        <w:t>iliating</w:t>
      </w:r>
      <w:r w:rsidR="00E64C37">
        <w:t xml:space="preserve"> experience</w:t>
      </w:r>
      <w:r w:rsidR="004370D7">
        <w:t>,</w:t>
      </w:r>
      <w:r w:rsidR="00E64C37">
        <w:t xml:space="preserve"> en</w:t>
      </w:r>
      <w:r w:rsidR="004370D7">
        <w:t>d</w:t>
      </w:r>
      <w:r w:rsidR="00200C50">
        <w:t>ur</w:t>
      </w:r>
      <w:r w:rsidR="00E64C37">
        <w:t>ed by many. The possession of any saleable assets, such as an upholstered armchair, or a piano, for example, was deemed to be proof that a family had assets, and unless the items were sold, relief was likely to be refused.</w:t>
      </w:r>
    </w:p>
    <w:p w14:paraId="0EF2E266" w14:textId="2C8C268A" w:rsidR="00E64C37" w:rsidRDefault="00E64C37" w:rsidP="00E64C37">
      <w:r>
        <w:t xml:space="preserve"> The election of the Labour Party in the 1945 landslide brought in a reforming party, committed to enacting the provisions of the 1944 Beveridge report (or should that be 1943). An understanding of the effect poverty had on the life of the working population led to the government making provision </w:t>
      </w:r>
      <w:r>
        <w:lastRenderedPageBreak/>
        <w:t>for those unable to work through consequences beyond the control. The preamble to the National assistance act of 1948 eight said it was:</w:t>
      </w:r>
    </w:p>
    <w:p w14:paraId="16E40C31" w14:textId="07DD22C3" w:rsidR="00E64C37" w:rsidRPr="0002396D" w:rsidRDefault="00E64C37" w:rsidP="00E64C37">
      <w:pPr>
        <w:ind w:left="1134" w:right="1088"/>
        <w:rPr>
          <w:rFonts w:ascii="Arial" w:hAnsi="Arial" w:cs="Arial"/>
          <w:color w:val="000000"/>
          <w:sz w:val="18"/>
          <w:szCs w:val="18"/>
          <w:shd w:val="clear" w:color="auto" w:fill="FFFFFF"/>
        </w:rPr>
      </w:pPr>
      <w:r>
        <w:rPr>
          <w:rFonts w:ascii="Times New Roman" w:hAnsi="Times New Roman" w:cs="Times New Roman"/>
          <w:sz w:val="24"/>
          <w:szCs w:val="24"/>
        </w:rPr>
        <w:tab/>
      </w:r>
      <w:r>
        <w:rPr>
          <w:rFonts w:ascii="Arial" w:hAnsi="Arial" w:cs="Arial"/>
          <w:color w:val="000000"/>
          <w:sz w:val="18"/>
          <w:szCs w:val="18"/>
          <w:shd w:val="clear" w:color="auto" w:fill="FFFFFF"/>
        </w:rPr>
        <w:t>An Act to …provide in…for the assistance of persons in need by the National Assistance Board and by local authorities; to make further provision for the welfare of disabled, sick, aged and other persons …and for purposes connected with the matters aforesaid.</w:t>
      </w:r>
      <w:sdt>
        <w:sdtPr>
          <w:rPr>
            <w:rFonts w:ascii="Arial" w:hAnsi="Arial" w:cs="Arial"/>
            <w:color w:val="000000"/>
            <w:sz w:val="18"/>
            <w:szCs w:val="18"/>
            <w:shd w:val="clear" w:color="auto" w:fill="FFFFFF"/>
          </w:rPr>
          <w:id w:val="1741286012"/>
          <w:citation/>
        </w:sdtPr>
        <w:sdtContent>
          <w:r>
            <w:rPr>
              <w:rFonts w:ascii="Arial" w:hAnsi="Arial" w:cs="Arial"/>
              <w:color w:val="000000"/>
              <w:sz w:val="18"/>
              <w:szCs w:val="18"/>
              <w:shd w:val="clear" w:color="auto" w:fill="FFFFFF"/>
            </w:rPr>
            <w:fldChar w:fldCharType="begin"/>
          </w:r>
          <w:r>
            <w:rPr>
              <w:rFonts w:ascii="Arial" w:hAnsi="Arial" w:cs="Arial"/>
              <w:color w:val="000000"/>
              <w:sz w:val="18"/>
              <w:szCs w:val="18"/>
              <w:shd w:val="clear" w:color="auto" w:fill="FFFFFF"/>
            </w:rPr>
            <w:instrText xml:space="preserve">CITATION Leg \l 2057 </w:instrText>
          </w:r>
          <w:r>
            <w:rPr>
              <w:rFonts w:ascii="Arial" w:hAnsi="Arial" w:cs="Arial"/>
              <w:color w:val="000000"/>
              <w:sz w:val="18"/>
              <w:szCs w:val="18"/>
              <w:shd w:val="clear" w:color="auto" w:fill="FFFFFF"/>
            </w:rPr>
            <w:fldChar w:fldCharType="separate"/>
          </w:r>
          <w:r w:rsidR="00C87C67">
            <w:rPr>
              <w:rFonts w:ascii="Arial" w:hAnsi="Arial" w:cs="Arial"/>
              <w:noProof/>
              <w:color w:val="000000"/>
              <w:sz w:val="18"/>
              <w:szCs w:val="18"/>
              <w:shd w:val="clear" w:color="auto" w:fill="FFFFFF"/>
            </w:rPr>
            <w:t xml:space="preserve"> </w:t>
          </w:r>
          <w:r w:rsidR="00C87C67" w:rsidRPr="00C87C67">
            <w:rPr>
              <w:rFonts w:ascii="Arial" w:hAnsi="Arial" w:cs="Arial"/>
              <w:noProof/>
              <w:color w:val="000000"/>
              <w:sz w:val="18"/>
              <w:szCs w:val="18"/>
              <w:shd w:val="clear" w:color="auto" w:fill="FFFFFF"/>
            </w:rPr>
            <w:t>(HM Government, n.d.)</w:t>
          </w:r>
          <w:r>
            <w:rPr>
              <w:rFonts w:ascii="Arial" w:hAnsi="Arial" w:cs="Arial"/>
              <w:color w:val="000000"/>
              <w:sz w:val="18"/>
              <w:szCs w:val="18"/>
              <w:shd w:val="clear" w:color="auto" w:fill="FFFFFF"/>
            </w:rPr>
            <w:fldChar w:fldCharType="end"/>
          </w:r>
        </w:sdtContent>
      </w:sdt>
    </w:p>
    <w:p w14:paraId="45B482ED" w14:textId="77777777" w:rsidR="00E64C37" w:rsidRDefault="00E64C37" w:rsidP="00E64C37"/>
    <w:p w14:paraId="390F90BF" w14:textId="584068F3" w:rsidR="00E64C37" w:rsidRDefault="00E64C37" w:rsidP="00E64C37">
      <w:r>
        <w:t>Even in times of full employment, successive governments understood that employment would never reach 100%. Some flat within the employment market was demanded in order that expansion and contraction could be accommodated, and that workers are sometimes out of work between employed for entirely legitimate reasons.</w:t>
      </w:r>
      <w:r w:rsidR="00C87C67">
        <w:t xml:space="preserve"> For those of working age claiming benefits, only 1.435% in 2016 were claiming as a result of unemployment </w:t>
      </w:r>
      <w:r w:rsidR="00C87C67" w:rsidRPr="003B7D25">
        <w:rPr>
          <w:i/>
        </w:rPr>
        <w:fldChar w:fldCharType="begin"/>
      </w:r>
      <w:r w:rsidR="00C87C67" w:rsidRPr="003B7D25">
        <w:rPr>
          <w:i/>
        </w:rPr>
        <w:instrText xml:space="preserve"> REF _Ref514846591 \h </w:instrText>
      </w:r>
      <w:r w:rsidR="00C87C67" w:rsidRPr="003B7D25">
        <w:rPr>
          <w:i/>
        </w:rPr>
      </w:r>
      <w:r w:rsidR="003B7D25">
        <w:rPr>
          <w:i/>
        </w:rPr>
        <w:instrText xml:space="preserve"> \* MERGEFORMAT </w:instrText>
      </w:r>
      <w:r w:rsidR="00C87C67" w:rsidRPr="003B7D25">
        <w:rPr>
          <w:i/>
        </w:rPr>
        <w:fldChar w:fldCharType="separate"/>
      </w:r>
      <w:r w:rsidR="00C87C67" w:rsidRPr="003B7D25">
        <w:rPr>
          <w:i/>
        </w:rPr>
        <w:fldChar w:fldCharType="begin"/>
      </w:r>
      <w:r w:rsidR="00C87C67" w:rsidRPr="003B7D25">
        <w:rPr>
          <w:i/>
        </w:rPr>
        <w:instrText xml:space="preserve"> REF _Ref514846591 \h </w:instrText>
      </w:r>
      <w:r w:rsidR="00C87C67" w:rsidRPr="003B7D25">
        <w:rPr>
          <w:i/>
        </w:rPr>
      </w:r>
      <w:r w:rsidR="00C87C67" w:rsidRPr="003B7D25">
        <w:rPr>
          <w:i/>
        </w:rPr>
        <w:fldChar w:fldCharType="separate"/>
      </w:r>
      <w:r w:rsidR="00C87C67" w:rsidRPr="003B7D25">
        <w:rPr>
          <w:i/>
        </w:rPr>
        <w:t xml:space="preserve">Table </w:t>
      </w:r>
      <w:r w:rsidR="00C87C67" w:rsidRPr="003B7D25">
        <w:rPr>
          <w:i/>
          <w:noProof/>
        </w:rPr>
        <w:t>2</w:t>
      </w:r>
      <w:r w:rsidR="00C87C67" w:rsidRPr="003B7D25">
        <w:rPr>
          <w:i/>
        </w:rPr>
        <w:fldChar w:fldCharType="end"/>
      </w:r>
      <w:r w:rsidR="00C87C67" w:rsidRPr="003B7D25">
        <w:rPr>
          <w:i/>
        </w:rPr>
        <w:fldChar w:fldCharType="end"/>
      </w:r>
    </w:p>
    <w:p w14:paraId="153279B4" w14:textId="771DB8F6" w:rsidR="00E64C37" w:rsidRDefault="003B7D25" w:rsidP="00D758E1">
      <w:r>
        <w:t>Bit in spite of the actual statistics, the steady drip-drip of the sensationalist media, egged on by the Conservative governments desire for a shrinking of the state (and by extension the state budget) leads inevitably to the assumptions that ALL benefit claimants are idle scroungers. As Angela Neville says in the opening scene of her play, ‘Can This Be England?’:</w:t>
      </w:r>
    </w:p>
    <w:p w14:paraId="4C73B75F" w14:textId="77777777" w:rsidR="00E64C37" w:rsidRDefault="00E64C37" w:rsidP="003B7D25">
      <w:pPr>
        <w:ind w:left="1134" w:right="1088"/>
      </w:pPr>
      <w:r>
        <w:tab/>
      </w:r>
      <w:r>
        <w:tab/>
        <w:t>it opens with a scene where nosy neighbours spot someone on sickness benefits in the street and assume they must be skiving. Sometimes I think we are turning into a really mean, spying on our neighbourhood, type of society (Neville, 2016).</w:t>
      </w:r>
    </w:p>
    <w:p w14:paraId="76B240CC" w14:textId="3A070453" w:rsidR="00E64C37" w:rsidRDefault="00E64C37" w:rsidP="003B7D25">
      <w:r>
        <w:tab/>
      </w:r>
    </w:p>
    <w:p w14:paraId="2F6CBF22" w14:textId="77777777" w:rsidR="00E64C37" w:rsidRDefault="00E64C37" w:rsidP="00E64C37"/>
    <w:p w14:paraId="29EEEDB3" w14:textId="0479133F" w:rsidR="0095034D" w:rsidRDefault="00E64C37" w:rsidP="00C87C67">
      <w:pPr>
        <w:rPr>
          <w:rFonts w:ascii="Times New Roman" w:hAnsi="Times New Roman" w:cs="Times New Roman"/>
          <w:sz w:val="24"/>
          <w:szCs w:val="24"/>
        </w:rPr>
      </w:pPr>
      <w:r>
        <w:t>Scroungers do exist and will exploit weaknesses in any system. But no system is 100% perfect. There will always be those who take advantage of others, and who manipulate processes to suit themselves. Fraud is the unlawful taking of monies goods, goods belonging to someone else. Detecting fraud in the welfare system and preventing it by means of robust systems and prosecutions where necessary, is a reasonable approach. However, because those who administer the welfare system understand its vulnerabilities, and who see cases where someone has exploited the system, they start from the assumption that everybody is likely to defraud the state if it’s possible. Such suspicions though, colour the mentality of the administrators and lead them to make unjustified assumptions that fraud is much bigger than it is, it just hasn’t been detected. The pressure from the government on DWP staff to hit ‘target quote for saving money leads front line staff having to meet targets for applying sanctions. But these are the most vulnerable people in our society today. Ill, disabled, poor education, chaotic lifestyles sometimes, people in these situations are less likely to be able to make rational judgements and to engage positively in arguing their case. Someone may be sanctioned and taken off one particular benefit, but there may be alternative provision that can be made that person. However, DWP staff are often forbidden to tell people what alternatives there are, unless someone asked them, in which case if the relevant information will be given. Minor breaches of the role will lead to minor sanctions, maybe suspension of benefits for seven days or 14 days, but repeated minor sanctions can also trigger major sanctions whereby longer periods of benefits are applied repeated. Repeated major sanctions can lead to periods of up to 3 years being unable to receive benefits.</w:t>
      </w:r>
      <w:r w:rsidR="00C87C67">
        <w:rPr>
          <w:rFonts w:ascii="Times New Roman" w:hAnsi="Times New Roman" w:cs="Times New Roman"/>
          <w:sz w:val="24"/>
          <w:szCs w:val="24"/>
        </w:rPr>
        <w:t xml:space="preserve"> </w:t>
      </w:r>
    </w:p>
    <w:p w14:paraId="33E40837" w14:textId="46D20EC6" w:rsidR="001F5EA1" w:rsidRDefault="001F5EA1" w:rsidP="00C87C67">
      <w:pPr>
        <w:rPr>
          <w:rFonts w:ascii="Times New Roman" w:hAnsi="Times New Roman" w:cs="Times New Roman"/>
          <w:sz w:val="24"/>
          <w:szCs w:val="24"/>
        </w:rPr>
      </w:pPr>
      <w:r>
        <w:rPr>
          <w:rFonts w:ascii="Times New Roman" w:hAnsi="Times New Roman" w:cs="Times New Roman"/>
          <w:sz w:val="24"/>
          <w:szCs w:val="24"/>
        </w:rPr>
        <w:lastRenderedPageBreak/>
        <w:t xml:space="preserve">Reality and perception are often far apart, but as always, we need to always refer back to the real picture. Britain threatened by myriad benefit scroungers – a veritable feral underclass of Untermensch – exists only in the poisoned imagination of self-seeking headline grabbers. </w:t>
      </w:r>
    </w:p>
    <w:p w14:paraId="49A6F978" w14:textId="77777777" w:rsidR="00C87C67" w:rsidRDefault="00C87C67" w:rsidP="00C87C67">
      <w:pPr>
        <w:rPr>
          <w:rFonts w:ascii="Times New Roman" w:hAnsi="Times New Roman" w:cs="Times New Roman"/>
          <w:sz w:val="24"/>
          <w:szCs w:val="24"/>
        </w:rPr>
      </w:pPr>
    </w:p>
    <w:p w14:paraId="20A017BC" w14:textId="77777777" w:rsidR="003B7966" w:rsidRDefault="003B7966">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212769202"/>
        <w:docPartObj>
          <w:docPartGallery w:val="Bibliographies"/>
          <w:docPartUnique/>
        </w:docPartObj>
      </w:sdtPr>
      <w:sdtEndPr/>
      <w:sdtContent>
        <w:p w14:paraId="77FAA25C" w14:textId="677BB6C3" w:rsidR="006C0C24" w:rsidRDefault="006C0C24">
          <w:pPr>
            <w:pStyle w:val="Heading1"/>
          </w:pPr>
          <w:r>
            <w:t>References</w:t>
          </w:r>
        </w:p>
        <w:sdt>
          <w:sdtPr>
            <w:id w:val="-573587230"/>
            <w:bibliography/>
          </w:sdtPr>
          <w:sdtEndPr/>
          <w:sdtContent>
            <w:p w14:paraId="4C660453" w14:textId="77777777" w:rsidR="00C87C67" w:rsidRDefault="006C0C24" w:rsidP="00C87C67">
              <w:pPr>
                <w:pStyle w:val="Bibliography"/>
                <w:rPr>
                  <w:noProof/>
                  <w:sz w:val="24"/>
                  <w:szCs w:val="24"/>
                  <w:lang w:val="en-US"/>
                </w:rPr>
              </w:pPr>
              <w:r>
                <w:fldChar w:fldCharType="begin"/>
              </w:r>
              <w:r>
                <w:instrText xml:space="preserve"> BIBLIOGRAPHY </w:instrText>
              </w:r>
              <w:r>
                <w:fldChar w:fldCharType="separate"/>
              </w:r>
              <w:r w:rsidR="00C87C67">
                <w:rPr>
                  <w:noProof/>
                  <w:lang w:val="en-US"/>
                </w:rPr>
                <w:t xml:space="preserve">Abercrombie, N. et al., 2010. </w:t>
              </w:r>
              <w:r w:rsidR="00C87C67">
                <w:rPr>
                  <w:i/>
                  <w:iCs/>
                  <w:noProof/>
                  <w:lang w:val="en-US"/>
                </w:rPr>
                <w:t xml:space="preserve">Contemporary British Society. </w:t>
              </w:r>
              <w:r w:rsidR="00C87C67">
                <w:rPr>
                  <w:noProof/>
                  <w:lang w:val="en-US"/>
                </w:rPr>
                <w:t>3rd ed. Cambridge: Polity Press.</w:t>
              </w:r>
            </w:p>
            <w:p w14:paraId="00C0C484" w14:textId="77777777" w:rsidR="00C87C67" w:rsidRDefault="00C87C67" w:rsidP="00C87C67">
              <w:pPr>
                <w:pStyle w:val="Bibliography"/>
                <w:rPr>
                  <w:noProof/>
                  <w:lang w:val="en-US"/>
                </w:rPr>
              </w:pPr>
              <w:r>
                <w:rPr>
                  <w:noProof/>
                  <w:lang w:val="en-US"/>
                </w:rPr>
                <w:t xml:space="preserve">Anon., 2018. </w:t>
              </w:r>
              <w:r>
                <w:rPr>
                  <w:i/>
                  <w:iCs/>
                  <w:noProof/>
                  <w:lang w:val="en-US"/>
                </w:rPr>
                <w:t xml:space="preserve">Benefit Sanctions Statistics.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https://assets.publishing.service.gov.uk/government/uploads/system/uploads/attachment_data/file/706823/benefit-sanctions-statistics-to-january-2018.pdf</w:t>
              </w:r>
              <w:r>
                <w:rPr>
                  <w:noProof/>
                  <w:lang w:val="en-US"/>
                </w:rPr>
                <w:br/>
                <w:t>[Accessed 20 May 2018].</w:t>
              </w:r>
            </w:p>
            <w:p w14:paraId="7E3F9FB1" w14:textId="77777777" w:rsidR="00C87C67" w:rsidRDefault="00C87C67" w:rsidP="00C87C67">
              <w:pPr>
                <w:pStyle w:val="Bibliography"/>
                <w:rPr>
                  <w:noProof/>
                  <w:lang w:val="en-US"/>
                </w:rPr>
              </w:pPr>
              <w:r>
                <w:rPr>
                  <w:noProof/>
                  <w:lang w:val="en-US"/>
                </w:rPr>
                <w:t xml:space="preserve">Anon., 2018. </w:t>
              </w:r>
              <w:r>
                <w:rPr>
                  <w:i/>
                  <w:iCs/>
                  <w:noProof/>
                  <w:lang w:val="en-US"/>
                </w:rPr>
                <w:t xml:space="preserve">Benefit Sanctions Statistics - spreadsheets. </w:t>
              </w:r>
              <w:r>
                <w:rPr>
                  <w:noProof/>
                  <w:lang w:val="en-US"/>
                </w:rPr>
                <w:t xml:space="preserve">[Online] </w:t>
              </w:r>
              <w:r>
                <w:rPr>
                  <w:noProof/>
                  <w:lang w:val="en-US"/>
                </w:rPr>
                <w:br/>
                <w:t xml:space="preserve">Available at: </w:t>
              </w:r>
              <w:r>
                <w:rPr>
                  <w:noProof/>
                  <w:u w:val="single"/>
                  <w:lang w:val="en-US"/>
                </w:rPr>
                <w:t>https://www.gov.uk/government/collections/jobseekers-allowance-sanctions</w:t>
              </w:r>
              <w:r>
                <w:rPr>
                  <w:noProof/>
                  <w:lang w:val="en-US"/>
                </w:rPr>
                <w:br/>
                <w:t>[Accessed 20 May 2018].</w:t>
              </w:r>
            </w:p>
            <w:p w14:paraId="69DE3BCA" w14:textId="77777777" w:rsidR="00C87C67" w:rsidRDefault="00C87C67" w:rsidP="00C87C67">
              <w:pPr>
                <w:pStyle w:val="Bibliography"/>
                <w:rPr>
                  <w:noProof/>
                  <w:lang w:val="en-US"/>
                </w:rPr>
              </w:pPr>
              <w:r>
                <w:rPr>
                  <w:noProof/>
                  <w:lang w:val="en-US"/>
                </w:rPr>
                <w:t xml:space="preserve">Booth, P., 2018. </w:t>
              </w:r>
              <w:r>
                <w:rPr>
                  <w:i/>
                  <w:iCs/>
                  <w:noProof/>
                  <w:lang w:val="en-US"/>
                </w:rPr>
                <w:t xml:space="preserve">Philip Booth: Why the Universal Basic Income is a very bad idea. </w:t>
              </w:r>
              <w:r>
                <w:rPr>
                  <w:noProof/>
                  <w:lang w:val="en-US"/>
                </w:rPr>
                <w:t xml:space="preserve">[Online] </w:t>
              </w:r>
              <w:r>
                <w:rPr>
                  <w:noProof/>
                  <w:lang w:val="en-US"/>
                </w:rPr>
                <w:br/>
                <w:t xml:space="preserve">Available at: </w:t>
              </w:r>
              <w:r>
                <w:rPr>
                  <w:noProof/>
                  <w:u w:val="single"/>
                  <w:lang w:val="en-US"/>
                </w:rPr>
                <w:t>https://www.conservativehome.com/platform/2018/05/philip-booth-why-the-universal-basic-income-is-a-very-bad-idea.html</w:t>
              </w:r>
              <w:r>
                <w:rPr>
                  <w:noProof/>
                  <w:lang w:val="en-US"/>
                </w:rPr>
                <w:br/>
                <w:t>[Accessed 20 May 2018].</w:t>
              </w:r>
            </w:p>
            <w:p w14:paraId="0DA8AEBE" w14:textId="77777777" w:rsidR="00C87C67" w:rsidRDefault="00C87C67" w:rsidP="00C87C67">
              <w:pPr>
                <w:pStyle w:val="Bibliography"/>
                <w:rPr>
                  <w:noProof/>
                  <w:lang w:val="en-US"/>
                </w:rPr>
              </w:pPr>
              <w:r>
                <w:rPr>
                  <w:noProof/>
                  <w:lang w:val="en-US"/>
                </w:rPr>
                <w:t xml:space="preserve">Crompton, R., 2008. </w:t>
              </w:r>
              <w:r>
                <w:rPr>
                  <w:i/>
                  <w:iCs/>
                  <w:noProof/>
                  <w:lang w:val="en-US"/>
                </w:rPr>
                <w:t xml:space="preserve">Class and Stratification. </w:t>
              </w:r>
              <w:r>
                <w:rPr>
                  <w:noProof/>
                  <w:lang w:val="en-US"/>
                </w:rPr>
                <w:t>3rd ed. Cambridge: Poliy Press.</w:t>
              </w:r>
            </w:p>
            <w:p w14:paraId="1B447A41" w14:textId="77777777" w:rsidR="00C87C67" w:rsidRDefault="00C87C67" w:rsidP="00C87C67">
              <w:pPr>
                <w:pStyle w:val="Bibliography"/>
                <w:rPr>
                  <w:noProof/>
                  <w:lang w:val="en-US"/>
                </w:rPr>
              </w:pPr>
              <w:r>
                <w:rPr>
                  <w:noProof/>
                  <w:lang w:val="en-US"/>
                </w:rPr>
                <w:t xml:space="preserve">Department for Work and Pensions, 2013. </w:t>
              </w:r>
              <w:r>
                <w:rPr>
                  <w:i/>
                  <w:iCs/>
                  <w:noProof/>
                  <w:lang w:val="en-US"/>
                </w:rPr>
                <w:t xml:space="preserve">Duration on working-age benefits, Great Britain, </w:t>
              </w:r>
              <w:r>
                <w:rPr>
                  <w:noProof/>
                  <w:lang w:val="en-US"/>
                </w:rPr>
                <w:t>s.l.: s.n.</w:t>
              </w:r>
            </w:p>
            <w:p w14:paraId="2D12D12D" w14:textId="77777777" w:rsidR="00C87C67" w:rsidRDefault="00C87C67" w:rsidP="00C87C67">
              <w:pPr>
                <w:pStyle w:val="Bibliography"/>
                <w:rPr>
                  <w:noProof/>
                  <w:lang w:val="en-US"/>
                </w:rPr>
              </w:pPr>
              <w:r>
                <w:rPr>
                  <w:noProof/>
                  <w:lang w:val="en-US"/>
                </w:rPr>
                <w:t xml:space="preserve">Department for Work and Pensions, 2018. </w:t>
              </w:r>
              <w:r>
                <w:rPr>
                  <w:i/>
                  <w:iCs/>
                  <w:noProof/>
                  <w:lang w:val="en-US"/>
                </w:rPr>
                <w:t xml:space="preserve">Benefit sanctions statistics to October 2017.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https://assets.publishing.service.gov.uk/government/uploads/system/uploads/attachment_data/file/682635/benefit-sanctions-statistics-to-october-2017.pdf</w:t>
              </w:r>
            </w:p>
            <w:p w14:paraId="45EF82B7" w14:textId="77777777" w:rsidR="00C87C67" w:rsidRDefault="00C87C67" w:rsidP="00C87C67">
              <w:pPr>
                <w:pStyle w:val="Bibliography"/>
                <w:rPr>
                  <w:noProof/>
                  <w:lang w:val="en-US"/>
                </w:rPr>
              </w:pPr>
              <w:r>
                <w:rPr>
                  <w:noProof/>
                  <w:lang w:val="en-US"/>
                </w:rPr>
                <w:t xml:space="preserve">Green, D., 2018. </w:t>
              </w:r>
              <w:r>
                <w:rPr>
                  <w:i/>
                  <w:iCs/>
                  <w:noProof/>
                  <w:lang w:val="en-US"/>
                </w:rPr>
                <w:t xml:space="preserve">We have not adjusted to what an ageing society means or requires. Green’s speech on social care – full text. </w:t>
              </w:r>
              <w:r>
                <w:rPr>
                  <w:noProof/>
                  <w:lang w:val="en-US"/>
                </w:rPr>
                <w:t xml:space="preserve">[Online] </w:t>
              </w:r>
              <w:r>
                <w:rPr>
                  <w:noProof/>
                  <w:lang w:val="en-US"/>
                </w:rPr>
                <w:br/>
                <w:t xml:space="preserve">Available at: </w:t>
              </w:r>
              <w:r>
                <w:rPr>
                  <w:noProof/>
                  <w:u w:val="single"/>
                  <w:lang w:val="en-US"/>
                </w:rPr>
                <w:t>https://www.conservativehome.com/parliament/2018/05/we-live-in-an-ageing-society-but-we-have-not-remotely-adjusted-to-what-this-means-greens-speech-on-social-care-full-text.html</w:t>
              </w:r>
              <w:r>
                <w:rPr>
                  <w:noProof/>
                  <w:lang w:val="en-US"/>
                </w:rPr>
                <w:br/>
                <w:t>[Accessed 20 May 2018].</w:t>
              </w:r>
            </w:p>
            <w:p w14:paraId="10767861" w14:textId="77777777" w:rsidR="00C87C67" w:rsidRDefault="00C87C67" w:rsidP="00C87C67">
              <w:pPr>
                <w:pStyle w:val="Bibliography"/>
                <w:rPr>
                  <w:noProof/>
                  <w:lang w:val="en-US"/>
                </w:rPr>
              </w:pPr>
              <w:r>
                <w:rPr>
                  <w:noProof/>
                  <w:lang w:val="en-US"/>
                </w:rPr>
                <w:t xml:space="preserve">HM Goverment, 2018. </w:t>
              </w:r>
              <w:r>
                <w:rPr>
                  <w:i/>
                  <w:iCs/>
                  <w:noProof/>
                  <w:lang w:val="en-US"/>
                </w:rPr>
                <w:t xml:space="preserve">Benefit Sanctions Durations and Sanctions rate calculation - Experimental Office Staistics.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https://assets.publishing.service.gov.uk/government/uploads/system/uploads/attachment_data/file/706819/benefit-sanctions-durations-and-sanction-rate-calculation.pdf</w:t>
              </w:r>
            </w:p>
            <w:p w14:paraId="2BF4E92C" w14:textId="77777777" w:rsidR="00C87C67" w:rsidRDefault="00C87C67" w:rsidP="00C87C67">
              <w:pPr>
                <w:pStyle w:val="Bibliography"/>
                <w:rPr>
                  <w:noProof/>
                  <w:lang w:val="en-US"/>
                </w:rPr>
              </w:pPr>
              <w:r>
                <w:rPr>
                  <w:noProof/>
                  <w:lang w:val="en-US"/>
                </w:rPr>
                <w:t xml:space="preserve">HM Government, 2018. [Online] </w:t>
              </w:r>
              <w:r>
                <w:rPr>
                  <w:noProof/>
                  <w:lang w:val="en-US"/>
                </w:rPr>
                <w:br/>
                <w:t xml:space="preserve">Available at: </w:t>
              </w:r>
              <w:r>
                <w:rPr>
                  <w:noProof/>
                  <w:u w:val="single"/>
                  <w:lang w:val="en-US"/>
                </w:rPr>
                <w:t>https://www.gov.uk/government/collections/jobseekers-allowance-sanctions</w:t>
              </w:r>
              <w:r>
                <w:rPr>
                  <w:noProof/>
                  <w:lang w:val="en-US"/>
                </w:rPr>
                <w:br/>
                <w:t>[Accessed 20 May 2018].</w:t>
              </w:r>
            </w:p>
            <w:p w14:paraId="6DA1FED8" w14:textId="77777777" w:rsidR="00C87C67" w:rsidRDefault="00C87C67" w:rsidP="00C87C67">
              <w:pPr>
                <w:pStyle w:val="Bibliography"/>
                <w:rPr>
                  <w:noProof/>
                  <w:lang w:val="en-US"/>
                </w:rPr>
              </w:pPr>
              <w:r>
                <w:rPr>
                  <w:noProof/>
                  <w:lang w:val="en-US"/>
                </w:rPr>
                <w:lastRenderedPageBreak/>
                <w:t xml:space="preserve">HM Government, 2018. </w:t>
              </w:r>
              <w:r>
                <w:rPr>
                  <w:i/>
                  <w:iCs/>
                  <w:noProof/>
                  <w:lang w:val="en-US"/>
                </w:rPr>
                <w:t xml:space="preserve">Jobseekers Allowance Sanctions. </w:t>
              </w:r>
              <w:r>
                <w:rPr>
                  <w:noProof/>
                  <w:lang w:val="en-US"/>
                </w:rPr>
                <w:t xml:space="preserve">[Online] </w:t>
              </w:r>
              <w:r>
                <w:rPr>
                  <w:noProof/>
                  <w:lang w:val="en-US"/>
                </w:rPr>
                <w:br/>
                <w:t xml:space="preserve">Available at: </w:t>
              </w:r>
              <w:r>
                <w:rPr>
                  <w:noProof/>
                  <w:u w:val="single"/>
                  <w:lang w:val="en-US"/>
                </w:rPr>
                <w:t>https://www.gov.uk/government/collections/jobseekers-allowance-sanctions</w:t>
              </w:r>
              <w:r>
                <w:rPr>
                  <w:noProof/>
                  <w:lang w:val="en-US"/>
                </w:rPr>
                <w:br/>
                <w:t>[Accessed 20 May 2018].</w:t>
              </w:r>
            </w:p>
            <w:p w14:paraId="7ABA97B5" w14:textId="77777777" w:rsidR="00C87C67" w:rsidRDefault="00C87C67" w:rsidP="00C87C67">
              <w:pPr>
                <w:pStyle w:val="Bibliography"/>
                <w:rPr>
                  <w:noProof/>
                  <w:lang w:val="en-US"/>
                </w:rPr>
              </w:pPr>
              <w:r>
                <w:rPr>
                  <w:noProof/>
                  <w:lang w:val="en-US"/>
                </w:rPr>
                <w:t xml:space="preserve">HM Government, n.d. </w:t>
              </w:r>
              <w:r>
                <w:rPr>
                  <w:i/>
                  <w:iCs/>
                  <w:noProof/>
                  <w:lang w:val="en-US"/>
                </w:rPr>
                <w:t xml:space="preserve">National Assistance Act 1948. </w:t>
              </w:r>
              <w:r>
                <w:rPr>
                  <w:noProof/>
                  <w:lang w:val="en-US"/>
                </w:rPr>
                <w:t xml:space="preserve">[Online] </w:t>
              </w:r>
              <w:r>
                <w:rPr>
                  <w:noProof/>
                  <w:lang w:val="en-US"/>
                </w:rPr>
                <w:br/>
                <w:t xml:space="preserve">Available at: </w:t>
              </w:r>
              <w:r>
                <w:rPr>
                  <w:noProof/>
                  <w:u w:val="single"/>
                  <w:lang w:val="en-US"/>
                </w:rPr>
                <w:t>https://www.legislation.gov.uk/ukpga/Geo6/11-12/29</w:t>
              </w:r>
            </w:p>
            <w:p w14:paraId="635AE2AD" w14:textId="77777777" w:rsidR="00C87C67" w:rsidRDefault="00C87C67" w:rsidP="00C87C67">
              <w:pPr>
                <w:pStyle w:val="Bibliography"/>
                <w:rPr>
                  <w:noProof/>
                  <w:lang w:val="en-US"/>
                </w:rPr>
              </w:pPr>
              <w:r>
                <w:rPr>
                  <w:noProof/>
                  <w:lang w:val="en-US"/>
                </w:rPr>
                <w:t xml:space="preserve">Jolly, B., 2016. </w:t>
              </w:r>
              <w:r>
                <w:rPr>
                  <w:i/>
                  <w:iCs/>
                  <w:noProof/>
                  <w:lang w:val="en-US"/>
                </w:rPr>
                <w:t xml:space="preserve">REVEALED: How UK’s most notorious benefit scroungers spend OUR cash. </w:t>
              </w:r>
              <w:r>
                <w:rPr>
                  <w:noProof/>
                  <w:lang w:val="en-US"/>
                </w:rPr>
                <w:t xml:space="preserve">[Online] </w:t>
              </w:r>
              <w:r>
                <w:rPr>
                  <w:noProof/>
                  <w:lang w:val="en-US"/>
                </w:rPr>
                <w:br/>
                <w:t xml:space="preserve">Available at: </w:t>
              </w:r>
              <w:r>
                <w:rPr>
                  <w:noProof/>
                  <w:u w:val="single"/>
                  <w:lang w:val="en-US"/>
                </w:rPr>
                <w:t>https://www.dailystar.co.uk/news/latest-news/532151/benefits-scrounger-revealed-Travis-Simpkins-gambling-boob-job-Sheffield-cash-taxpayer-UK</w:t>
              </w:r>
            </w:p>
            <w:p w14:paraId="30B704A7" w14:textId="77777777" w:rsidR="00C87C67" w:rsidRDefault="00C87C67" w:rsidP="00C87C67">
              <w:pPr>
                <w:pStyle w:val="Bibliography"/>
                <w:rPr>
                  <w:noProof/>
                  <w:lang w:val="en-US"/>
                </w:rPr>
              </w:pPr>
              <w:r>
                <w:rPr>
                  <w:noProof/>
                  <w:lang w:val="en-US"/>
                </w:rPr>
                <w:t xml:space="preserve">Keegan, N. &amp; Griffiths, J., 2018. OH VOW! Royal Wedding cost – how much was Meghan Markle and Prince Harry’s wedding and who paid for it?. </w:t>
              </w:r>
              <w:r>
                <w:rPr>
                  <w:i/>
                  <w:iCs/>
                  <w:noProof/>
                  <w:lang w:val="en-US"/>
                </w:rPr>
                <w:t>The Sun</w:t>
              </w:r>
              <w:r>
                <w:rPr>
                  <w:noProof/>
                  <w:lang w:val="en-US"/>
                </w:rPr>
                <w:t xml:space="preserve">, 21 May. </w:t>
              </w:r>
            </w:p>
            <w:p w14:paraId="783A5388" w14:textId="77777777" w:rsidR="00C87C67" w:rsidRDefault="00C87C67" w:rsidP="00C87C67">
              <w:pPr>
                <w:pStyle w:val="Bibliography"/>
                <w:rPr>
                  <w:noProof/>
                  <w:lang w:val="en-US"/>
                </w:rPr>
              </w:pPr>
              <w:r>
                <w:rPr>
                  <w:noProof/>
                  <w:lang w:val="en-US"/>
                </w:rPr>
                <w:t xml:space="preserve">Lister, R., 2002. Towards a Citizen's Welfare State: The 3+2 'R's of Welfare Reform. In: S. Lash &amp; M. Featherstone, eds. </w:t>
              </w:r>
              <w:r>
                <w:rPr>
                  <w:i/>
                  <w:iCs/>
                  <w:noProof/>
                  <w:lang w:val="en-US"/>
                </w:rPr>
                <w:t xml:space="preserve">Recognition and Difference.: Politics, Identity, Multiculture. </w:t>
              </w:r>
              <w:r>
                <w:rPr>
                  <w:noProof/>
                  <w:lang w:val="en-US"/>
                </w:rPr>
                <w:t>London: SAGE Publications, pp. 91-111.</w:t>
              </w:r>
            </w:p>
            <w:p w14:paraId="70A37294" w14:textId="77777777" w:rsidR="00C87C67" w:rsidRDefault="00C87C67" w:rsidP="00C87C67">
              <w:pPr>
                <w:pStyle w:val="Bibliography"/>
                <w:rPr>
                  <w:noProof/>
                  <w:lang w:val="en-US"/>
                </w:rPr>
              </w:pPr>
              <w:r>
                <w:rPr>
                  <w:noProof/>
                  <w:lang w:val="en-US"/>
                </w:rPr>
                <w:t xml:space="preserve">Maddox, D., 2017. </w:t>
              </w:r>
              <w:r>
                <w:rPr>
                  <w:i/>
                  <w:iCs/>
                  <w:noProof/>
                  <w:lang w:val="en-US"/>
                </w:rPr>
                <w:t xml:space="preserve">Tough benefits cap stops scroungers claiming thousands of pounds. </w:t>
              </w:r>
              <w:r>
                <w:rPr>
                  <w:noProof/>
                  <w:lang w:val="en-US"/>
                </w:rPr>
                <w:t xml:space="preserve">[Online] </w:t>
              </w:r>
              <w:r>
                <w:rPr>
                  <w:noProof/>
                  <w:lang w:val="en-US"/>
                </w:rPr>
                <w:br/>
                <w:t xml:space="preserve">Available at: </w:t>
              </w:r>
              <w:r>
                <w:rPr>
                  <w:noProof/>
                  <w:u w:val="single"/>
                  <w:lang w:val="en-US"/>
                </w:rPr>
                <w:t>https://www.express.co.uk/news/uk/762423/benefits-caps-cheats-stop-success-household-claims-department-for-work-and-pensions</w:t>
              </w:r>
            </w:p>
            <w:p w14:paraId="496F8071" w14:textId="77777777" w:rsidR="00C87C67" w:rsidRDefault="00C87C67" w:rsidP="00C87C67">
              <w:pPr>
                <w:pStyle w:val="Bibliography"/>
                <w:rPr>
                  <w:noProof/>
                  <w:lang w:val="en-US"/>
                </w:rPr>
              </w:pPr>
              <w:r>
                <w:rPr>
                  <w:noProof/>
                  <w:lang w:val="en-US"/>
                </w:rPr>
                <w:t xml:space="preserve">Neville, A., 2016. </w:t>
              </w:r>
              <w:r>
                <w:rPr>
                  <w:i/>
                  <w:iCs/>
                  <w:noProof/>
                  <w:lang w:val="en-US"/>
                </w:rPr>
                <w:t xml:space="preserve">It was my job to impose cruel benefit sanctions – that the DWP can’t justify. </w:t>
              </w:r>
              <w:r>
                <w:rPr>
                  <w:noProof/>
                  <w:lang w:val="en-US"/>
                </w:rPr>
                <w:t xml:space="preserve">[Online] </w:t>
              </w:r>
              <w:r>
                <w:rPr>
                  <w:noProof/>
                  <w:lang w:val="en-US"/>
                </w:rPr>
                <w:br/>
                <w:t xml:space="preserve">Available at: </w:t>
              </w:r>
              <w:r>
                <w:rPr>
                  <w:noProof/>
                  <w:u w:val="single"/>
                  <w:lang w:val="en-US"/>
                </w:rPr>
                <w:t>https://www.theguardian.com/commentisfree/2016/nov/30/cruel-benefits-sanctions-dwp-job-advisers-evidence-work</w:t>
              </w:r>
              <w:r>
                <w:rPr>
                  <w:noProof/>
                  <w:lang w:val="en-US"/>
                </w:rPr>
                <w:br/>
                <w:t>[Accessed 15 May 2018].</w:t>
              </w:r>
            </w:p>
            <w:p w14:paraId="559F3F73" w14:textId="77777777" w:rsidR="00C87C67" w:rsidRDefault="00C87C67" w:rsidP="00C87C67">
              <w:pPr>
                <w:pStyle w:val="Bibliography"/>
                <w:rPr>
                  <w:noProof/>
                  <w:lang w:val="en-US"/>
                </w:rPr>
              </w:pPr>
              <w:r>
                <w:rPr>
                  <w:noProof/>
                  <w:lang w:val="en-US"/>
                </w:rPr>
                <w:t xml:space="preserve">Office for National Statistics, 2017. </w:t>
              </w:r>
              <w:r>
                <w:rPr>
                  <w:i/>
                  <w:iCs/>
                  <w:noProof/>
                  <w:lang w:val="en-US"/>
                </w:rPr>
                <w:t xml:space="preserve">Labour Force Survey. </w:t>
              </w:r>
              <w:r>
                <w:rPr>
                  <w:noProof/>
                  <w:lang w:val="en-US"/>
                </w:rPr>
                <w:t xml:space="preserve">[Online] </w:t>
              </w:r>
              <w:r>
                <w:rPr>
                  <w:noProof/>
                  <w:lang w:val="en-US"/>
                </w:rPr>
                <w:br/>
                <w:t xml:space="preserve">Available at: </w:t>
              </w:r>
              <w:r>
                <w:rPr>
                  <w:noProof/>
                  <w:u w:val="single"/>
                  <w:lang w:val="en-US"/>
                </w:rPr>
                <w:t>https://www.ons.gov.uk/employmentandlabourmarket/peoplenotinwork/unemployment/datasets/reasonsgivenbypeoplelivinginworklesshouseholdsfornotworkingbycountryandregiontabled</w:t>
              </w:r>
            </w:p>
            <w:p w14:paraId="5951F4CB" w14:textId="77777777" w:rsidR="00C87C67" w:rsidRDefault="00C87C67" w:rsidP="00C87C67">
              <w:pPr>
                <w:pStyle w:val="Bibliography"/>
                <w:rPr>
                  <w:noProof/>
                  <w:lang w:val="en-US"/>
                </w:rPr>
              </w:pPr>
              <w:r>
                <w:rPr>
                  <w:noProof/>
                  <w:lang w:val="en-US"/>
                </w:rPr>
                <w:t xml:space="preserve">Patrick, R., 2017. </w:t>
              </w:r>
              <w:r>
                <w:rPr>
                  <w:i/>
                  <w:iCs/>
                  <w:noProof/>
                  <w:lang w:val="en-US"/>
                </w:rPr>
                <w:t xml:space="preserve">For Whose Benefit?: The Everyday Realities of Welfare Reform.. </w:t>
              </w:r>
              <w:r>
                <w:rPr>
                  <w:noProof/>
                  <w:lang w:val="en-US"/>
                </w:rPr>
                <w:t>Bristol: Policy Press.</w:t>
              </w:r>
            </w:p>
            <w:p w14:paraId="3828FDAB" w14:textId="77777777" w:rsidR="00C87C67" w:rsidRDefault="00C87C67" w:rsidP="00C87C67">
              <w:pPr>
                <w:pStyle w:val="Bibliography"/>
                <w:rPr>
                  <w:noProof/>
                  <w:lang w:val="en-US"/>
                </w:rPr>
              </w:pPr>
              <w:r>
                <w:rPr>
                  <w:noProof/>
                  <w:lang w:val="en-US"/>
                </w:rPr>
                <w:t xml:space="preserve">Ramesh, R., 2013. Is Britain a nation of lazy scroungers. </w:t>
              </w:r>
              <w:r>
                <w:rPr>
                  <w:i/>
                  <w:iCs/>
                  <w:noProof/>
                  <w:lang w:val="en-US"/>
                </w:rPr>
                <w:t>The Guardian</w:t>
              </w:r>
              <w:r>
                <w:rPr>
                  <w:noProof/>
                  <w:lang w:val="en-US"/>
                </w:rPr>
                <w:t xml:space="preserve">, 24 April. </w:t>
              </w:r>
            </w:p>
            <w:p w14:paraId="17984E82" w14:textId="77777777" w:rsidR="00C87C67" w:rsidRDefault="00C87C67" w:rsidP="00C87C67">
              <w:pPr>
                <w:pStyle w:val="Bibliography"/>
                <w:rPr>
                  <w:noProof/>
                  <w:lang w:val="en-US"/>
                </w:rPr>
              </w:pPr>
              <w:r>
                <w:rPr>
                  <w:noProof/>
                  <w:lang w:val="en-US"/>
                </w:rPr>
                <w:t xml:space="preserve">Toynbee, P. &amp; Walker, D., 2015. </w:t>
              </w:r>
              <w:r>
                <w:rPr>
                  <w:i/>
                  <w:iCs/>
                  <w:noProof/>
                  <w:lang w:val="en-US"/>
                </w:rPr>
                <w:t xml:space="preserve">Cameron's Coup. How the Tories Took Britain to the Brink. </w:t>
              </w:r>
              <w:r>
                <w:rPr>
                  <w:noProof/>
                  <w:lang w:val="en-US"/>
                </w:rPr>
                <w:t>London: Guardian Books.</w:t>
              </w:r>
            </w:p>
            <w:p w14:paraId="49088C58" w14:textId="77777777" w:rsidR="00C87C67" w:rsidRDefault="00C87C67" w:rsidP="00C87C67">
              <w:pPr>
                <w:pStyle w:val="Bibliography"/>
                <w:rPr>
                  <w:noProof/>
                  <w:lang w:val="en-US"/>
                </w:rPr>
              </w:pPr>
              <w:r>
                <w:rPr>
                  <w:noProof/>
                  <w:lang w:val="en-US"/>
                </w:rPr>
                <w:t xml:space="preserve">Toynbee, P. &amp; Walker, D., 2017. </w:t>
              </w:r>
              <w:r>
                <w:rPr>
                  <w:i/>
                  <w:iCs/>
                  <w:noProof/>
                  <w:lang w:val="en-US"/>
                </w:rPr>
                <w:t xml:space="preserve">Dismembered: How the attack on the state harms us all.. </w:t>
              </w:r>
              <w:r>
                <w:rPr>
                  <w:noProof/>
                  <w:lang w:val="en-US"/>
                </w:rPr>
                <w:t>1st ed. London: Guardian Books.</w:t>
              </w:r>
            </w:p>
            <w:p w14:paraId="6533A5A5" w14:textId="10ECCCDB" w:rsidR="006C0C24" w:rsidRDefault="006C0C24" w:rsidP="00C87C67">
              <w:r>
                <w:rPr>
                  <w:b/>
                  <w:bCs/>
                  <w:noProof/>
                </w:rPr>
                <w:fldChar w:fldCharType="end"/>
              </w:r>
            </w:p>
          </w:sdtContent>
        </w:sdt>
      </w:sdtContent>
    </w:sdt>
    <w:p w14:paraId="1F8880F2" w14:textId="1B08A28B" w:rsidR="003B7966" w:rsidRDefault="003B7966">
      <w:pPr>
        <w:rPr>
          <w:rFonts w:ascii="Times New Roman" w:hAnsi="Times New Roman" w:cs="Times New Roman"/>
          <w:sz w:val="24"/>
          <w:szCs w:val="24"/>
        </w:rPr>
      </w:pPr>
    </w:p>
    <w:p w14:paraId="35506E7C" w14:textId="69AB6987" w:rsidR="00E50008" w:rsidRDefault="00E50008">
      <w:pPr>
        <w:rPr>
          <w:rFonts w:ascii="Times New Roman" w:hAnsi="Times New Roman" w:cs="Times New Roman"/>
          <w:sz w:val="24"/>
          <w:szCs w:val="24"/>
        </w:rPr>
      </w:pPr>
    </w:p>
    <w:p w14:paraId="6FFC621E" w14:textId="404CFF53" w:rsidR="00E50008" w:rsidRDefault="00E50008">
      <w:pPr>
        <w:rPr>
          <w:rFonts w:ascii="Times New Roman" w:hAnsi="Times New Roman" w:cs="Times New Roman"/>
          <w:sz w:val="24"/>
          <w:szCs w:val="24"/>
        </w:rPr>
      </w:pPr>
      <w:r>
        <w:rPr>
          <w:rFonts w:ascii="Times New Roman" w:hAnsi="Times New Roman" w:cs="Times New Roman"/>
          <w:sz w:val="24"/>
          <w:szCs w:val="24"/>
        </w:rPr>
        <w:br w:type="page"/>
      </w:r>
    </w:p>
    <w:p w14:paraId="43BB5FB8" w14:textId="667E6929" w:rsidR="00C87C67" w:rsidRDefault="00C87C67" w:rsidP="00E50008">
      <w:r>
        <w:lastRenderedPageBreak/>
        <w:t>Appendices</w:t>
      </w:r>
    </w:p>
    <w:p w14:paraId="21346E17" w14:textId="77777777" w:rsidR="00C87C67" w:rsidRDefault="00C87C67" w:rsidP="00E50008"/>
    <w:p w14:paraId="3959D4C3" w14:textId="52773F11" w:rsidR="00365905" w:rsidRDefault="00E64C37" w:rsidP="00E50008">
      <w:r>
        <w:t>Tables</w:t>
      </w:r>
    </w:p>
    <w:tbl>
      <w:tblPr>
        <w:tblW w:w="7975" w:type="dxa"/>
        <w:tblLook w:val="04A0" w:firstRow="1" w:lastRow="0" w:firstColumn="1" w:lastColumn="0" w:noHBand="0" w:noVBand="1"/>
      </w:tblPr>
      <w:tblGrid>
        <w:gridCol w:w="2268"/>
        <w:gridCol w:w="736"/>
        <w:gridCol w:w="995"/>
        <w:gridCol w:w="995"/>
        <w:gridCol w:w="995"/>
        <w:gridCol w:w="996"/>
        <w:gridCol w:w="1265"/>
      </w:tblGrid>
      <w:tr w:rsidR="00E64C37" w:rsidRPr="00580471" w14:paraId="1D5B6F6D" w14:textId="77777777" w:rsidTr="001C7ACA">
        <w:trPr>
          <w:trHeight w:val="269"/>
        </w:trPr>
        <w:tc>
          <w:tcPr>
            <w:tcW w:w="2268" w:type="dxa"/>
            <w:tcBorders>
              <w:top w:val="single" w:sz="8" w:space="0" w:color="0066CC"/>
              <w:left w:val="nil"/>
              <w:bottom w:val="nil"/>
              <w:right w:val="nil"/>
            </w:tcBorders>
            <w:shd w:val="clear" w:color="auto" w:fill="auto"/>
            <w:noWrap/>
            <w:vAlign w:val="bottom"/>
            <w:hideMark/>
          </w:tcPr>
          <w:p w14:paraId="35A60B6A" w14:textId="77777777" w:rsidR="00E64C37" w:rsidRPr="00580471" w:rsidRDefault="00E64C37" w:rsidP="001C7ACA">
            <w:pPr>
              <w:spacing w:after="0" w:line="240" w:lineRule="auto"/>
              <w:jc w:val="right"/>
              <w:rPr>
                <w:rFonts w:ascii="Times New Roman" w:eastAsia="Times New Roman" w:hAnsi="Times New Roman" w:cs="Times New Roman"/>
                <w:color w:val="0000FF"/>
                <w:sz w:val="16"/>
                <w:szCs w:val="16"/>
                <w:lang w:eastAsia="en-GB"/>
              </w:rPr>
            </w:pPr>
            <w:r w:rsidRPr="00580471">
              <w:rPr>
                <w:rFonts w:ascii="Times New Roman" w:eastAsia="Times New Roman" w:hAnsi="Times New Roman" w:cs="Times New Roman"/>
                <w:color w:val="0000FF"/>
                <w:sz w:val="16"/>
                <w:szCs w:val="16"/>
                <w:lang w:eastAsia="en-GB"/>
              </w:rPr>
              <w:t> </w:t>
            </w:r>
          </w:p>
        </w:tc>
        <w:tc>
          <w:tcPr>
            <w:tcW w:w="461" w:type="dxa"/>
            <w:tcBorders>
              <w:top w:val="single" w:sz="8" w:space="0" w:color="0066CC"/>
              <w:left w:val="nil"/>
              <w:bottom w:val="nil"/>
              <w:right w:val="nil"/>
            </w:tcBorders>
            <w:shd w:val="clear" w:color="auto" w:fill="auto"/>
            <w:noWrap/>
            <w:vAlign w:val="bottom"/>
            <w:hideMark/>
          </w:tcPr>
          <w:p w14:paraId="3E10A1DF" w14:textId="77777777" w:rsidR="00E64C37" w:rsidRPr="00580471" w:rsidRDefault="00E64C37" w:rsidP="001C7ACA">
            <w:pPr>
              <w:spacing w:after="0" w:line="240" w:lineRule="auto"/>
              <w:jc w:val="right"/>
              <w:rPr>
                <w:rFonts w:ascii="Times New Roman" w:eastAsia="Times New Roman" w:hAnsi="Times New Roman" w:cs="Times New Roman"/>
                <w:color w:val="0000FF"/>
                <w:sz w:val="16"/>
                <w:szCs w:val="16"/>
                <w:lang w:eastAsia="en-GB"/>
              </w:rPr>
            </w:pPr>
            <w:r w:rsidRPr="00580471">
              <w:rPr>
                <w:rFonts w:ascii="Times New Roman" w:eastAsia="Times New Roman" w:hAnsi="Times New Roman" w:cs="Times New Roman"/>
                <w:color w:val="0000FF"/>
                <w:sz w:val="16"/>
                <w:szCs w:val="16"/>
                <w:lang w:eastAsia="en-GB"/>
              </w:rPr>
              <w:t> </w:t>
            </w:r>
          </w:p>
        </w:tc>
        <w:tc>
          <w:tcPr>
            <w:tcW w:w="995" w:type="dxa"/>
            <w:tcBorders>
              <w:top w:val="single" w:sz="8" w:space="0" w:color="0066CC"/>
              <w:left w:val="nil"/>
              <w:bottom w:val="nil"/>
              <w:right w:val="nil"/>
            </w:tcBorders>
            <w:shd w:val="clear" w:color="auto" w:fill="auto"/>
            <w:noWrap/>
            <w:vAlign w:val="bottom"/>
            <w:hideMark/>
          </w:tcPr>
          <w:p w14:paraId="1F1EC2FA" w14:textId="77777777" w:rsidR="00E64C37" w:rsidRPr="00580471" w:rsidRDefault="00E64C37" w:rsidP="001C7ACA">
            <w:pPr>
              <w:spacing w:after="0" w:line="240" w:lineRule="auto"/>
              <w:jc w:val="right"/>
              <w:rPr>
                <w:rFonts w:ascii="Times New Roman" w:eastAsia="Times New Roman" w:hAnsi="Times New Roman" w:cs="Times New Roman"/>
                <w:color w:val="0000FF"/>
                <w:sz w:val="16"/>
                <w:szCs w:val="16"/>
                <w:lang w:eastAsia="en-GB"/>
              </w:rPr>
            </w:pPr>
            <w:r w:rsidRPr="00580471">
              <w:rPr>
                <w:rFonts w:ascii="Times New Roman" w:eastAsia="Times New Roman" w:hAnsi="Times New Roman" w:cs="Times New Roman"/>
                <w:color w:val="0000FF"/>
                <w:sz w:val="16"/>
                <w:szCs w:val="16"/>
                <w:lang w:eastAsia="en-GB"/>
              </w:rPr>
              <w:t> </w:t>
            </w:r>
          </w:p>
        </w:tc>
        <w:tc>
          <w:tcPr>
            <w:tcW w:w="995" w:type="dxa"/>
            <w:tcBorders>
              <w:top w:val="single" w:sz="8" w:space="0" w:color="0066CC"/>
              <w:left w:val="nil"/>
              <w:bottom w:val="nil"/>
              <w:right w:val="nil"/>
            </w:tcBorders>
            <w:shd w:val="clear" w:color="auto" w:fill="auto"/>
            <w:noWrap/>
            <w:vAlign w:val="bottom"/>
            <w:hideMark/>
          </w:tcPr>
          <w:p w14:paraId="7A2AB7ED" w14:textId="77777777" w:rsidR="00E64C37" w:rsidRPr="00580471" w:rsidRDefault="00E64C37" w:rsidP="001C7ACA">
            <w:pPr>
              <w:spacing w:after="0" w:line="240" w:lineRule="auto"/>
              <w:jc w:val="right"/>
              <w:rPr>
                <w:rFonts w:ascii="Times New Roman" w:eastAsia="Times New Roman" w:hAnsi="Times New Roman" w:cs="Times New Roman"/>
                <w:color w:val="0000FF"/>
                <w:sz w:val="16"/>
                <w:szCs w:val="16"/>
                <w:lang w:eastAsia="en-GB"/>
              </w:rPr>
            </w:pPr>
            <w:r w:rsidRPr="00580471">
              <w:rPr>
                <w:rFonts w:ascii="Times New Roman" w:eastAsia="Times New Roman" w:hAnsi="Times New Roman" w:cs="Times New Roman"/>
                <w:color w:val="0000FF"/>
                <w:sz w:val="16"/>
                <w:szCs w:val="16"/>
                <w:lang w:eastAsia="en-GB"/>
              </w:rPr>
              <w:t> </w:t>
            </w:r>
          </w:p>
        </w:tc>
        <w:tc>
          <w:tcPr>
            <w:tcW w:w="995" w:type="dxa"/>
            <w:tcBorders>
              <w:top w:val="single" w:sz="8" w:space="0" w:color="0066CC"/>
              <w:left w:val="nil"/>
              <w:bottom w:val="nil"/>
              <w:right w:val="nil"/>
            </w:tcBorders>
            <w:shd w:val="clear" w:color="auto" w:fill="auto"/>
            <w:noWrap/>
            <w:vAlign w:val="bottom"/>
            <w:hideMark/>
          </w:tcPr>
          <w:p w14:paraId="53DEE766" w14:textId="77777777" w:rsidR="00E64C37" w:rsidRPr="00580471" w:rsidRDefault="00E64C37" w:rsidP="001C7ACA">
            <w:pPr>
              <w:spacing w:after="0" w:line="240" w:lineRule="auto"/>
              <w:jc w:val="right"/>
              <w:rPr>
                <w:rFonts w:ascii="Times New Roman" w:eastAsia="Times New Roman" w:hAnsi="Times New Roman" w:cs="Times New Roman"/>
                <w:color w:val="0000FF"/>
                <w:sz w:val="16"/>
                <w:szCs w:val="16"/>
                <w:lang w:eastAsia="en-GB"/>
              </w:rPr>
            </w:pPr>
            <w:r w:rsidRPr="00580471">
              <w:rPr>
                <w:rFonts w:ascii="Times New Roman" w:eastAsia="Times New Roman" w:hAnsi="Times New Roman" w:cs="Times New Roman"/>
                <w:color w:val="0000FF"/>
                <w:sz w:val="16"/>
                <w:szCs w:val="16"/>
                <w:lang w:eastAsia="en-GB"/>
              </w:rPr>
              <w:t> </w:t>
            </w:r>
          </w:p>
        </w:tc>
        <w:tc>
          <w:tcPr>
            <w:tcW w:w="996" w:type="dxa"/>
            <w:tcBorders>
              <w:top w:val="single" w:sz="8" w:space="0" w:color="0066CC"/>
              <w:left w:val="nil"/>
              <w:bottom w:val="nil"/>
              <w:right w:val="nil"/>
            </w:tcBorders>
            <w:shd w:val="clear" w:color="auto" w:fill="auto"/>
            <w:noWrap/>
            <w:vAlign w:val="bottom"/>
            <w:hideMark/>
          </w:tcPr>
          <w:p w14:paraId="296007E7" w14:textId="77777777" w:rsidR="00E64C37" w:rsidRPr="00580471" w:rsidRDefault="00E64C37" w:rsidP="001C7ACA">
            <w:pPr>
              <w:spacing w:after="0" w:line="240" w:lineRule="auto"/>
              <w:jc w:val="right"/>
              <w:rPr>
                <w:rFonts w:ascii="Times New Roman" w:eastAsia="Times New Roman" w:hAnsi="Times New Roman" w:cs="Times New Roman"/>
                <w:color w:val="0066CC"/>
                <w:sz w:val="16"/>
                <w:szCs w:val="16"/>
                <w:lang w:eastAsia="en-GB"/>
              </w:rPr>
            </w:pPr>
            <w:r w:rsidRPr="00580471">
              <w:rPr>
                <w:rFonts w:ascii="Times New Roman" w:eastAsia="Times New Roman" w:hAnsi="Times New Roman" w:cs="Times New Roman"/>
                <w:color w:val="0066CC"/>
                <w:sz w:val="16"/>
                <w:szCs w:val="16"/>
                <w:lang w:eastAsia="en-GB"/>
              </w:rPr>
              <w:t>£ million</w:t>
            </w:r>
          </w:p>
        </w:tc>
        <w:tc>
          <w:tcPr>
            <w:tcW w:w="1265" w:type="dxa"/>
            <w:tcBorders>
              <w:top w:val="nil"/>
              <w:left w:val="nil"/>
              <w:bottom w:val="nil"/>
              <w:right w:val="nil"/>
            </w:tcBorders>
            <w:shd w:val="clear" w:color="auto" w:fill="auto"/>
            <w:noWrap/>
            <w:vAlign w:val="bottom"/>
            <w:hideMark/>
          </w:tcPr>
          <w:p w14:paraId="641BE635" w14:textId="77777777" w:rsidR="00E64C37" w:rsidRPr="00580471" w:rsidRDefault="00E64C37" w:rsidP="001C7ACA">
            <w:pPr>
              <w:spacing w:after="0" w:line="240" w:lineRule="auto"/>
              <w:jc w:val="right"/>
              <w:rPr>
                <w:rFonts w:ascii="Times New Roman" w:eastAsia="Times New Roman" w:hAnsi="Times New Roman" w:cs="Times New Roman"/>
                <w:color w:val="0066CC"/>
                <w:sz w:val="16"/>
                <w:szCs w:val="16"/>
                <w:lang w:eastAsia="en-GB"/>
              </w:rPr>
            </w:pPr>
          </w:p>
        </w:tc>
      </w:tr>
      <w:tr w:rsidR="00E64C37" w:rsidRPr="00580471" w14:paraId="7EFB6740" w14:textId="77777777" w:rsidTr="001C7ACA">
        <w:trPr>
          <w:trHeight w:val="269"/>
        </w:trPr>
        <w:tc>
          <w:tcPr>
            <w:tcW w:w="2268" w:type="dxa"/>
            <w:tcBorders>
              <w:top w:val="nil"/>
              <w:left w:val="nil"/>
              <w:bottom w:val="nil"/>
              <w:right w:val="nil"/>
            </w:tcBorders>
            <w:shd w:val="clear" w:color="000000" w:fill="CCCCFF"/>
            <w:hideMark/>
          </w:tcPr>
          <w:p w14:paraId="57CE58DA"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 </w:t>
            </w:r>
          </w:p>
        </w:tc>
        <w:tc>
          <w:tcPr>
            <w:tcW w:w="4442" w:type="dxa"/>
            <w:gridSpan w:val="5"/>
            <w:tcBorders>
              <w:top w:val="nil"/>
              <w:left w:val="nil"/>
              <w:bottom w:val="single" w:sz="4" w:space="0" w:color="0066CC"/>
              <w:right w:val="nil"/>
            </w:tcBorders>
            <w:shd w:val="clear" w:color="000000" w:fill="CCCCFF"/>
            <w:hideMark/>
          </w:tcPr>
          <w:p w14:paraId="22337C23" w14:textId="77777777" w:rsidR="00E64C37" w:rsidRPr="00580471" w:rsidRDefault="00E64C37" w:rsidP="001C7ACA">
            <w:pPr>
              <w:spacing w:after="0" w:line="240" w:lineRule="auto"/>
              <w:jc w:val="center"/>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National Statistics</w:t>
            </w:r>
          </w:p>
        </w:tc>
        <w:tc>
          <w:tcPr>
            <w:tcW w:w="1265" w:type="dxa"/>
            <w:tcBorders>
              <w:top w:val="nil"/>
              <w:left w:val="nil"/>
              <w:bottom w:val="nil"/>
              <w:right w:val="nil"/>
            </w:tcBorders>
            <w:shd w:val="clear" w:color="auto" w:fill="auto"/>
            <w:noWrap/>
            <w:vAlign w:val="bottom"/>
            <w:hideMark/>
          </w:tcPr>
          <w:p w14:paraId="2C2E157F" w14:textId="77777777" w:rsidR="00E64C37" w:rsidRPr="00580471" w:rsidRDefault="00E64C37" w:rsidP="001C7ACA">
            <w:pPr>
              <w:spacing w:after="0" w:line="240" w:lineRule="auto"/>
              <w:jc w:val="center"/>
              <w:rPr>
                <w:rFonts w:ascii="Times New Roman" w:eastAsia="Times New Roman" w:hAnsi="Times New Roman" w:cs="Times New Roman"/>
                <w:sz w:val="16"/>
                <w:szCs w:val="16"/>
                <w:lang w:eastAsia="en-GB"/>
              </w:rPr>
            </w:pPr>
          </w:p>
        </w:tc>
      </w:tr>
      <w:tr w:rsidR="00E64C37" w:rsidRPr="00580471" w14:paraId="26A58111" w14:textId="77777777" w:rsidTr="001C7ACA">
        <w:trPr>
          <w:trHeight w:val="269"/>
        </w:trPr>
        <w:tc>
          <w:tcPr>
            <w:tcW w:w="2268" w:type="dxa"/>
            <w:tcBorders>
              <w:top w:val="nil"/>
              <w:left w:val="nil"/>
              <w:bottom w:val="nil"/>
              <w:right w:val="nil"/>
            </w:tcBorders>
            <w:shd w:val="clear" w:color="000000" w:fill="CCCCFF"/>
            <w:hideMark/>
          </w:tcPr>
          <w:p w14:paraId="0DB4F259"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 </w:t>
            </w:r>
          </w:p>
        </w:tc>
        <w:tc>
          <w:tcPr>
            <w:tcW w:w="461" w:type="dxa"/>
            <w:tcBorders>
              <w:top w:val="nil"/>
              <w:left w:val="nil"/>
              <w:bottom w:val="nil"/>
              <w:right w:val="nil"/>
            </w:tcBorders>
            <w:shd w:val="clear" w:color="000000" w:fill="CCCCFF"/>
            <w:hideMark/>
          </w:tcPr>
          <w:p w14:paraId="71C1E99D"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2012-13</w:t>
            </w:r>
          </w:p>
        </w:tc>
        <w:tc>
          <w:tcPr>
            <w:tcW w:w="995" w:type="dxa"/>
            <w:tcBorders>
              <w:top w:val="nil"/>
              <w:left w:val="nil"/>
              <w:bottom w:val="nil"/>
              <w:right w:val="nil"/>
            </w:tcBorders>
            <w:shd w:val="clear" w:color="000000" w:fill="CCCCFF"/>
            <w:hideMark/>
          </w:tcPr>
          <w:p w14:paraId="372C2F76"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2013-14</w:t>
            </w:r>
          </w:p>
        </w:tc>
        <w:tc>
          <w:tcPr>
            <w:tcW w:w="995" w:type="dxa"/>
            <w:tcBorders>
              <w:top w:val="nil"/>
              <w:left w:val="nil"/>
              <w:bottom w:val="nil"/>
              <w:right w:val="nil"/>
            </w:tcBorders>
            <w:shd w:val="clear" w:color="000000" w:fill="CCCCFF"/>
            <w:hideMark/>
          </w:tcPr>
          <w:p w14:paraId="35258C6C"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2014-15</w:t>
            </w:r>
          </w:p>
        </w:tc>
        <w:tc>
          <w:tcPr>
            <w:tcW w:w="995" w:type="dxa"/>
            <w:tcBorders>
              <w:top w:val="nil"/>
              <w:left w:val="nil"/>
              <w:bottom w:val="nil"/>
              <w:right w:val="nil"/>
            </w:tcBorders>
            <w:shd w:val="clear" w:color="000000" w:fill="CCCCFF"/>
            <w:hideMark/>
          </w:tcPr>
          <w:p w14:paraId="7C88DACE"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2015-16</w:t>
            </w:r>
          </w:p>
        </w:tc>
        <w:tc>
          <w:tcPr>
            <w:tcW w:w="996" w:type="dxa"/>
            <w:tcBorders>
              <w:top w:val="nil"/>
              <w:left w:val="nil"/>
              <w:bottom w:val="nil"/>
              <w:right w:val="nil"/>
            </w:tcBorders>
            <w:shd w:val="clear" w:color="000000" w:fill="CCCCFF"/>
            <w:hideMark/>
          </w:tcPr>
          <w:p w14:paraId="293F0D4B"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2016-17</w:t>
            </w:r>
          </w:p>
        </w:tc>
        <w:tc>
          <w:tcPr>
            <w:tcW w:w="1265" w:type="dxa"/>
            <w:tcBorders>
              <w:top w:val="nil"/>
              <w:left w:val="nil"/>
              <w:bottom w:val="nil"/>
              <w:right w:val="nil"/>
            </w:tcBorders>
            <w:shd w:val="clear" w:color="auto" w:fill="auto"/>
            <w:noWrap/>
            <w:vAlign w:val="bottom"/>
            <w:hideMark/>
          </w:tcPr>
          <w:p w14:paraId="72EDC4D8"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p>
        </w:tc>
      </w:tr>
      <w:tr w:rsidR="00E64C37" w:rsidRPr="00580471" w14:paraId="6CCC439F" w14:textId="77777777" w:rsidTr="001C7ACA">
        <w:trPr>
          <w:trHeight w:val="269"/>
        </w:trPr>
        <w:tc>
          <w:tcPr>
            <w:tcW w:w="2268" w:type="dxa"/>
            <w:tcBorders>
              <w:top w:val="nil"/>
              <w:left w:val="nil"/>
              <w:bottom w:val="nil"/>
              <w:right w:val="nil"/>
            </w:tcBorders>
            <w:shd w:val="clear" w:color="000000" w:fill="CCCCFF"/>
            <w:hideMark/>
          </w:tcPr>
          <w:p w14:paraId="3655208C"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 </w:t>
            </w:r>
          </w:p>
        </w:tc>
        <w:tc>
          <w:tcPr>
            <w:tcW w:w="461" w:type="dxa"/>
            <w:tcBorders>
              <w:top w:val="nil"/>
              <w:left w:val="nil"/>
              <w:bottom w:val="nil"/>
              <w:right w:val="nil"/>
            </w:tcBorders>
            <w:shd w:val="clear" w:color="000000" w:fill="CCCCFF"/>
            <w:hideMark/>
          </w:tcPr>
          <w:p w14:paraId="7ACE7D9D"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outturn</w:t>
            </w:r>
          </w:p>
        </w:tc>
        <w:tc>
          <w:tcPr>
            <w:tcW w:w="995" w:type="dxa"/>
            <w:tcBorders>
              <w:top w:val="nil"/>
              <w:left w:val="nil"/>
              <w:bottom w:val="nil"/>
              <w:right w:val="nil"/>
            </w:tcBorders>
            <w:shd w:val="clear" w:color="000000" w:fill="CCCCFF"/>
            <w:hideMark/>
          </w:tcPr>
          <w:p w14:paraId="5EB5D94F"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outturn</w:t>
            </w:r>
          </w:p>
        </w:tc>
        <w:tc>
          <w:tcPr>
            <w:tcW w:w="995" w:type="dxa"/>
            <w:tcBorders>
              <w:top w:val="nil"/>
              <w:left w:val="nil"/>
              <w:bottom w:val="nil"/>
              <w:right w:val="nil"/>
            </w:tcBorders>
            <w:shd w:val="clear" w:color="000000" w:fill="CCCCFF"/>
            <w:hideMark/>
          </w:tcPr>
          <w:p w14:paraId="015E8D7C"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outturn</w:t>
            </w:r>
          </w:p>
        </w:tc>
        <w:tc>
          <w:tcPr>
            <w:tcW w:w="995" w:type="dxa"/>
            <w:tcBorders>
              <w:top w:val="nil"/>
              <w:left w:val="nil"/>
              <w:bottom w:val="nil"/>
              <w:right w:val="nil"/>
            </w:tcBorders>
            <w:shd w:val="clear" w:color="000000" w:fill="CCCCFF"/>
            <w:hideMark/>
          </w:tcPr>
          <w:p w14:paraId="23668319"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outturn</w:t>
            </w:r>
          </w:p>
        </w:tc>
        <w:tc>
          <w:tcPr>
            <w:tcW w:w="996" w:type="dxa"/>
            <w:tcBorders>
              <w:top w:val="nil"/>
              <w:left w:val="nil"/>
              <w:bottom w:val="nil"/>
              <w:right w:val="nil"/>
            </w:tcBorders>
            <w:shd w:val="clear" w:color="000000" w:fill="CCCCFF"/>
            <w:hideMark/>
          </w:tcPr>
          <w:p w14:paraId="2EC020A3"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outturn</w:t>
            </w:r>
          </w:p>
        </w:tc>
        <w:tc>
          <w:tcPr>
            <w:tcW w:w="1265" w:type="dxa"/>
            <w:tcBorders>
              <w:top w:val="nil"/>
              <w:left w:val="nil"/>
              <w:bottom w:val="nil"/>
              <w:right w:val="nil"/>
            </w:tcBorders>
            <w:shd w:val="clear" w:color="auto" w:fill="auto"/>
            <w:noWrap/>
            <w:vAlign w:val="bottom"/>
            <w:hideMark/>
          </w:tcPr>
          <w:p w14:paraId="1BB0E84B" w14:textId="77777777" w:rsidR="00E64C37" w:rsidRPr="00580471" w:rsidRDefault="00E64C37" w:rsidP="001C7ACA">
            <w:pPr>
              <w:spacing w:after="0" w:line="240" w:lineRule="auto"/>
              <w:jc w:val="center"/>
              <w:rPr>
                <w:rFonts w:ascii="Times New Roman" w:eastAsia="Times New Roman" w:hAnsi="Times New Roman" w:cs="Times New Roman"/>
                <w:color w:val="000000"/>
                <w:sz w:val="16"/>
                <w:szCs w:val="16"/>
                <w:lang w:eastAsia="en-GB"/>
              </w:rPr>
            </w:pPr>
            <w:r w:rsidRPr="00580471">
              <w:rPr>
                <w:rFonts w:ascii="Times New Roman" w:eastAsia="Times New Roman" w:hAnsi="Times New Roman" w:cs="Times New Roman"/>
                <w:color w:val="000000"/>
                <w:sz w:val="16"/>
                <w:szCs w:val="16"/>
                <w:lang w:eastAsia="en-GB"/>
              </w:rPr>
              <w:t>2016-17 as a % of total</w:t>
            </w:r>
          </w:p>
        </w:tc>
      </w:tr>
      <w:tr w:rsidR="00E64C37" w:rsidRPr="00580471" w14:paraId="2864C757" w14:textId="77777777" w:rsidTr="001C7ACA">
        <w:trPr>
          <w:trHeight w:val="269"/>
        </w:trPr>
        <w:tc>
          <w:tcPr>
            <w:tcW w:w="2268" w:type="dxa"/>
            <w:tcBorders>
              <w:top w:val="nil"/>
              <w:left w:val="nil"/>
              <w:bottom w:val="nil"/>
              <w:right w:val="nil"/>
            </w:tcBorders>
            <w:shd w:val="clear" w:color="auto" w:fill="auto"/>
            <w:noWrap/>
            <w:vAlign w:val="bottom"/>
            <w:hideMark/>
          </w:tcPr>
          <w:p w14:paraId="734B200F" w14:textId="77777777" w:rsidR="00E64C37" w:rsidRPr="00580471" w:rsidRDefault="00E64C37" w:rsidP="001C7ACA">
            <w:pPr>
              <w:spacing w:after="0" w:line="240" w:lineRule="auto"/>
              <w:jc w:val="center"/>
              <w:rPr>
                <w:rFonts w:ascii="Times New Roman" w:eastAsia="Times New Roman" w:hAnsi="Times New Roman" w:cs="Times New Roman"/>
                <w:color w:val="000000"/>
                <w:sz w:val="16"/>
                <w:szCs w:val="16"/>
                <w:lang w:eastAsia="en-GB"/>
              </w:rPr>
            </w:pPr>
          </w:p>
        </w:tc>
        <w:tc>
          <w:tcPr>
            <w:tcW w:w="461" w:type="dxa"/>
            <w:tcBorders>
              <w:top w:val="nil"/>
              <w:left w:val="nil"/>
              <w:bottom w:val="nil"/>
              <w:right w:val="nil"/>
            </w:tcBorders>
            <w:shd w:val="clear" w:color="000000" w:fill="FFFFFF"/>
            <w:noWrap/>
            <w:vAlign w:val="bottom"/>
            <w:hideMark/>
          </w:tcPr>
          <w:p w14:paraId="2419DA42" w14:textId="77777777" w:rsidR="00E64C37" w:rsidRPr="00580471" w:rsidRDefault="00E64C37" w:rsidP="001C7ACA">
            <w:pPr>
              <w:spacing w:after="0" w:line="240" w:lineRule="auto"/>
              <w:jc w:val="right"/>
              <w:rPr>
                <w:rFonts w:ascii="Times New Roman" w:eastAsia="Times New Roman" w:hAnsi="Times New Roman" w:cs="Times New Roman"/>
                <w:color w:val="0066CC"/>
                <w:sz w:val="16"/>
                <w:szCs w:val="16"/>
                <w:lang w:eastAsia="en-GB"/>
              </w:rPr>
            </w:pPr>
            <w:r w:rsidRPr="00580471">
              <w:rPr>
                <w:rFonts w:ascii="Times New Roman" w:eastAsia="Times New Roman" w:hAnsi="Times New Roman" w:cs="Times New Roman"/>
                <w:color w:val="0066CC"/>
                <w:sz w:val="16"/>
                <w:szCs w:val="16"/>
                <w:lang w:eastAsia="en-GB"/>
              </w:rPr>
              <w:t> </w:t>
            </w:r>
          </w:p>
        </w:tc>
        <w:tc>
          <w:tcPr>
            <w:tcW w:w="995" w:type="dxa"/>
            <w:tcBorders>
              <w:top w:val="nil"/>
              <w:left w:val="nil"/>
              <w:bottom w:val="nil"/>
              <w:right w:val="nil"/>
            </w:tcBorders>
            <w:shd w:val="clear" w:color="000000" w:fill="FFFFFF"/>
            <w:noWrap/>
            <w:vAlign w:val="bottom"/>
            <w:hideMark/>
          </w:tcPr>
          <w:p w14:paraId="0ED6E4BB" w14:textId="77777777" w:rsidR="00E64C37" w:rsidRPr="00580471" w:rsidRDefault="00E64C37" w:rsidP="001C7ACA">
            <w:pPr>
              <w:spacing w:after="0" w:line="240" w:lineRule="auto"/>
              <w:jc w:val="right"/>
              <w:rPr>
                <w:rFonts w:ascii="Times New Roman" w:eastAsia="Times New Roman" w:hAnsi="Times New Roman" w:cs="Times New Roman"/>
                <w:color w:val="0066CC"/>
                <w:sz w:val="16"/>
                <w:szCs w:val="16"/>
                <w:lang w:eastAsia="en-GB"/>
              </w:rPr>
            </w:pPr>
            <w:r w:rsidRPr="00580471">
              <w:rPr>
                <w:rFonts w:ascii="Times New Roman" w:eastAsia="Times New Roman" w:hAnsi="Times New Roman" w:cs="Times New Roman"/>
                <w:color w:val="0066CC"/>
                <w:sz w:val="16"/>
                <w:szCs w:val="16"/>
                <w:lang w:eastAsia="en-GB"/>
              </w:rPr>
              <w:t> </w:t>
            </w:r>
          </w:p>
        </w:tc>
        <w:tc>
          <w:tcPr>
            <w:tcW w:w="995" w:type="dxa"/>
            <w:tcBorders>
              <w:top w:val="nil"/>
              <w:left w:val="nil"/>
              <w:bottom w:val="nil"/>
              <w:right w:val="nil"/>
            </w:tcBorders>
            <w:shd w:val="clear" w:color="000000" w:fill="FFFFFF"/>
            <w:noWrap/>
            <w:vAlign w:val="bottom"/>
            <w:hideMark/>
          </w:tcPr>
          <w:p w14:paraId="651189BC" w14:textId="77777777" w:rsidR="00E64C37" w:rsidRPr="00580471" w:rsidRDefault="00E64C37" w:rsidP="001C7ACA">
            <w:pPr>
              <w:spacing w:after="0" w:line="240" w:lineRule="auto"/>
              <w:jc w:val="right"/>
              <w:rPr>
                <w:rFonts w:ascii="Times New Roman" w:eastAsia="Times New Roman" w:hAnsi="Times New Roman" w:cs="Times New Roman"/>
                <w:color w:val="0066CC"/>
                <w:sz w:val="16"/>
                <w:szCs w:val="16"/>
                <w:lang w:eastAsia="en-GB"/>
              </w:rPr>
            </w:pPr>
            <w:r w:rsidRPr="00580471">
              <w:rPr>
                <w:rFonts w:ascii="Times New Roman" w:eastAsia="Times New Roman" w:hAnsi="Times New Roman" w:cs="Times New Roman"/>
                <w:color w:val="0066CC"/>
                <w:sz w:val="16"/>
                <w:szCs w:val="16"/>
                <w:lang w:eastAsia="en-GB"/>
              </w:rPr>
              <w:t> </w:t>
            </w:r>
          </w:p>
        </w:tc>
        <w:tc>
          <w:tcPr>
            <w:tcW w:w="995" w:type="dxa"/>
            <w:tcBorders>
              <w:top w:val="nil"/>
              <w:left w:val="nil"/>
              <w:bottom w:val="nil"/>
              <w:right w:val="nil"/>
            </w:tcBorders>
            <w:shd w:val="clear" w:color="000000" w:fill="FFFFFF"/>
            <w:noWrap/>
            <w:vAlign w:val="bottom"/>
            <w:hideMark/>
          </w:tcPr>
          <w:p w14:paraId="6CDDED27" w14:textId="77777777" w:rsidR="00E64C37" w:rsidRPr="00580471" w:rsidRDefault="00E64C37" w:rsidP="001C7ACA">
            <w:pPr>
              <w:spacing w:after="0" w:line="240" w:lineRule="auto"/>
              <w:jc w:val="right"/>
              <w:rPr>
                <w:rFonts w:ascii="Times New Roman" w:eastAsia="Times New Roman" w:hAnsi="Times New Roman" w:cs="Times New Roman"/>
                <w:color w:val="0066CC"/>
                <w:sz w:val="16"/>
                <w:szCs w:val="16"/>
                <w:lang w:eastAsia="en-GB"/>
              </w:rPr>
            </w:pPr>
            <w:r w:rsidRPr="00580471">
              <w:rPr>
                <w:rFonts w:ascii="Times New Roman" w:eastAsia="Times New Roman" w:hAnsi="Times New Roman" w:cs="Times New Roman"/>
                <w:color w:val="0066CC"/>
                <w:sz w:val="16"/>
                <w:szCs w:val="16"/>
                <w:lang w:eastAsia="en-GB"/>
              </w:rPr>
              <w:t> </w:t>
            </w:r>
          </w:p>
        </w:tc>
        <w:tc>
          <w:tcPr>
            <w:tcW w:w="996" w:type="dxa"/>
            <w:tcBorders>
              <w:top w:val="nil"/>
              <w:left w:val="nil"/>
              <w:bottom w:val="nil"/>
              <w:right w:val="nil"/>
            </w:tcBorders>
            <w:shd w:val="clear" w:color="000000" w:fill="FFFFFF"/>
            <w:noWrap/>
            <w:vAlign w:val="bottom"/>
            <w:hideMark/>
          </w:tcPr>
          <w:p w14:paraId="18DFD4AD" w14:textId="77777777" w:rsidR="00E64C37" w:rsidRPr="00580471" w:rsidRDefault="00E64C37" w:rsidP="001C7ACA">
            <w:pPr>
              <w:spacing w:after="0" w:line="240" w:lineRule="auto"/>
              <w:jc w:val="right"/>
              <w:rPr>
                <w:rFonts w:ascii="Times New Roman" w:eastAsia="Times New Roman" w:hAnsi="Times New Roman" w:cs="Times New Roman"/>
                <w:color w:val="0066CC"/>
                <w:sz w:val="16"/>
                <w:szCs w:val="16"/>
                <w:lang w:eastAsia="en-GB"/>
              </w:rPr>
            </w:pPr>
            <w:r w:rsidRPr="00580471">
              <w:rPr>
                <w:rFonts w:ascii="Times New Roman" w:eastAsia="Times New Roman" w:hAnsi="Times New Roman" w:cs="Times New Roman"/>
                <w:color w:val="0066CC"/>
                <w:sz w:val="16"/>
                <w:szCs w:val="16"/>
                <w:lang w:eastAsia="en-GB"/>
              </w:rPr>
              <w:t> </w:t>
            </w:r>
          </w:p>
        </w:tc>
        <w:tc>
          <w:tcPr>
            <w:tcW w:w="1265" w:type="dxa"/>
            <w:tcBorders>
              <w:top w:val="nil"/>
              <w:left w:val="nil"/>
              <w:bottom w:val="nil"/>
              <w:right w:val="nil"/>
            </w:tcBorders>
            <w:shd w:val="clear" w:color="auto" w:fill="auto"/>
            <w:noWrap/>
            <w:vAlign w:val="bottom"/>
            <w:hideMark/>
          </w:tcPr>
          <w:p w14:paraId="5DEEACB7" w14:textId="77777777" w:rsidR="00E64C37" w:rsidRPr="00580471" w:rsidRDefault="00E64C37" w:rsidP="001C7ACA">
            <w:pPr>
              <w:spacing w:after="0" w:line="240" w:lineRule="auto"/>
              <w:jc w:val="right"/>
              <w:rPr>
                <w:rFonts w:ascii="Times New Roman" w:eastAsia="Times New Roman" w:hAnsi="Times New Roman" w:cs="Times New Roman"/>
                <w:color w:val="0066CC"/>
                <w:sz w:val="16"/>
                <w:szCs w:val="16"/>
                <w:lang w:eastAsia="en-GB"/>
              </w:rPr>
            </w:pPr>
          </w:p>
        </w:tc>
      </w:tr>
      <w:tr w:rsidR="00E64C37" w:rsidRPr="00580471" w14:paraId="36304E86" w14:textId="77777777" w:rsidTr="001C7ACA">
        <w:trPr>
          <w:trHeight w:val="269"/>
        </w:trPr>
        <w:tc>
          <w:tcPr>
            <w:tcW w:w="2268" w:type="dxa"/>
            <w:tcBorders>
              <w:top w:val="nil"/>
              <w:left w:val="nil"/>
              <w:bottom w:val="nil"/>
              <w:right w:val="nil"/>
            </w:tcBorders>
            <w:shd w:val="clear" w:color="000000" w:fill="FFFFFF"/>
            <w:noWrap/>
            <w:vAlign w:val="bottom"/>
            <w:hideMark/>
          </w:tcPr>
          <w:p w14:paraId="3D402CCC" w14:textId="77777777" w:rsidR="00E64C37" w:rsidRPr="00580471" w:rsidRDefault="00E64C37" w:rsidP="001C7ACA">
            <w:pPr>
              <w:spacing w:after="0" w:line="240" w:lineRule="auto"/>
              <w:rPr>
                <w:rFonts w:ascii="Times New Roman" w:eastAsia="Times New Roman" w:hAnsi="Times New Roman" w:cs="Times New Roman"/>
                <w:color w:val="0066CC"/>
                <w:sz w:val="16"/>
                <w:szCs w:val="16"/>
                <w:lang w:eastAsia="en-GB"/>
              </w:rPr>
            </w:pPr>
            <w:r w:rsidRPr="00580471">
              <w:rPr>
                <w:rFonts w:ascii="Times New Roman" w:eastAsia="Times New Roman" w:hAnsi="Times New Roman" w:cs="Times New Roman"/>
                <w:color w:val="0066CC"/>
                <w:sz w:val="16"/>
                <w:szCs w:val="16"/>
                <w:lang w:eastAsia="en-GB"/>
              </w:rPr>
              <w:t>10. Social protection</w:t>
            </w:r>
          </w:p>
        </w:tc>
        <w:tc>
          <w:tcPr>
            <w:tcW w:w="461" w:type="dxa"/>
            <w:tcBorders>
              <w:top w:val="nil"/>
              <w:left w:val="nil"/>
              <w:bottom w:val="nil"/>
              <w:right w:val="nil"/>
            </w:tcBorders>
            <w:shd w:val="clear" w:color="000000" w:fill="FFFFFF"/>
            <w:noWrap/>
            <w:vAlign w:val="bottom"/>
            <w:hideMark/>
          </w:tcPr>
          <w:p w14:paraId="62035FEE" w14:textId="77777777" w:rsidR="00E64C37" w:rsidRPr="00580471" w:rsidRDefault="00E64C37" w:rsidP="001C7ACA">
            <w:pPr>
              <w:spacing w:after="0" w:line="240" w:lineRule="auto"/>
              <w:jc w:val="right"/>
              <w:rPr>
                <w:rFonts w:ascii="Times New Roman" w:eastAsia="Times New Roman" w:hAnsi="Times New Roman" w:cs="Times New Roman"/>
                <w:i/>
                <w:iCs/>
                <w:sz w:val="16"/>
                <w:szCs w:val="16"/>
                <w:lang w:eastAsia="en-GB"/>
              </w:rPr>
            </w:pPr>
            <w:r w:rsidRPr="00580471">
              <w:rPr>
                <w:rFonts w:ascii="Times New Roman" w:eastAsia="Times New Roman" w:hAnsi="Times New Roman" w:cs="Times New Roman"/>
                <w:i/>
                <w:iCs/>
                <w:sz w:val="16"/>
                <w:szCs w:val="16"/>
                <w:lang w:eastAsia="en-GB"/>
              </w:rPr>
              <w:t>28,512</w:t>
            </w:r>
          </w:p>
        </w:tc>
        <w:tc>
          <w:tcPr>
            <w:tcW w:w="995" w:type="dxa"/>
            <w:tcBorders>
              <w:top w:val="nil"/>
              <w:left w:val="nil"/>
              <w:bottom w:val="nil"/>
              <w:right w:val="nil"/>
            </w:tcBorders>
            <w:shd w:val="clear" w:color="000000" w:fill="FFFFFF"/>
            <w:noWrap/>
            <w:vAlign w:val="bottom"/>
            <w:hideMark/>
          </w:tcPr>
          <w:p w14:paraId="368414CA" w14:textId="77777777" w:rsidR="00E64C37" w:rsidRPr="00580471" w:rsidRDefault="00E64C37" w:rsidP="001C7ACA">
            <w:pPr>
              <w:spacing w:after="0" w:line="240" w:lineRule="auto"/>
              <w:jc w:val="right"/>
              <w:rPr>
                <w:rFonts w:ascii="Times New Roman" w:eastAsia="Times New Roman" w:hAnsi="Times New Roman" w:cs="Times New Roman"/>
                <w:i/>
                <w:iCs/>
                <w:sz w:val="16"/>
                <w:szCs w:val="16"/>
                <w:lang w:eastAsia="en-GB"/>
              </w:rPr>
            </w:pPr>
            <w:r w:rsidRPr="00580471">
              <w:rPr>
                <w:rFonts w:ascii="Times New Roman" w:eastAsia="Times New Roman" w:hAnsi="Times New Roman" w:cs="Times New Roman"/>
                <w:i/>
                <w:iCs/>
                <w:sz w:val="16"/>
                <w:szCs w:val="16"/>
                <w:lang w:eastAsia="en-GB"/>
              </w:rPr>
              <w:t>28,657</w:t>
            </w:r>
          </w:p>
        </w:tc>
        <w:tc>
          <w:tcPr>
            <w:tcW w:w="995" w:type="dxa"/>
            <w:tcBorders>
              <w:top w:val="nil"/>
              <w:left w:val="nil"/>
              <w:bottom w:val="nil"/>
              <w:right w:val="nil"/>
            </w:tcBorders>
            <w:shd w:val="clear" w:color="000000" w:fill="FFFFFF"/>
            <w:noWrap/>
            <w:vAlign w:val="bottom"/>
            <w:hideMark/>
          </w:tcPr>
          <w:p w14:paraId="041E4F5F" w14:textId="77777777" w:rsidR="00E64C37" w:rsidRPr="00580471" w:rsidRDefault="00E64C37" w:rsidP="001C7ACA">
            <w:pPr>
              <w:spacing w:after="0" w:line="240" w:lineRule="auto"/>
              <w:jc w:val="right"/>
              <w:rPr>
                <w:rFonts w:ascii="Times New Roman" w:eastAsia="Times New Roman" w:hAnsi="Times New Roman" w:cs="Times New Roman"/>
                <w:i/>
                <w:iCs/>
                <w:sz w:val="16"/>
                <w:szCs w:val="16"/>
                <w:lang w:eastAsia="en-GB"/>
              </w:rPr>
            </w:pPr>
            <w:r w:rsidRPr="00580471">
              <w:rPr>
                <w:rFonts w:ascii="Times New Roman" w:eastAsia="Times New Roman" w:hAnsi="Times New Roman" w:cs="Times New Roman"/>
                <w:i/>
                <w:iCs/>
                <w:sz w:val="16"/>
                <w:szCs w:val="16"/>
                <w:lang w:eastAsia="en-GB"/>
              </w:rPr>
              <w:t>30,268</w:t>
            </w:r>
          </w:p>
        </w:tc>
        <w:tc>
          <w:tcPr>
            <w:tcW w:w="995" w:type="dxa"/>
            <w:tcBorders>
              <w:top w:val="nil"/>
              <w:left w:val="nil"/>
              <w:bottom w:val="nil"/>
              <w:right w:val="nil"/>
            </w:tcBorders>
            <w:shd w:val="clear" w:color="000000" w:fill="FFFFFF"/>
            <w:noWrap/>
            <w:vAlign w:val="bottom"/>
            <w:hideMark/>
          </w:tcPr>
          <w:p w14:paraId="19D795A7" w14:textId="77777777" w:rsidR="00E64C37" w:rsidRPr="00580471" w:rsidRDefault="00E64C37" w:rsidP="001C7ACA">
            <w:pPr>
              <w:spacing w:after="0" w:line="240" w:lineRule="auto"/>
              <w:jc w:val="right"/>
              <w:rPr>
                <w:rFonts w:ascii="Times New Roman" w:eastAsia="Times New Roman" w:hAnsi="Times New Roman" w:cs="Times New Roman"/>
                <w:i/>
                <w:iCs/>
                <w:sz w:val="16"/>
                <w:szCs w:val="16"/>
                <w:lang w:eastAsia="en-GB"/>
              </w:rPr>
            </w:pPr>
            <w:r w:rsidRPr="00580471">
              <w:rPr>
                <w:rFonts w:ascii="Times New Roman" w:eastAsia="Times New Roman" w:hAnsi="Times New Roman" w:cs="Times New Roman"/>
                <w:i/>
                <w:iCs/>
                <w:sz w:val="16"/>
                <w:szCs w:val="16"/>
                <w:lang w:eastAsia="en-GB"/>
              </w:rPr>
              <w:t>30,458</w:t>
            </w:r>
          </w:p>
        </w:tc>
        <w:tc>
          <w:tcPr>
            <w:tcW w:w="996" w:type="dxa"/>
            <w:tcBorders>
              <w:top w:val="nil"/>
              <w:left w:val="nil"/>
              <w:bottom w:val="nil"/>
              <w:right w:val="nil"/>
            </w:tcBorders>
            <w:shd w:val="clear" w:color="000000" w:fill="FFFFFF"/>
            <w:noWrap/>
            <w:vAlign w:val="bottom"/>
            <w:hideMark/>
          </w:tcPr>
          <w:p w14:paraId="7E94EC99" w14:textId="77777777" w:rsidR="00E64C37" w:rsidRPr="00580471" w:rsidRDefault="00E64C37" w:rsidP="001C7ACA">
            <w:pPr>
              <w:spacing w:after="0" w:line="240" w:lineRule="auto"/>
              <w:jc w:val="right"/>
              <w:rPr>
                <w:rFonts w:ascii="Times New Roman" w:eastAsia="Times New Roman" w:hAnsi="Times New Roman" w:cs="Times New Roman"/>
                <w:i/>
                <w:iCs/>
                <w:sz w:val="16"/>
                <w:szCs w:val="16"/>
                <w:lang w:eastAsia="en-GB"/>
              </w:rPr>
            </w:pPr>
            <w:r w:rsidRPr="00580471">
              <w:rPr>
                <w:rFonts w:ascii="Times New Roman" w:eastAsia="Times New Roman" w:hAnsi="Times New Roman" w:cs="Times New Roman"/>
                <w:i/>
                <w:iCs/>
                <w:sz w:val="16"/>
                <w:szCs w:val="16"/>
                <w:lang w:eastAsia="en-GB"/>
              </w:rPr>
              <w:t>30,063</w:t>
            </w:r>
          </w:p>
        </w:tc>
        <w:tc>
          <w:tcPr>
            <w:tcW w:w="1265" w:type="dxa"/>
            <w:tcBorders>
              <w:top w:val="nil"/>
              <w:left w:val="nil"/>
              <w:bottom w:val="nil"/>
              <w:right w:val="nil"/>
            </w:tcBorders>
            <w:shd w:val="clear" w:color="auto" w:fill="auto"/>
            <w:noWrap/>
            <w:vAlign w:val="bottom"/>
            <w:hideMark/>
          </w:tcPr>
          <w:p w14:paraId="3245ADFB" w14:textId="77777777" w:rsidR="00E64C37" w:rsidRPr="00580471" w:rsidRDefault="00E64C37" w:rsidP="001C7ACA">
            <w:pPr>
              <w:spacing w:after="0" w:line="240" w:lineRule="auto"/>
              <w:jc w:val="center"/>
              <w:rPr>
                <w:rFonts w:ascii="Times New Roman" w:eastAsia="Times New Roman" w:hAnsi="Times New Roman" w:cs="Times New Roman"/>
                <w:color w:val="000000"/>
                <w:sz w:val="16"/>
                <w:szCs w:val="16"/>
                <w:lang w:eastAsia="en-GB"/>
              </w:rPr>
            </w:pPr>
            <w:r w:rsidRPr="00580471">
              <w:rPr>
                <w:rFonts w:ascii="Times New Roman" w:eastAsia="Times New Roman" w:hAnsi="Times New Roman" w:cs="Times New Roman"/>
                <w:color w:val="000000"/>
                <w:sz w:val="16"/>
                <w:szCs w:val="16"/>
                <w:lang w:eastAsia="en-GB"/>
              </w:rPr>
              <w:t>11.37%</w:t>
            </w:r>
          </w:p>
        </w:tc>
      </w:tr>
      <w:tr w:rsidR="00E64C37" w:rsidRPr="00580471" w14:paraId="332C7739" w14:textId="77777777" w:rsidTr="001C7ACA">
        <w:trPr>
          <w:trHeight w:val="269"/>
        </w:trPr>
        <w:tc>
          <w:tcPr>
            <w:tcW w:w="2268" w:type="dxa"/>
            <w:tcBorders>
              <w:top w:val="nil"/>
              <w:left w:val="nil"/>
              <w:bottom w:val="nil"/>
              <w:right w:val="nil"/>
            </w:tcBorders>
            <w:shd w:val="clear" w:color="auto" w:fill="auto"/>
            <w:vAlign w:val="bottom"/>
            <w:hideMark/>
          </w:tcPr>
          <w:p w14:paraId="76414A6F"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10.1 Sickness and disability</w:t>
            </w:r>
          </w:p>
        </w:tc>
        <w:tc>
          <w:tcPr>
            <w:tcW w:w="461" w:type="dxa"/>
            <w:tcBorders>
              <w:top w:val="nil"/>
              <w:left w:val="nil"/>
              <w:bottom w:val="nil"/>
              <w:right w:val="nil"/>
            </w:tcBorders>
            <w:shd w:val="clear" w:color="000000" w:fill="FFFFFF"/>
            <w:noWrap/>
            <w:vAlign w:val="bottom"/>
            <w:hideMark/>
          </w:tcPr>
          <w:p w14:paraId="41D189C6"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45,301</w:t>
            </w:r>
          </w:p>
        </w:tc>
        <w:tc>
          <w:tcPr>
            <w:tcW w:w="995" w:type="dxa"/>
            <w:tcBorders>
              <w:top w:val="nil"/>
              <w:left w:val="nil"/>
              <w:bottom w:val="nil"/>
              <w:right w:val="nil"/>
            </w:tcBorders>
            <w:shd w:val="clear" w:color="000000" w:fill="FFFFFF"/>
            <w:noWrap/>
            <w:vAlign w:val="bottom"/>
            <w:hideMark/>
          </w:tcPr>
          <w:p w14:paraId="1E9F37BD"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46,887</w:t>
            </w:r>
          </w:p>
        </w:tc>
        <w:tc>
          <w:tcPr>
            <w:tcW w:w="995" w:type="dxa"/>
            <w:tcBorders>
              <w:top w:val="nil"/>
              <w:left w:val="nil"/>
              <w:bottom w:val="nil"/>
              <w:right w:val="nil"/>
            </w:tcBorders>
            <w:shd w:val="clear" w:color="000000" w:fill="FFFFFF"/>
            <w:noWrap/>
            <w:vAlign w:val="bottom"/>
            <w:hideMark/>
          </w:tcPr>
          <w:p w14:paraId="5D2A1A16"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50,155</w:t>
            </w:r>
          </w:p>
        </w:tc>
        <w:tc>
          <w:tcPr>
            <w:tcW w:w="995" w:type="dxa"/>
            <w:tcBorders>
              <w:top w:val="nil"/>
              <w:left w:val="nil"/>
              <w:bottom w:val="nil"/>
              <w:right w:val="nil"/>
            </w:tcBorders>
            <w:shd w:val="clear" w:color="000000" w:fill="FFFFFF"/>
            <w:noWrap/>
            <w:vAlign w:val="bottom"/>
            <w:hideMark/>
          </w:tcPr>
          <w:p w14:paraId="3337A253"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53,281</w:t>
            </w:r>
          </w:p>
        </w:tc>
        <w:tc>
          <w:tcPr>
            <w:tcW w:w="996" w:type="dxa"/>
            <w:tcBorders>
              <w:top w:val="nil"/>
              <w:left w:val="nil"/>
              <w:bottom w:val="nil"/>
              <w:right w:val="nil"/>
            </w:tcBorders>
            <w:shd w:val="clear" w:color="000000" w:fill="FFFFFF"/>
            <w:noWrap/>
            <w:vAlign w:val="bottom"/>
            <w:hideMark/>
          </w:tcPr>
          <w:p w14:paraId="785B05F1"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53,275</w:t>
            </w:r>
          </w:p>
        </w:tc>
        <w:tc>
          <w:tcPr>
            <w:tcW w:w="1265" w:type="dxa"/>
            <w:tcBorders>
              <w:top w:val="nil"/>
              <w:left w:val="nil"/>
              <w:bottom w:val="nil"/>
              <w:right w:val="nil"/>
            </w:tcBorders>
            <w:shd w:val="clear" w:color="auto" w:fill="auto"/>
            <w:noWrap/>
            <w:vAlign w:val="bottom"/>
            <w:hideMark/>
          </w:tcPr>
          <w:p w14:paraId="56FFECCE" w14:textId="77777777" w:rsidR="00E64C37" w:rsidRPr="00580471" w:rsidRDefault="00E64C37" w:rsidP="001C7ACA">
            <w:pPr>
              <w:spacing w:after="0" w:line="240" w:lineRule="auto"/>
              <w:jc w:val="center"/>
              <w:rPr>
                <w:rFonts w:ascii="Times New Roman" w:eastAsia="Times New Roman" w:hAnsi="Times New Roman" w:cs="Times New Roman"/>
                <w:color w:val="000000"/>
                <w:sz w:val="16"/>
                <w:szCs w:val="16"/>
                <w:lang w:eastAsia="en-GB"/>
              </w:rPr>
            </w:pPr>
            <w:r w:rsidRPr="00580471">
              <w:rPr>
                <w:rFonts w:ascii="Times New Roman" w:eastAsia="Times New Roman" w:hAnsi="Times New Roman" w:cs="Times New Roman"/>
                <w:color w:val="000000"/>
                <w:sz w:val="16"/>
                <w:szCs w:val="16"/>
                <w:lang w:eastAsia="en-GB"/>
              </w:rPr>
              <w:t>20.16%</w:t>
            </w:r>
          </w:p>
        </w:tc>
      </w:tr>
      <w:tr w:rsidR="00E64C37" w:rsidRPr="00580471" w14:paraId="5EEDA25A" w14:textId="77777777" w:rsidTr="001C7ACA">
        <w:trPr>
          <w:trHeight w:val="269"/>
        </w:trPr>
        <w:tc>
          <w:tcPr>
            <w:tcW w:w="2268" w:type="dxa"/>
            <w:tcBorders>
              <w:top w:val="nil"/>
              <w:left w:val="nil"/>
              <w:bottom w:val="nil"/>
              <w:right w:val="nil"/>
            </w:tcBorders>
            <w:shd w:val="clear" w:color="auto" w:fill="auto"/>
            <w:vAlign w:val="bottom"/>
            <w:hideMark/>
          </w:tcPr>
          <w:p w14:paraId="4BE69E1F"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10.2 Old age</w:t>
            </w:r>
          </w:p>
        </w:tc>
        <w:tc>
          <w:tcPr>
            <w:tcW w:w="461" w:type="dxa"/>
            <w:tcBorders>
              <w:top w:val="nil"/>
              <w:left w:val="nil"/>
              <w:bottom w:val="nil"/>
              <w:right w:val="nil"/>
            </w:tcBorders>
            <w:shd w:val="clear" w:color="000000" w:fill="FFFFFF"/>
            <w:noWrap/>
            <w:vAlign w:val="bottom"/>
            <w:hideMark/>
          </w:tcPr>
          <w:p w14:paraId="694CF1FC"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112,308</w:t>
            </w:r>
          </w:p>
        </w:tc>
        <w:tc>
          <w:tcPr>
            <w:tcW w:w="995" w:type="dxa"/>
            <w:tcBorders>
              <w:top w:val="nil"/>
              <w:left w:val="nil"/>
              <w:bottom w:val="nil"/>
              <w:right w:val="nil"/>
            </w:tcBorders>
            <w:shd w:val="clear" w:color="000000" w:fill="FFFFFF"/>
            <w:noWrap/>
            <w:vAlign w:val="bottom"/>
            <w:hideMark/>
          </w:tcPr>
          <w:p w14:paraId="47EC51DF"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114,454</w:t>
            </w:r>
          </w:p>
        </w:tc>
        <w:tc>
          <w:tcPr>
            <w:tcW w:w="995" w:type="dxa"/>
            <w:tcBorders>
              <w:top w:val="nil"/>
              <w:left w:val="nil"/>
              <w:bottom w:val="nil"/>
              <w:right w:val="nil"/>
            </w:tcBorders>
            <w:shd w:val="clear" w:color="000000" w:fill="FFFFFF"/>
            <w:noWrap/>
            <w:vAlign w:val="bottom"/>
            <w:hideMark/>
          </w:tcPr>
          <w:p w14:paraId="500DC57B"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118,569</w:t>
            </w:r>
          </w:p>
        </w:tc>
        <w:tc>
          <w:tcPr>
            <w:tcW w:w="995" w:type="dxa"/>
            <w:tcBorders>
              <w:top w:val="nil"/>
              <w:left w:val="nil"/>
              <w:bottom w:val="nil"/>
              <w:right w:val="nil"/>
            </w:tcBorders>
            <w:shd w:val="clear" w:color="000000" w:fill="FFFFFF"/>
            <w:noWrap/>
            <w:vAlign w:val="bottom"/>
            <w:hideMark/>
          </w:tcPr>
          <w:p w14:paraId="3B5DE7FC"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120,096</w:t>
            </w:r>
          </w:p>
        </w:tc>
        <w:tc>
          <w:tcPr>
            <w:tcW w:w="996" w:type="dxa"/>
            <w:tcBorders>
              <w:top w:val="nil"/>
              <w:left w:val="nil"/>
              <w:bottom w:val="nil"/>
              <w:right w:val="nil"/>
            </w:tcBorders>
            <w:shd w:val="clear" w:color="000000" w:fill="FFFFFF"/>
            <w:noWrap/>
            <w:vAlign w:val="bottom"/>
            <w:hideMark/>
          </w:tcPr>
          <w:p w14:paraId="1C998265"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121,577</w:t>
            </w:r>
          </w:p>
        </w:tc>
        <w:tc>
          <w:tcPr>
            <w:tcW w:w="1265" w:type="dxa"/>
            <w:tcBorders>
              <w:top w:val="nil"/>
              <w:left w:val="nil"/>
              <w:bottom w:val="nil"/>
              <w:right w:val="nil"/>
            </w:tcBorders>
            <w:shd w:val="clear" w:color="auto" w:fill="auto"/>
            <w:noWrap/>
            <w:vAlign w:val="bottom"/>
            <w:hideMark/>
          </w:tcPr>
          <w:p w14:paraId="482C19FC" w14:textId="77777777" w:rsidR="00E64C37" w:rsidRPr="00580471" w:rsidRDefault="00E64C37" w:rsidP="001C7ACA">
            <w:pPr>
              <w:spacing w:after="0" w:line="240" w:lineRule="auto"/>
              <w:jc w:val="center"/>
              <w:rPr>
                <w:rFonts w:ascii="Times New Roman" w:eastAsia="Times New Roman" w:hAnsi="Times New Roman" w:cs="Times New Roman"/>
                <w:color w:val="000000"/>
                <w:sz w:val="16"/>
                <w:szCs w:val="16"/>
                <w:lang w:eastAsia="en-GB"/>
              </w:rPr>
            </w:pPr>
            <w:r w:rsidRPr="00580471">
              <w:rPr>
                <w:rFonts w:ascii="Times New Roman" w:eastAsia="Times New Roman" w:hAnsi="Times New Roman" w:cs="Times New Roman"/>
                <w:color w:val="000000"/>
                <w:sz w:val="16"/>
                <w:szCs w:val="16"/>
                <w:lang w:eastAsia="en-GB"/>
              </w:rPr>
              <w:t>46.00%</w:t>
            </w:r>
          </w:p>
        </w:tc>
      </w:tr>
      <w:tr w:rsidR="00E64C37" w:rsidRPr="00580471" w14:paraId="53CE63F3" w14:textId="77777777" w:rsidTr="001C7ACA">
        <w:trPr>
          <w:trHeight w:val="269"/>
        </w:trPr>
        <w:tc>
          <w:tcPr>
            <w:tcW w:w="2268" w:type="dxa"/>
            <w:tcBorders>
              <w:top w:val="nil"/>
              <w:left w:val="nil"/>
              <w:bottom w:val="nil"/>
              <w:right w:val="nil"/>
            </w:tcBorders>
            <w:shd w:val="clear" w:color="auto" w:fill="auto"/>
            <w:vAlign w:val="bottom"/>
            <w:hideMark/>
          </w:tcPr>
          <w:p w14:paraId="5D7A2D50"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10.3 Survivors</w:t>
            </w:r>
          </w:p>
        </w:tc>
        <w:tc>
          <w:tcPr>
            <w:tcW w:w="461" w:type="dxa"/>
            <w:tcBorders>
              <w:top w:val="nil"/>
              <w:left w:val="nil"/>
              <w:bottom w:val="nil"/>
              <w:right w:val="nil"/>
            </w:tcBorders>
            <w:shd w:val="clear" w:color="000000" w:fill="FFFFFF"/>
            <w:noWrap/>
            <w:vAlign w:val="bottom"/>
            <w:hideMark/>
          </w:tcPr>
          <w:p w14:paraId="33292F01"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792</w:t>
            </w:r>
          </w:p>
        </w:tc>
        <w:tc>
          <w:tcPr>
            <w:tcW w:w="995" w:type="dxa"/>
            <w:tcBorders>
              <w:top w:val="nil"/>
              <w:left w:val="nil"/>
              <w:bottom w:val="nil"/>
              <w:right w:val="nil"/>
            </w:tcBorders>
            <w:shd w:val="clear" w:color="000000" w:fill="FFFFFF"/>
            <w:noWrap/>
            <w:vAlign w:val="bottom"/>
            <w:hideMark/>
          </w:tcPr>
          <w:p w14:paraId="4DFD0424"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1,135</w:t>
            </w:r>
          </w:p>
        </w:tc>
        <w:tc>
          <w:tcPr>
            <w:tcW w:w="995" w:type="dxa"/>
            <w:tcBorders>
              <w:top w:val="nil"/>
              <w:left w:val="nil"/>
              <w:bottom w:val="nil"/>
              <w:right w:val="nil"/>
            </w:tcBorders>
            <w:shd w:val="clear" w:color="000000" w:fill="FFFFFF"/>
            <w:noWrap/>
            <w:vAlign w:val="bottom"/>
            <w:hideMark/>
          </w:tcPr>
          <w:p w14:paraId="7E94BD8E"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1,153</w:t>
            </w:r>
          </w:p>
        </w:tc>
        <w:tc>
          <w:tcPr>
            <w:tcW w:w="995" w:type="dxa"/>
            <w:tcBorders>
              <w:top w:val="nil"/>
              <w:left w:val="nil"/>
              <w:bottom w:val="nil"/>
              <w:right w:val="nil"/>
            </w:tcBorders>
            <w:shd w:val="clear" w:color="auto" w:fill="auto"/>
            <w:vAlign w:val="bottom"/>
            <w:hideMark/>
          </w:tcPr>
          <w:p w14:paraId="2B38E0AE"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1,167</w:t>
            </w:r>
          </w:p>
        </w:tc>
        <w:tc>
          <w:tcPr>
            <w:tcW w:w="996" w:type="dxa"/>
            <w:tcBorders>
              <w:top w:val="nil"/>
              <w:left w:val="nil"/>
              <w:bottom w:val="nil"/>
              <w:right w:val="nil"/>
            </w:tcBorders>
            <w:shd w:val="clear" w:color="auto" w:fill="auto"/>
            <w:vAlign w:val="bottom"/>
            <w:hideMark/>
          </w:tcPr>
          <w:p w14:paraId="401042DC"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1,160</w:t>
            </w:r>
          </w:p>
        </w:tc>
        <w:tc>
          <w:tcPr>
            <w:tcW w:w="1265" w:type="dxa"/>
            <w:tcBorders>
              <w:top w:val="nil"/>
              <w:left w:val="nil"/>
              <w:bottom w:val="nil"/>
              <w:right w:val="nil"/>
            </w:tcBorders>
            <w:shd w:val="clear" w:color="auto" w:fill="auto"/>
            <w:noWrap/>
            <w:vAlign w:val="bottom"/>
            <w:hideMark/>
          </w:tcPr>
          <w:p w14:paraId="4AE1CEFC" w14:textId="77777777" w:rsidR="00E64C37" w:rsidRPr="00580471" w:rsidRDefault="00E64C37" w:rsidP="001C7ACA">
            <w:pPr>
              <w:spacing w:after="0" w:line="240" w:lineRule="auto"/>
              <w:jc w:val="center"/>
              <w:rPr>
                <w:rFonts w:ascii="Times New Roman" w:eastAsia="Times New Roman" w:hAnsi="Times New Roman" w:cs="Times New Roman"/>
                <w:color w:val="000000"/>
                <w:sz w:val="16"/>
                <w:szCs w:val="16"/>
                <w:lang w:eastAsia="en-GB"/>
              </w:rPr>
            </w:pPr>
            <w:r w:rsidRPr="00580471">
              <w:rPr>
                <w:rFonts w:ascii="Times New Roman" w:eastAsia="Times New Roman" w:hAnsi="Times New Roman" w:cs="Times New Roman"/>
                <w:color w:val="000000"/>
                <w:sz w:val="16"/>
                <w:szCs w:val="16"/>
                <w:lang w:eastAsia="en-GB"/>
              </w:rPr>
              <w:t>0.44%</w:t>
            </w:r>
          </w:p>
        </w:tc>
      </w:tr>
      <w:tr w:rsidR="00E64C37" w:rsidRPr="00580471" w14:paraId="53E6F355" w14:textId="77777777" w:rsidTr="001C7ACA">
        <w:trPr>
          <w:trHeight w:val="269"/>
        </w:trPr>
        <w:tc>
          <w:tcPr>
            <w:tcW w:w="2268" w:type="dxa"/>
            <w:tcBorders>
              <w:top w:val="nil"/>
              <w:left w:val="nil"/>
              <w:bottom w:val="nil"/>
              <w:right w:val="nil"/>
            </w:tcBorders>
            <w:shd w:val="clear" w:color="auto" w:fill="auto"/>
            <w:vAlign w:val="bottom"/>
            <w:hideMark/>
          </w:tcPr>
          <w:p w14:paraId="2FDD4947"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proofErr w:type="gramStart"/>
            <w:r w:rsidRPr="00580471">
              <w:rPr>
                <w:rFonts w:ascii="Times New Roman" w:eastAsia="Times New Roman" w:hAnsi="Times New Roman" w:cs="Times New Roman"/>
                <w:sz w:val="16"/>
                <w:szCs w:val="16"/>
                <w:lang w:eastAsia="en-GB"/>
              </w:rPr>
              <w:t>10.4  Family</w:t>
            </w:r>
            <w:proofErr w:type="gramEnd"/>
            <w:r w:rsidRPr="00580471">
              <w:rPr>
                <w:rFonts w:ascii="Times New Roman" w:eastAsia="Times New Roman" w:hAnsi="Times New Roman" w:cs="Times New Roman"/>
                <w:sz w:val="16"/>
                <w:szCs w:val="16"/>
                <w:lang w:eastAsia="en-GB"/>
              </w:rPr>
              <w:t xml:space="preserve"> and children</w:t>
            </w:r>
          </w:p>
        </w:tc>
        <w:tc>
          <w:tcPr>
            <w:tcW w:w="461" w:type="dxa"/>
            <w:tcBorders>
              <w:top w:val="nil"/>
              <w:left w:val="nil"/>
              <w:bottom w:val="nil"/>
              <w:right w:val="nil"/>
            </w:tcBorders>
            <w:shd w:val="clear" w:color="000000" w:fill="FFFFFF"/>
            <w:noWrap/>
            <w:vAlign w:val="bottom"/>
            <w:hideMark/>
          </w:tcPr>
          <w:p w14:paraId="57510720"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26,566</w:t>
            </w:r>
          </w:p>
        </w:tc>
        <w:tc>
          <w:tcPr>
            <w:tcW w:w="995" w:type="dxa"/>
            <w:tcBorders>
              <w:top w:val="nil"/>
              <w:left w:val="nil"/>
              <w:bottom w:val="nil"/>
              <w:right w:val="nil"/>
            </w:tcBorders>
            <w:shd w:val="clear" w:color="000000" w:fill="FFFFFF"/>
            <w:noWrap/>
            <w:vAlign w:val="bottom"/>
            <w:hideMark/>
          </w:tcPr>
          <w:p w14:paraId="5A8B4AC3"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24,631</w:t>
            </w:r>
          </w:p>
        </w:tc>
        <w:tc>
          <w:tcPr>
            <w:tcW w:w="995" w:type="dxa"/>
            <w:tcBorders>
              <w:top w:val="nil"/>
              <w:left w:val="nil"/>
              <w:bottom w:val="nil"/>
              <w:right w:val="nil"/>
            </w:tcBorders>
            <w:shd w:val="clear" w:color="000000" w:fill="FFFFFF"/>
            <w:noWrap/>
            <w:vAlign w:val="bottom"/>
            <w:hideMark/>
          </w:tcPr>
          <w:p w14:paraId="2CC00983"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25,250</w:t>
            </w:r>
          </w:p>
        </w:tc>
        <w:tc>
          <w:tcPr>
            <w:tcW w:w="995" w:type="dxa"/>
            <w:tcBorders>
              <w:top w:val="nil"/>
              <w:left w:val="nil"/>
              <w:bottom w:val="nil"/>
              <w:right w:val="nil"/>
            </w:tcBorders>
            <w:shd w:val="clear" w:color="000000" w:fill="FFFFFF"/>
            <w:noWrap/>
            <w:vAlign w:val="bottom"/>
            <w:hideMark/>
          </w:tcPr>
          <w:p w14:paraId="5E39A4EE"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25,340</w:t>
            </w:r>
          </w:p>
        </w:tc>
        <w:tc>
          <w:tcPr>
            <w:tcW w:w="996" w:type="dxa"/>
            <w:tcBorders>
              <w:top w:val="nil"/>
              <w:left w:val="nil"/>
              <w:bottom w:val="nil"/>
              <w:right w:val="nil"/>
            </w:tcBorders>
            <w:shd w:val="clear" w:color="000000" w:fill="FFFFFF"/>
            <w:noWrap/>
            <w:vAlign w:val="bottom"/>
            <w:hideMark/>
          </w:tcPr>
          <w:p w14:paraId="64791D18"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24,385</w:t>
            </w:r>
          </w:p>
        </w:tc>
        <w:tc>
          <w:tcPr>
            <w:tcW w:w="1265" w:type="dxa"/>
            <w:tcBorders>
              <w:top w:val="nil"/>
              <w:left w:val="nil"/>
              <w:bottom w:val="nil"/>
              <w:right w:val="nil"/>
            </w:tcBorders>
            <w:shd w:val="clear" w:color="auto" w:fill="auto"/>
            <w:noWrap/>
            <w:vAlign w:val="bottom"/>
            <w:hideMark/>
          </w:tcPr>
          <w:p w14:paraId="155E0B5F" w14:textId="77777777" w:rsidR="00E64C37" w:rsidRPr="00580471" w:rsidRDefault="00E64C37" w:rsidP="001C7ACA">
            <w:pPr>
              <w:spacing w:after="0" w:line="240" w:lineRule="auto"/>
              <w:jc w:val="center"/>
              <w:rPr>
                <w:rFonts w:ascii="Times New Roman" w:eastAsia="Times New Roman" w:hAnsi="Times New Roman" w:cs="Times New Roman"/>
                <w:color w:val="000000"/>
                <w:sz w:val="16"/>
                <w:szCs w:val="16"/>
                <w:lang w:eastAsia="en-GB"/>
              </w:rPr>
            </w:pPr>
            <w:r w:rsidRPr="00580471">
              <w:rPr>
                <w:rFonts w:ascii="Times New Roman" w:eastAsia="Times New Roman" w:hAnsi="Times New Roman" w:cs="Times New Roman"/>
                <w:color w:val="000000"/>
                <w:sz w:val="16"/>
                <w:szCs w:val="16"/>
                <w:lang w:eastAsia="en-GB"/>
              </w:rPr>
              <w:t>9.23%</w:t>
            </w:r>
          </w:p>
        </w:tc>
      </w:tr>
      <w:tr w:rsidR="00E64C37" w:rsidRPr="00580471" w14:paraId="5A7B98C0" w14:textId="77777777" w:rsidTr="001C7ACA">
        <w:trPr>
          <w:trHeight w:val="269"/>
        </w:trPr>
        <w:tc>
          <w:tcPr>
            <w:tcW w:w="2268" w:type="dxa"/>
            <w:tcBorders>
              <w:top w:val="nil"/>
              <w:left w:val="nil"/>
              <w:bottom w:val="nil"/>
              <w:right w:val="nil"/>
            </w:tcBorders>
            <w:shd w:val="clear" w:color="auto" w:fill="auto"/>
            <w:vAlign w:val="bottom"/>
            <w:hideMark/>
          </w:tcPr>
          <w:p w14:paraId="5E11EA14"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10.5 Unemployment</w:t>
            </w:r>
          </w:p>
        </w:tc>
        <w:tc>
          <w:tcPr>
            <w:tcW w:w="461" w:type="dxa"/>
            <w:tcBorders>
              <w:top w:val="nil"/>
              <w:left w:val="nil"/>
              <w:bottom w:val="nil"/>
              <w:right w:val="nil"/>
            </w:tcBorders>
            <w:shd w:val="clear" w:color="000000" w:fill="FFFFFF"/>
            <w:noWrap/>
            <w:vAlign w:val="bottom"/>
            <w:hideMark/>
          </w:tcPr>
          <w:p w14:paraId="704DF82D"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5,939</w:t>
            </w:r>
          </w:p>
        </w:tc>
        <w:tc>
          <w:tcPr>
            <w:tcW w:w="995" w:type="dxa"/>
            <w:tcBorders>
              <w:top w:val="nil"/>
              <w:left w:val="nil"/>
              <w:bottom w:val="nil"/>
              <w:right w:val="nil"/>
            </w:tcBorders>
            <w:shd w:val="clear" w:color="000000" w:fill="FFFFFF"/>
            <w:noWrap/>
            <w:vAlign w:val="bottom"/>
            <w:hideMark/>
          </w:tcPr>
          <w:p w14:paraId="7A36BA4C"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4,945</w:t>
            </w:r>
          </w:p>
        </w:tc>
        <w:tc>
          <w:tcPr>
            <w:tcW w:w="995" w:type="dxa"/>
            <w:tcBorders>
              <w:top w:val="nil"/>
              <w:left w:val="nil"/>
              <w:bottom w:val="nil"/>
              <w:right w:val="nil"/>
            </w:tcBorders>
            <w:shd w:val="clear" w:color="000000" w:fill="FFFFFF"/>
            <w:noWrap/>
            <w:vAlign w:val="bottom"/>
            <w:hideMark/>
          </w:tcPr>
          <w:p w14:paraId="209601CD"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3,473</w:t>
            </w:r>
          </w:p>
        </w:tc>
        <w:tc>
          <w:tcPr>
            <w:tcW w:w="995" w:type="dxa"/>
            <w:tcBorders>
              <w:top w:val="nil"/>
              <w:left w:val="nil"/>
              <w:bottom w:val="nil"/>
              <w:right w:val="nil"/>
            </w:tcBorders>
            <w:shd w:val="clear" w:color="000000" w:fill="FFFFFF"/>
            <w:noWrap/>
            <w:vAlign w:val="bottom"/>
            <w:hideMark/>
          </w:tcPr>
          <w:p w14:paraId="35CFE99E"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2,698</w:t>
            </w:r>
          </w:p>
        </w:tc>
        <w:tc>
          <w:tcPr>
            <w:tcW w:w="996" w:type="dxa"/>
            <w:tcBorders>
              <w:top w:val="nil"/>
              <w:left w:val="nil"/>
              <w:bottom w:val="nil"/>
              <w:right w:val="nil"/>
            </w:tcBorders>
            <w:shd w:val="clear" w:color="000000" w:fill="FFFFFF"/>
            <w:noWrap/>
            <w:vAlign w:val="bottom"/>
            <w:hideMark/>
          </w:tcPr>
          <w:p w14:paraId="04422B91"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2,227</w:t>
            </w:r>
          </w:p>
        </w:tc>
        <w:tc>
          <w:tcPr>
            <w:tcW w:w="1265" w:type="dxa"/>
            <w:tcBorders>
              <w:top w:val="nil"/>
              <w:left w:val="nil"/>
              <w:bottom w:val="nil"/>
              <w:right w:val="nil"/>
            </w:tcBorders>
            <w:shd w:val="clear" w:color="auto" w:fill="auto"/>
            <w:noWrap/>
            <w:vAlign w:val="bottom"/>
            <w:hideMark/>
          </w:tcPr>
          <w:p w14:paraId="798E12FE" w14:textId="77777777" w:rsidR="00E64C37" w:rsidRPr="00580471" w:rsidRDefault="00E64C37" w:rsidP="001C7ACA">
            <w:pPr>
              <w:spacing w:after="0" w:line="240" w:lineRule="auto"/>
              <w:jc w:val="center"/>
              <w:rPr>
                <w:rFonts w:ascii="Times New Roman" w:eastAsia="Times New Roman" w:hAnsi="Times New Roman" w:cs="Times New Roman"/>
                <w:color w:val="000000"/>
                <w:sz w:val="16"/>
                <w:szCs w:val="16"/>
                <w:lang w:eastAsia="en-GB"/>
              </w:rPr>
            </w:pPr>
            <w:r w:rsidRPr="00580471">
              <w:rPr>
                <w:rFonts w:ascii="Times New Roman" w:eastAsia="Times New Roman" w:hAnsi="Times New Roman" w:cs="Times New Roman"/>
                <w:color w:val="000000"/>
                <w:sz w:val="16"/>
                <w:szCs w:val="16"/>
                <w:lang w:eastAsia="en-GB"/>
              </w:rPr>
              <w:t>0.84%</w:t>
            </w:r>
          </w:p>
        </w:tc>
      </w:tr>
      <w:tr w:rsidR="00E64C37" w:rsidRPr="00580471" w14:paraId="6A2F35CC" w14:textId="77777777" w:rsidTr="001C7ACA">
        <w:trPr>
          <w:trHeight w:val="269"/>
        </w:trPr>
        <w:tc>
          <w:tcPr>
            <w:tcW w:w="2268" w:type="dxa"/>
            <w:tcBorders>
              <w:top w:val="nil"/>
              <w:left w:val="nil"/>
              <w:bottom w:val="nil"/>
              <w:right w:val="nil"/>
            </w:tcBorders>
            <w:shd w:val="clear" w:color="auto" w:fill="auto"/>
            <w:vAlign w:val="bottom"/>
            <w:hideMark/>
          </w:tcPr>
          <w:p w14:paraId="529FEEF7"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10.6 Housing</w:t>
            </w:r>
          </w:p>
        </w:tc>
        <w:tc>
          <w:tcPr>
            <w:tcW w:w="461" w:type="dxa"/>
            <w:tcBorders>
              <w:top w:val="nil"/>
              <w:left w:val="nil"/>
              <w:bottom w:val="nil"/>
              <w:right w:val="nil"/>
            </w:tcBorders>
            <w:shd w:val="clear" w:color="000000" w:fill="FFFFFF"/>
            <w:noWrap/>
            <w:vAlign w:val="bottom"/>
            <w:hideMark/>
          </w:tcPr>
          <w:p w14:paraId="5C9F652D"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26,361</w:t>
            </w:r>
          </w:p>
        </w:tc>
        <w:tc>
          <w:tcPr>
            <w:tcW w:w="995" w:type="dxa"/>
            <w:tcBorders>
              <w:top w:val="nil"/>
              <w:left w:val="nil"/>
              <w:bottom w:val="nil"/>
              <w:right w:val="nil"/>
            </w:tcBorders>
            <w:shd w:val="clear" w:color="000000" w:fill="FFFFFF"/>
            <w:noWrap/>
            <w:vAlign w:val="bottom"/>
            <w:hideMark/>
          </w:tcPr>
          <w:p w14:paraId="69F95B51"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26,424</w:t>
            </w:r>
          </w:p>
        </w:tc>
        <w:tc>
          <w:tcPr>
            <w:tcW w:w="995" w:type="dxa"/>
            <w:tcBorders>
              <w:top w:val="nil"/>
              <w:left w:val="nil"/>
              <w:bottom w:val="nil"/>
              <w:right w:val="nil"/>
            </w:tcBorders>
            <w:shd w:val="clear" w:color="000000" w:fill="FFFFFF"/>
            <w:noWrap/>
            <w:vAlign w:val="bottom"/>
            <w:hideMark/>
          </w:tcPr>
          <w:p w14:paraId="1E3128D1"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26,421</w:t>
            </w:r>
          </w:p>
        </w:tc>
        <w:tc>
          <w:tcPr>
            <w:tcW w:w="995" w:type="dxa"/>
            <w:tcBorders>
              <w:top w:val="nil"/>
              <w:left w:val="nil"/>
              <w:bottom w:val="nil"/>
              <w:right w:val="nil"/>
            </w:tcBorders>
            <w:shd w:val="clear" w:color="auto" w:fill="auto"/>
            <w:vAlign w:val="bottom"/>
            <w:hideMark/>
          </w:tcPr>
          <w:p w14:paraId="5EF78D1A"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26,202</w:t>
            </w:r>
          </w:p>
        </w:tc>
        <w:tc>
          <w:tcPr>
            <w:tcW w:w="996" w:type="dxa"/>
            <w:tcBorders>
              <w:top w:val="nil"/>
              <w:left w:val="nil"/>
              <w:bottom w:val="nil"/>
              <w:right w:val="nil"/>
            </w:tcBorders>
            <w:shd w:val="clear" w:color="auto" w:fill="auto"/>
            <w:vAlign w:val="bottom"/>
            <w:hideMark/>
          </w:tcPr>
          <w:p w14:paraId="59ECFA9B"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25,390</w:t>
            </w:r>
          </w:p>
        </w:tc>
        <w:tc>
          <w:tcPr>
            <w:tcW w:w="1265" w:type="dxa"/>
            <w:tcBorders>
              <w:top w:val="nil"/>
              <w:left w:val="nil"/>
              <w:bottom w:val="nil"/>
              <w:right w:val="nil"/>
            </w:tcBorders>
            <w:shd w:val="clear" w:color="auto" w:fill="auto"/>
            <w:noWrap/>
            <w:vAlign w:val="bottom"/>
            <w:hideMark/>
          </w:tcPr>
          <w:p w14:paraId="7356F62E" w14:textId="77777777" w:rsidR="00E64C37" w:rsidRPr="00580471" w:rsidRDefault="00E64C37" w:rsidP="001C7ACA">
            <w:pPr>
              <w:spacing w:after="0" w:line="240" w:lineRule="auto"/>
              <w:jc w:val="center"/>
              <w:rPr>
                <w:rFonts w:ascii="Times New Roman" w:eastAsia="Times New Roman" w:hAnsi="Times New Roman" w:cs="Times New Roman"/>
                <w:color w:val="000000"/>
                <w:sz w:val="16"/>
                <w:szCs w:val="16"/>
                <w:lang w:eastAsia="en-GB"/>
              </w:rPr>
            </w:pPr>
            <w:r w:rsidRPr="00580471">
              <w:rPr>
                <w:rFonts w:ascii="Times New Roman" w:eastAsia="Times New Roman" w:hAnsi="Times New Roman" w:cs="Times New Roman"/>
                <w:color w:val="000000"/>
                <w:sz w:val="16"/>
                <w:szCs w:val="16"/>
                <w:lang w:eastAsia="en-GB"/>
              </w:rPr>
              <w:t>9.61%</w:t>
            </w:r>
          </w:p>
        </w:tc>
      </w:tr>
      <w:tr w:rsidR="00E64C37" w:rsidRPr="00580471" w14:paraId="081232F9" w14:textId="77777777" w:rsidTr="001C7ACA">
        <w:trPr>
          <w:trHeight w:val="269"/>
        </w:trPr>
        <w:tc>
          <w:tcPr>
            <w:tcW w:w="2268" w:type="dxa"/>
            <w:tcBorders>
              <w:top w:val="nil"/>
              <w:left w:val="nil"/>
              <w:bottom w:val="nil"/>
              <w:right w:val="nil"/>
            </w:tcBorders>
            <w:shd w:val="clear" w:color="auto" w:fill="auto"/>
            <w:vAlign w:val="bottom"/>
            <w:hideMark/>
          </w:tcPr>
          <w:p w14:paraId="302FD350"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 xml:space="preserve">10.7 Social exclusion </w:t>
            </w:r>
            <w:proofErr w:type="spellStart"/>
            <w:r w:rsidRPr="00580471">
              <w:rPr>
                <w:rFonts w:ascii="Times New Roman" w:eastAsia="Times New Roman" w:hAnsi="Times New Roman" w:cs="Times New Roman"/>
                <w:sz w:val="16"/>
                <w:szCs w:val="16"/>
                <w:lang w:eastAsia="en-GB"/>
              </w:rPr>
              <w:t>n.e.c</w:t>
            </w:r>
            <w:proofErr w:type="spellEnd"/>
            <w:r w:rsidRPr="00580471">
              <w:rPr>
                <w:rFonts w:ascii="Times New Roman" w:eastAsia="Times New Roman" w:hAnsi="Times New Roman" w:cs="Times New Roman"/>
                <w:sz w:val="16"/>
                <w:szCs w:val="16"/>
                <w:lang w:eastAsia="en-GB"/>
              </w:rPr>
              <w:t>.</w:t>
            </w:r>
            <w:r w:rsidRPr="00580471">
              <w:rPr>
                <w:rFonts w:ascii="Times New Roman" w:eastAsia="Times New Roman" w:hAnsi="Times New Roman" w:cs="Times New Roman"/>
                <w:sz w:val="16"/>
                <w:szCs w:val="16"/>
                <w:vertAlign w:val="superscript"/>
                <w:lang w:eastAsia="en-GB"/>
              </w:rPr>
              <w:t xml:space="preserve"> (10)</w:t>
            </w:r>
          </w:p>
        </w:tc>
        <w:tc>
          <w:tcPr>
            <w:tcW w:w="461" w:type="dxa"/>
            <w:tcBorders>
              <w:top w:val="nil"/>
              <w:left w:val="nil"/>
              <w:bottom w:val="nil"/>
              <w:right w:val="nil"/>
            </w:tcBorders>
            <w:shd w:val="clear" w:color="000000" w:fill="FFFFFF"/>
            <w:noWrap/>
            <w:vAlign w:val="bottom"/>
            <w:hideMark/>
          </w:tcPr>
          <w:p w14:paraId="35CA75BC"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32,373</w:t>
            </w:r>
          </w:p>
        </w:tc>
        <w:tc>
          <w:tcPr>
            <w:tcW w:w="995" w:type="dxa"/>
            <w:tcBorders>
              <w:top w:val="nil"/>
              <w:left w:val="nil"/>
              <w:bottom w:val="nil"/>
              <w:right w:val="nil"/>
            </w:tcBorders>
            <w:shd w:val="clear" w:color="000000" w:fill="FFFFFF"/>
            <w:noWrap/>
            <w:vAlign w:val="bottom"/>
            <w:hideMark/>
          </w:tcPr>
          <w:p w14:paraId="331386B0"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31,916</w:t>
            </w:r>
          </w:p>
        </w:tc>
        <w:tc>
          <w:tcPr>
            <w:tcW w:w="995" w:type="dxa"/>
            <w:tcBorders>
              <w:top w:val="nil"/>
              <w:left w:val="nil"/>
              <w:bottom w:val="nil"/>
              <w:right w:val="nil"/>
            </w:tcBorders>
            <w:shd w:val="clear" w:color="000000" w:fill="FFFFFF"/>
            <w:noWrap/>
            <w:vAlign w:val="bottom"/>
            <w:hideMark/>
          </w:tcPr>
          <w:p w14:paraId="0F22DC2A"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32,086</w:t>
            </w:r>
          </w:p>
        </w:tc>
        <w:tc>
          <w:tcPr>
            <w:tcW w:w="995" w:type="dxa"/>
            <w:tcBorders>
              <w:top w:val="nil"/>
              <w:left w:val="nil"/>
              <w:bottom w:val="nil"/>
              <w:right w:val="nil"/>
            </w:tcBorders>
            <w:shd w:val="clear" w:color="000000" w:fill="FFFFFF"/>
            <w:noWrap/>
            <w:vAlign w:val="bottom"/>
            <w:hideMark/>
          </w:tcPr>
          <w:p w14:paraId="47650303"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32,097</w:t>
            </w:r>
          </w:p>
        </w:tc>
        <w:tc>
          <w:tcPr>
            <w:tcW w:w="996" w:type="dxa"/>
            <w:tcBorders>
              <w:top w:val="nil"/>
              <w:left w:val="nil"/>
              <w:bottom w:val="nil"/>
              <w:right w:val="nil"/>
            </w:tcBorders>
            <w:shd w:val="clear" w:color="000000" w:fill="FFFFFF"/>
            <w:noWrap/>
            <w:vAlign w:val="bottom"/>
            <w:hideMark/>
          </w:tcPr>
          <w:p w14:paraId="09315612"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32,151</w:t>
            </w:r>
          </w:p>
        </w:tc>
        <w:tc>
          <w:tcPr>
            <w:tcW w:w="1265" w:type="dxa"/>
            <w:tcBorders>
              <w:top w:val="nil"/>
              <w:left w:val="nil"/>
              <w:bottom w:val="nil"/>
              <w:right w:val="nil"/>
            </w:tcBorders>
            <w:shd w:val="clear" w:color="auto" w:fill="auto"/>
            <w:noWrap/>
            <w:vAlign w:val="bottom"/>
            <w:hideMark/>
          </w:tcPr>
          <w:p w14:paraId="44BFAB0F" w14:textId="77777777" w:rsidR="00E64C37" w:rsidRPr="00580471" w:rsidRDefault="00E64C37" w:rsidP="001C7ACA">
            <w:pPr>
              <w:spacing w:after="0" w:line="240" w:lineRule="auto"/>
              <w:jc w:val="center"/>
              <w:rPr>
                <w:rFonts w:ascii="Times New Roman" w:eastAsia="Times New Roman" w:hAnsi="Times New Roman" w:cs="Times New Roman"/>
                <w:color w:val="000000"/>
                <w:sz w:val="16"/>
                <w:szCs w:val="16"/>
                <w:lang w:eastAsia="en-GB"/>
              </w:rPr>
            </w:pPr>
            <w:r w:rsidRPr="00580471">
              <w:rPr>
                <w:rFonts w:ascii="Times New Roman" w:eastAsia="Times New Roman" w:hAnsi="Times New Roman" w:cs="Times New Roman"/>
                <w:color w:val="000000"/>
                <w:sz w:val="16"/>
                <w:szCs w:val="16"/>
                <w:lang w:eastAsia="en-GB"/>
              </w:rPr>
              <w:t>12.16%</w:t>
            </w:r>
          </w:p>
        </w:tc>
      </w:tr>
      <w:tr w:rsidR="00E64C37" w:rsidRPr="00580471" w14:paraId="2D95B6B0" w14:textId="77777777" w:rsidTr="001C7ACA">
        <w:trPr>
          <w:trHeight w:val="269"/>
        </w:trPr>
        <w:tc>
          <w:tcPr>
            <w:tcW w:w="2268" w:type="dxa"/>
            <w:tcBorders>
              <w:top w:val="nil"/>
              <w:left w:val="nil"/>
              <w:bottom w:val="nil"/>
              <w:right w:val="nil"/>
            </w:tcBorders>
            <w:shd w:val="clear" w:color="auto" w:fill="auto"/>
            <w:vAlign w:val="bottom"/>
            <w:hideMark/>
          </w:tcPr>
          <w:p w14:paraId="3D3A29BD"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10.8 R&amp;D social protection</w:t>
            </w:r>
          </w:p>
        </w:tc>
        <w:tc>
          <w:tcPr>
            <w:tcW w:w="461" w:type="dxa"/>
            <w:tcBorders>
              <w:top w:val="nil"/>
              <w:left w:val="nil"/>
              <w:bottom w:val="nil"/>
              <w:right w:val="nil"/>
            </w:tcBorders>
            <w:shd w:val="clear" w:color="000000" w:fill="FFFFFF"/>
            <w:noWrap/>
            <w:vAlign w:val="bottom"/>
            <w:hideMark/>
          </w:tcPr>
          <w:p w14:paraId="7B6002BC"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w:t>
            </w:r>
          </w:p>
        </w:tc>
        <w:tc>
          <w:tcPr>
            <w:tcW w:w="995" w:type="dxa"/>
            <w:tcBorders>
              <w:top w:val="nil"/>
              <w:left w:val="nil"/>
              <w:bottom w:val="nil"/>
              <w:right w:val="nil"/>
            </w:tcBorders>
            <w:shd w:val="clear" w:color="000000" w:fill="FFFFFF"/>
            <w:noWrap/>
            <w:vAlign w:val="bottom"/>
            <w:hideMark/>
          </w:tcPr>
          <w:p w14:paraId="2D55E6A7"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w:t>
            </w:r>
          </w:p>
        </w:tc>
        <w:tc>
          <w:tcPr>
            <w:tcW w:w="995" w:type="dxa"/>
            <w:tcBorders>
              <w:top w:val="nil"/>
              <w:left w:val="nil"/>
              <w:bottom w:val="nil"/>
              <w:right w:val="nil"/>
            </w:tcBorders>
            <w:shd w:val="clear" w:color="000000" w:fill="FFFFFF"/>
            <w:noWrap/>
            <w:vAlign w:val="bottom"/>
            <w:hideMark/>
          </w:tcPr>
          <w:p w14:paraId="537E4DFD"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w:t>
            </w:r>
          </w:p>
        </w:tc>
        <w:tc>
          <w:tcPr>
            <w:tcW w:w="995" w:type="dxa"/>
            <w:tcBorders>
              <w:top w:val="nil"/>
              <w:left w:val="nil"/>
              <w:bottom w:val="nil"/>
              <w:right w:val="nil"/>
            </w:tcBorders>
            <w:shd w:val="clear" w:color="000000" w:fill="FFFFFF"/>
            <w:noWrap/>
            <w:vAlign w:val="bottom"/>
            <w:hideMark/>
          </w:tcPr>
          <w:p w14:paraId="2F82BB07"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w:t>
            </w:r>
          </w:p>
        </w:tc>
        <w:tc>
          <w:tcPr>
            <w:tcW w:w="996" w:type="dxa"/>
            <w:tcBorders>
              <w:top w:val="nil"/>
              <w:left w:val="nil"/>
              <w:bottom w:val="nil"/>
              <w:right w:val="nil"/>
            </w:tcBorders>
            <w:shd w:val="clear" w:color="000000" w:fill="FFFFFF"/>
            <w:noWrap/>
            <w:vAlign w:val="bottom"/>
            <w:hideMark/>
          </w:tcPr>
          <w:p w14:paraId="454DC665"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w:t>
            </w:r>
          </w:p>
        </w:tc>
        <w:tc>
          <w:tcPr>
            <w:tcW w:w="1265" w:type="dxa"/>
            <w:tcBorders>
              <w:top w:val="nil"/>
              <w:left w:val="nil"/>
              <w:bottom w:val="nil"/>
              <w:right w:val="nil"/>
            </w:tcBorders>
            <w:shd w:val="clear" w:color="auto" w:fill="auto"/>
            <w:noWrap/>
            <w:vAlign w:val="bottom"/>
            <w:hideMark/>
          </w:tcPr>
          <w:p w14:paraId="53C0FC23"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p>
        </w:tc>
      </w:tr>
      <w:tr w:rsidR="00E64C37" w:rsidRPr="00580471" w14:paraId="4B2E4CCE" w14:textId="77777777" w:rsidTr="001C7ACA">
        <w:trPr>
          <w:trHeight w:val="269"/>
        </w:trPr>
        <w:tc>
          <w:tcPr>
            <w:tcW w:w="2268" w:type="dxa"/>
            <w:tcBorders>
              <w:top w:val="nil"/>
              <w:left w:val="nil"/>
              <w:bottom w:val="nil"/>
              <w:right w:val="nil"/>
            </w:tcBorders>
            <w:shd w:val="clear" w:color="auto" w:fill="auto"/>
            <w:vAlign w:val="bottom"/>
            <w:hideMark/>
          </w:tcPr>
          <w:p w14:paraId="638E4DF6"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 xml:space="preserve">10.9 Social protection </w:t>
            </w:r>
            <w:proofErr w:type="spellStart"/>
            <w:r w:rsidRPr="00580471">
              <w:rPr>
                <w:rFonts w:ascii="Times New Roman" w:eastAsia="Times New Roman" w:hAnsi="Times New Roman" w:cs="Times New Roman"/>
                <w:sz w:val="16"/>
                <w:szCs w:val="16"/>
                <w:lang w:eastAsia="en-GB"/>
              </w:rPr>
              <w:t>n.e.c</w:t>
            </w:r>
            <w:proofErr w:type="spellEnd"/>
            <w:r w:rsidRPr="00580471">
              <w:rPr>
                <w:rFonts w:ascii="Times New Roman" w:eastAsia="Times New Roman" w:hAnsi="Times New Roman" w:cs="Times New Roman"/>
                <w:sz w:val="16"/>
                <w:szCs w:val="16"/>
                <w:lang w:eastAsia="en-GB"/>
              </w:rPr>
              <w:t>.</w:t>
            </w:r>
          </w:p>
        </w:tc>
        <w:tc>
          <w:tcPr>
            <w:tcW w:w="461" w:type="dxa"/>
            <w:tcBorders>
              <w:top w:val="nil"/>
              <w:left w:val="nil"/>
              <w:bottom w:val="nil"/>
              <w:right w:val="nil"/>
            </w:tcBorders>
            <w:shd w:val="clear" w:color="000000" w:fill="FFFFFF"/>
            <w:noWrap/>
            <w:vAlign w:val="bottom"/>
            <w:hideMark/>
          </w:tcPr>
          <w:p w14:paraId="6551AFE8"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3,809</w:t>
            </w:r>
          </w:p>
        </w:tc>
        <w:tc>
          <w:tcPr>
            <w:tcW w:w="995" w:type="dxa"/>
            <w:tcBorders>
              <w:top w:val="nil"/>
              <w:left w:val="nil"/>
              <w:bottom w:val="nil"/>
              <w:right w:val="nil"/>
            </w:tcBorders>
            <w:shd w:val="clear" w:color="000000" w:fill="FFFFFF"/>
            <w:noWrap/>
            <w:vAlign w:val="bottom"/>
            <w:hideMark/>
          </w:tcPr>
          <w:p w14:paraId="09D63372"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3,578</w:t>
            </w:r>
          </w:p>
        </w:tc>
        <w:tc>
          <w:tcPr>
            <w:tcW w:w="995" w:type="dxa"/>
            <w:tcBorders>
              <w:top w:val="nil"/>
              <w:left w:val="nil"/>
              <w:bottom w:val="nil"/>
              <w:right w:val="nil"/>
            </w:tcBorders>
            <w:shd w:val="clear" w:color="000000" w:fill="FFFFFF"/>
            <w:noWrap/>
            <w:vAlign w:val="bottom"/>
            <w:hideMark/>
          </w:tcPr>
          <w:p w14:paraId="79805FEC"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3,798</w:t>
            </w:r>
          </w:p>
        </w:tc>
        <w:tc>
          <w:tcPr>
            <w:tcW w:w="995" w:type="dxa"/>
            <w:tcBorders>
              <w:top w:val="nil"/>
              <w:left w:val="nil"/>
              <w:bottom w:val="nil"/>
              <w:right w:val="nil"/>
            </w:tcBorders>
            <w:shd w:val="clear" w:color="auto" w:fill="auto"/>
            <w:vAlign w:val="bottom"/>
            <w:hideMark/>
          </w:tcPr>
          <w:p w14:paraId="4CECD3D3"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4,099</w:t>
            </w:r>
          </w:p>
        </w:tc>
        <w:tc>
          <w:tcPr>
            <w:tcW w:w="996" w:type="dxa"/>
            <w:tcBorders>
              <w:top w:val="nil"/>
              <w:left w:val="nil"/>
              <w:bottom w:val="nil"/>
              <w:right w:val="nil"/>
            </w:tcBorders>
            <w:shd w:val="clear" w:color="auto" w:fill="auto"/>
            <w:vAlign w:val="bottom"/>
            <w:hideMark/>
          </w:tcPr>
          <w:p w14:paraId="34871F7E"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4,131</w:t>
            </w:r>
          </w:p>
        </w:tc>
        <w:tc>
          <w:tcPr>
            <w:tcW w:w="1265" w:type="dxa"/>
            <w:tcBorders>
              <w:top w:val="nil"/>
              <w:left w:val="nil"/>
              <w:bottom w:val="nil"/>
              <w:right w:val="nil"/>
            </w:tcBorders>
            <w:shd w:val="clear" w:color="auto" w:fill="auto"/>
            <w:noWrap/>
            <w:vAlign w:val="bottom"/>
            <w:hideMark/>
          </w:tcPr>
          <w:p w14:paraId="3ECFF672" w14:textId="77777777" w:rsidR="00E64C37" w:rsidRPr="00580471" w:rsidRDefault="00E64C37" w:rsidP="001C7ACA">
            <w:pPr>
              <w:spacing w:after="0" w:line="240" w:lineRule="auto"/>
              <w:jc w:val="center"/>
              <w:rPr>
                <w:rFonts w:ascii="Times New Roman" w:eastAsia="Times New Roman" w:hAnsi="Times New Roman" w:cs="Times New Roman"/>
                <w:color w:val="000000"/>
                <w:sz w:val="16"/>
                <w:szCs w:val="16"/>
                <w:lang w:eastAsia="en-GB"/>
              </w:rPr>
            </w:pPr>
            <w:r w:rsidRPr="00580471">
              <w:rPr>
                <w:rFonts w:ascii="Times New Roman" w:eastAsia="Times New Roman" w:hAnsi="Times New Roman" w:cs="Times New Roman"/>
                <w:color w:val="000000"/>
                <w:sz w:val="16"/>
                <w:szCs w:val="16"/>
                <w:lang w:eastAsia="en-GB"/>
              </w:rPr>
              <w:t>1.56%</w:t>
            </w:r>
          </w:p>
        </w:tc>
      </w:tr>
      <w:tr w:rsidR="00E64C37" w:rsidRPr="00580471" w14:paraId="6FC3CF83" w14:textId="77777777" w:rsidTr="001C7ACA">
        <w:trPr>
          <w:trHeight w:val="269"/>
        </w:trPr>
        <w:tc>
          <w:tcPr>
            <w:tcW w:w="2268" w:type="dxa"/>
            <w:tcBorders>
              <w:top w:val="nil"/>
              <w:left w:val="nil"/>
              <w:bottom w:val="nil"/>
              <w:right w:val="nil"/>
            </w:tcBorders>
            <w:shd w:val="clear" w:color="000000" w:fill="CCCCFF"/>
            <w:vAlign w:val="bottom"/>
            <w:hideMark/>
          </w:tcPr>
          <w:p w14:paraId="4A454910"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Total social protection</w:t>
            </w:r>
          </w:p>
        </w:tc>
        <w:tc>
          <w:tcPr>
            <w:tcW w:w="461" w:type="dxa"/>
            <w:tcBorders>
              <w:top w:val="nil"/>
              <w:left w:val="nil"/>
              <w:bottom w:val="nil"/>
              <w:right w:val="nil"/>
            </w:tcBorders>
            <w:shd w:val="clear" w:color="000000" w:fill="CCCCFF"/>
            <w:vAlign w:val="bottom"/>
            <w:hideMark/>
          </w:tcPr>
          <w:p w14:paraId="5F10B690"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253,448</w:t>
            </w:r>
          </w:p>
        </w:tc>
        <w:tc>
          <w:tcPr>
            <w:tcW w:w="995" w:type="dxa"/>
            <w:tcBorders>
              <w:top w:val="nil"/>
              <w:left w:val="nil"/>
              <w:bottom w:val="nil"/>
              <w:right w:val="nil"/>
            </w:tcBorders>
            <w:shd w:val="clear" w:color="000000" w:fill="CCCCFF"/>
            <w:vAlign w:val="bottom"/>
            <w:hideMark/>
          </w:tcPr>
          <w:p w14:paraId="1F38A4A8"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253,969</w:t>
            </w:r>
          </w:p>
        </w:tc>
        <w:tc>
          <w:tcPr>
            <w:tcW w:w="995" w:type="dxa"/>
            <w:tcBorders>
              <w:top w:val="nil"/>
              <w:left w:val="nil"/>
              <w:bottom w:val="nil"/>
              <w:right w:val="nil"/>
            </w:tcBorders>
            <w:shd w:val="clear" w:color="000000" w:fill="CCCCFF"/>
            <w:vAlign w:val="bottom"/>
            <w:hideMark/>
          </w:tcPr>
          <w:p w14:paraId="5B117B8D"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260,905</w:t>
            </w:r>
          </w:p>
        </w:tc>
        <w:tc>
          <w:tcPr>
            <w:tcW w:w="995" w:type="dxa"/>
            <w:tcBorders>
              <w:top w:val="nil"/>
              <w:left w:val="nil"/>
              <w:bottom w:val="nil"/>
              <w:right w:val="nil"/>
            </w:tcBorders>
            <w:shd w:val="clear" w:color="000000" w:fill="CCCCFF"/>
            <w:vAlign w:val="bottom"/>
            <w:hideMark/>
          </w:tcPr>
          <w:p w14:paraId="48BDA4BE"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264,979</w:t>
            </w:r>
          </w:p>
        </w:tc>
        <w:tc>
          <w:tcPr>
            <w:tcW w:w="996" w:type="dxa"/>
            <w:tcBorders>
              <w:top w:val="nil"/>
              <w:left w:val="nil"/>
              <w:bottom w:val="nil"/>
              <w:right w:val="nil"/>
            </w:tcBorders>
            <w:shd w:val="clear" w:color="000000" w:fill="CCCCFF"/>
            <w:vAlign w:val="bottom"/>
            <w:hideMark/>
          </w:tcPr>
          <w:p w14:paraId="2E65E2AB"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264,296</w:t>
            </w:r>
          </w:p>
        </w:tc>
        <w:tc>
          <w:tcPr>
            <w:tcW w:w="1265" w:type="dxa"/>
            <w:tcBorders>
              <w:top w:val="nil"/>
              <w:left w:val="nil"/>
              <w:bottom w:val="nil"/>
              <w:right w:val="nil"/>
            </w:tcBorders>
            <w:shd w:val="clear" w:color="auto" w:fill="auto"/>
            <w:noWrap/>
            <w:vAlign w:val="bottom"/>
            <w:hideMark/>
          </w:tcPr>
          <w:p w14:paraId="15B58534" w14:textId="77777777" w:rsidR="00E64C37" w:rsidRPr="00580471" w:rsidRDefault="00E64C37" w:rsidP="001C7ACA">
            <w:pPr>
              <w:spacing w:after="0" w:line="240" w:lineRule="auto"/>
              <w:jc w:val="right"/>
              <w:rPr>
                <w:rFonts w:ascii="Times New Roman" w:eastAsia="Times New Roman" w:hAnsi="Times New Roman" w:cs="Times New Roman"/>
                <w:sz w:val="16"/>
                <w:szCs w:val="16"/>
                <w:lang w:eastAsia="en-GB"/>
              </w:rPr>
            </w:pPr>
          </w:p>
        </w:tc>
      </w:tr>
      <w:tr w:rsidR="00E64C37" w:rsidRPr="00580471" w14:paraId="198F6125" w14:textId="77777777" w:rsidTr="001C7ACA">
        <w:trPr>
          <w:trHeight w:val="269"/>
        </w:trPr>
        <w:tc>
          <w:tcPr>
            <w:tcW w:w="2268" w:type="dxa"/>
            <w:tcBorders>
              <w:top w:val="nil"/>
              <w:left w:val="nil"/>
              <w:bottom w:val="nil"/>
              <w:right w:val="nil"/>
            </w:tcBorders>
            <w:shd w:val="clear" w:color="000000" w:fill="FFFFFF"/>
            <w:hideMark/>
          </w:tcPr>
          <w:p w14:paraId="45FCDA90"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 </w:t>
            </w:r>
          </w:p>
        </w:tc>
        <w:tc>
          <w:tcPr>
            <w:tcW w:w="461" w:type="dxa"/>
            <w:tcBorders>
              <w:top w:val="nil"/>
              <w:left w:val="nil"/>
              <w:bottom w:val="nil"/>
              <w:right w:val="nil"/>
            </w:tcBorders>
            <w:shd w:val="clear" w:color="000000" w:fill="FFFFFF"/>
            <w:vAlign w:val="bottom"/>
            <w:hideMark/>
          </w:tcPr>
          <w:p w14:paraId="10599777"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 </w:t>
            </w:r>
          </w:p>
        </w:tc>
        <w:tc>
          <w:tcPr>
            <w:tcW w:w="995" w:type="dxa"/>
            <w:tcBorders>
              <w:top w:val="nil"/>
              <w:left w:val="nil"/>
              <w:bottom w:val="nil"/>
              <w:right w:val="nil"/>
            </w:tcBorders>
            <w:shd w:val="clear" w:color="000000" w:fill="FFFFFF"/>
            <w:vAlign w:val="bottom"/>
            <w:hideMark/>
          </w:tcPr>
          <w:p w14:paraId="581458D7"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 </w:t>
            </w:r>
          </w:p>
        </w:tc>
        <w:tc>
          <w:tcPr>
            <w:tcW w:w="995" w:type="dxa"/>
            <w:tcBorders>
              <w:top w:val="nil"/>
              <w:left w:val="nil"/>
              <w:bottom w:val="nil"/>
              <w:right w:val="nil"/>
            </w:tcBorders>
            <w:shd w:val="clear" w:color="000000" w:fill="FFFFFF"/>
            <w:vAlign w:val="bottom"/>
            <w:hideMark/>
          </w:tcPr>
          <w:p w14:paraId="1FA11B2E"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 </w:t>
            </w:r>
          </w:p>
        </w:tc>
        <w:tc>
          <w:tcPr>
            <w:tcW w:w="995" w:type="dxa"/>
            <w:tcBorders>
              <w:top w:val="nil"/>
              <w:left w:val="nil"/>
              <w:bottom w:val="nil"/>
              <w:right w:val="nil"/>
            </w:tcBorders>
            <w:shd w:val="clear" w:color="000000" w:fill="FFFFFF"/>
            <w:vAlign w:val="bottom"/>
            <w:hideMark/>
          </w:tcPr>
          <w:p w14:paraId="029C7CD8"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 </w:t>
            </w:r>
          </w:p>
        </w:tc>
        <w:tc>
          <w:tcPr>
            <w:tcW w:w="996" w:type="dxa"/>
            <w:tcBorders>
              <w:top w:val="nil"/>
              <w:left w:val="nil"/>
              <w:bottom w:val="nil"/>
              <w:right w:val="nil"/>
            </w:tcBorders>
            <w:shd w:val="clear" w:color="000000" w:fill="FFFFFF"/>
            <w:vAlign w:val="bottom"/>
            <w:hideMark/>
          </w:tcPr>
          <w:p w14:paraId="486E28BC"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r w:rsidRPr="00580471">
              <w:rPr>
                <w:rFonts w:ascii="Times New Roman" w:eastAsia="Times New Roman" w:hAnsi="Times New Roman" w:cs="Times New Roman"/>
                <w:sz w:val="16"/>
                <w:szCs w:val="16"/>
                <w:lang w:eastAsia="en-GB"/>
              </w:rPr>
              <w:t> </w:t>
            </w:r>
          </w:p>
        </w:tc>
        <w:tc>
          <w:tcPr>
            <w:tcW w:w="1265" w:type="dxa"/>
            <w:tcBorders>
              <w:top w:val="nil"/>
              <w:left w:val="nil"/>
              <w:bottom w:val="nil"/>
              <w:right w:val="nil"/>
            </w:tcBorders>
            <w:shd w:val="clear" w:color="auto" w:fill="auto"/>
            <w:noWrap/>
            <w:vAlign w:val="bottom"/>
            <w:hideMark/>
          </w:tcPr>
          <w:p w14:paraId="451D8BF7" w14:textId="77777777" w:rsidR="00E64C37" w:rsidRPr="00580471" w:rsidRDefault="00E64C37" w:rsidP="001C7ACA">
            <w:pPr>
              <w:spacing w:after="0" w:line="240" w:lineRule="auto"/>
              <w:rPr>
                <w:rFonts w:ascii="Times New Roman" w:eastAsia="Times New Roman" w:hAnsi="Times New Roman" w:cs="Times New Roman"/>
                <w:sz w:val="16"/>
                <w:szCs w:val="16"/>
                <w:lang w:eastAsia="en-GB"/>
              </w:rPr>
            </w:pPr>
          </w:p>
        </w:tc>
      </w:tr>
      <w:tr w:rsidR="00E64C37" w:rsidRPr="00580471" w14:paraId="43D136D2" w14:textId="77777777" w:rsidTr="001C7ACA">
        <w:trPr>
          <w:trHeight w:val="269"/>
        </w:trPr>
        <w:tc>
          <w:tcPr>
            <w:tcW w:w="6710" w:type="dxa"/>
            <w:gridSpan w:val="6"/>
            <w:tcBorders>
              <w:top w:val="nil"/>
              <w:left w:val="nil"/>
              <w:bottom w:val="nil"/>
              <w:right w:val="nil"/>
            </w:tcBorders>
            <w:shd w:val="clear" w:color="auto" w:fill="auto"/>
            <w:hideMark/>
          </w:tcPr>
          <w:p w14:paraId="2C8E76D3" w14:textId="77777777" w:rsidR="00E64C37" w:rsidRPr="00580471" w:rsidRDefault="00E64C37" w:rsidP="001C7ACA">
            <w:pPr>
              <w:spacing w:after="0" w:line="240" w:lineRule="auto"/>
              <w:rPr>
                <w:rFonts w:ascii="Times New Roman" w:eastAsia="Times New Roman" w:hAnsi="Times New Roman" w:cs="Times New Roman"/>
                <w:sz w:val="14"/>
                <w:szCs w:val="14"/>
                <w:lang w:eastAsia="en-GB"/>
              </w:rPr>
            </w:pPr>
            <w:r w:rsidRPr="00580471">
              <w:rPr>
                <w:rFonts w:ascii="Times New Roman" w:eastAsia="Times New Roman" w:hAnsi="Times New Roman" w:cs="Times New Roman"/>
                <w:sz w:val="14"/>
                <w:szCs w:val="14"/>
                <w:lang w:eastAsia="en-GB"/>
              </w:rPr>
              <w:t xml:space="preserve">(10) Social exclusion </w:t>
            </w:r>
            <w:proofErr w:type="spellStart"/>
            <w:r w:rsidRPr="00580471">
              <w:rPr>
                <w:rFonts w:ascii="Times New Roman" w:eastAsia="Times New Roman" w:hAnsi="Times New Roman" w:cs="Times New Roman"/>
                <w:sz w:val="14"/>
                <w:szCs w:val="14"/>
                <w:lang w:eastAsia="en-GB"/>
              </w:rPr>
              <w:t>n.e.c</w:t>
            </w:r>
            <w:proofErr w:type="spellEnd"/>
            <w:r w:rsidRPr="00580471">
              <w:rPr>
                <w:rFonts w:ascii="Times New Roman" w:eastAsia="Times New Roman" w:hAnsi="Times New Roman" w:cs="Times New Roman"/>
                <w:sz w:val="14"/>
                <w:szCs w:val="14"/>
                <w:lang w:eastAsia="en-GB"/>
              </w:rPr>
              <w:t xml:space="preserve">. includes Child and Working Tax Credits. Also included here are Universal Credit additional costs that were previously scored in 10.9 Social protection </w:t>
            </w:r>
            <w:proofErr w:type="spellStart"/>
            <w:r w:rsidRPr="00580471">
              <w:rPr>
                <w:rFonts w:ascii="Times New Roman" w:eastAsia="Times New Roman" w:hAnsi="Times New Roman" w:cs="Times New Roman"/>
                <w:sz w:val="14"/>
                <w:szCs w:val="14"/>
                <w:lang w:eastAsia="en-GB"/>
              </w:rPr>
              <w:t>n.e.c</w:t>
            </w:r>
            <w:proofErr w:type="spellEnd"/>
            <w:r w:rsidRPr="00580471">
              <w:rPr>
                <w:rFonts w:ascii="Times New Roman" w:eastAsia="Times New Roman" w:hAnsi="Times New Roman" w:cs="Times New Roman"/>
                <w:sz w:val="14"/>
                <w:szCs w:val="14"/>
                <w:lang w:eastAsia="en-GB"/>
              </w:rPr>
              <w:t>.</w:t>
            </w:r>
          </w:p>
        </w:tc>
        <w:tc>
          <w:tcPr>
            <w:tcW w:w="1265" w:type="dxa"/>
            <w:tcBorders>
              <w:top w:val="nil"/>
              <w:left w:val="nil"/>
              <w:bottom w:val="nil"/>
              <w:right w:val="nil"/>
            </w:tcBorders>
            <w:shd w:val="clear" w:color="auto" w:fill="auto"/>
            <w:noWrap/>
            <w:vAlign w:val="bottom"/>
            <w:hideMark/>
          </w:tcPr>
          <w:p w14:paraId="707140D6" w14:textId="77777777" w:rsidR="00E64C37" w:rsidRPr="00580471" w:rsidRDefault="00E64C37" w:rsidP="001C7ACA">
            <w:pPr>
              <w:spacing w:after="0" w:line="240" w:lineRule="auto"/>
              <w:rPr>
                <w:rFonts w:ascii="Times New Roman" w:eastAsia="Times New Roman" w:hAnsi="Times New Roman" w:cs="Times New Roman"/>
                <w:sz w:val="14"/>
                <w:szCs w:val="14"/>
                <w:lang w:eastAsia="en-GB"/>
              </w:rPr>
            </w:pPr>
          </w:p>
        </w:tc>
      </w:tr>
    </w:tbl>
    <w:p w14:paraId="3AF65C1A" w14:textId="7389C431" w:rsidR="00365905" w:rsidRDefault="00E64C37" w:rsidP="00E64C37">
      <w:pPr>
        <w:pStyle w:val="Caption"/>
      </w:pPr>
      <w:bookmarkStart w:id="1" w:name="_Ref514846327"/>
      <w:r>
        <w:t xml:space="preserve">Table </w:t>
      </w:r>
      <w:fldSimple w:instr=" SEQ Table \* ARABIC ">
        <w:r>
          <w:rPr>
            <w:noProof/>
          </w:rPr>
          <w:t>1</w:t>
        </w:r>
      </w:fldSimple>
      <w:bookmarkEnd w:id="1"/>
    </w:p>
    <w:p w14:paraId="412EB86D" w14:textId="77777777" w:rsidR="00E64C37" w:rsidRPr="00E64C37" w:rsidRDefault="00E64C37" w:rsidP="00E64C37"/>
    <w:tbl>
      <w:tblPr>
        <w:tblW w:w="9537" w:type="dxa"/>
        <w:tblLook w:val="04A0" w:firstRow="1" w:lastRow="0" w:firstColumn="1" w:lastColumn="0" w:noHBand="0" w:noVBand="1"/>
      </w:tblPr>
      <w:tblGrid>
        <w:gridCol w:w="1440"/>
        <w:gridCol w:w="1016"/>
        <w:gridCol w:w="1365"/>
        <w:gridCol w:w="1043"/>
        <w:gridCol w:w="1373"/>
        <w:gridCol w:w="1213"/>
        <w:gridCol w:w="1012"/>
        <w:gridCol w:w="1075"/>
      </w:tblGrid>
      <w:tr w:rsidR="00E64C37" w:rsidRPr="002F0142" w14:paraId="76F89405" w14:textId="77777777" w:rsidTr="001C7ACA">
        <w:trPr>
          <w:trHeight w:val="485"/>
        </w:trPr>
        <w:tc>
          <w:tcPr>
            <w:tcW w:w="1440" w:type="dxa"/>
            <w:tcBorders>
              <w:top w:val="nil"/>
              <w:left w:val="nil"/>
              <w:bottom w:val="nil"/>
              <w:right w:val="nil"/>
            </w:tcBorders>
            <w:shd w:val="clear" w:color="auto" w:fill="auto"/>
            <w:noWrap/>
            <w:vAlign w:val="center"/>
            <w:hideMark/>
          </w:tcPr>
          <w:p w14:paraId="2F9A91AF"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Date</w:t>
            </w:r>
          </w:p>
        </w:tc>
        <w:tc>
          <w:tcPr>
            <w:tcW w:w="1016" w:type="dxa"/>
            <w:tcBorders>
              <w:top w:val="nil"/>
              <w:left w:val="nil"/>
              <w:bottom w:val="nil"/>
              <w:right w:val="nil"/>
            </w:tcBorders>
            <w:shd w:val="clear" w:color="auto" w:fill="auto"/>
            <w:noWrap/>
            <w:vAlign w:val="center"/>
            <w:hideMark/>
          </w:tcPr>
          <w:p w14:paraId="57D3A883"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Sick or disabled</w:t>
            </w:r>
          </w:p>
        </w:tc>
        <w:tc>
          <w:tcPr>
            <w:tcW w:w="1365" w:type="dxa"/>
            <w:tcBorders>
              <w:top w:val="nil"/>
              <w:left w:val="nil"/>
              <w:bottom w:val="nil"/>
              <w:right w:val="nil"/>
            </w:tcBorders>
            <w:shd w:val="clear" w:color="auto" w:fill="auto"/>
            <w:noWrap/>
            <w:vAlign w:val="center"/>
            <w:hideMark/>
          </w:tcPr>
          <w:p w14:paraId="6DF47D6F"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Unemployed</w:t>
            </w:r>
          </w:p>
        </w:tc>
        <w:tc>
          <w:tcPr>
            <w:tcW w:w="1043" w:type="dxa"/>
            <w:tcBorders>
              <w:top w:val="nil"/>
              <w:left w:val="nil"/>
              <w:bottom w:val="nil"/>
              <w:right w:val="nil"/>
            </w:tcBorders>
            <w:shd w:val="clear" w:color="auto" w:fill="auto"/>
            <w:noWrap/>
            <w:vAlign w:val="center"/>
            <w:hideMark/>
          </w:tcPr>
          <w:p w14:paraId="577CEEFA"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Retired early</w:t>
            </w:r>
          </w:p>
        </w:tc>
        <w:tc>
          <w:tcPr>
            <w:tcW w:w="1373" w:type="dxa"/>
            <w:tcBorders>
              <w:top w:val="nil"/>
              <w:left w:val="nil"/>
              <w:bottom w:val="nil"/>
              <w:right w:val="nil"/>
            </w:tcBorders>
            <w:shd w:val="clear" w:color="auto" w:fill="auto"/>
            <w:vAlign w:val="center"/>
            <w:hideMark/>
          </w:tcPr>
          <w:p w14:paraId="6EE8DD23"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Looking after family or home</w:t>
            </w:r>
          </w:p>
        </w:tc>
        <w:tc>
          <w:tcPr>
            <w:tcW w:w="1213" w:type="dxa"/>
            <w:tcBorders>
              <w:top w:val="nil"/>
              <w:left w:val="nil"/>
              <w:bottom w:val="nil"/>
              <w:right w:val="nil"/>
            </w:tcBorders>
            <w:shd w:val="clear" w:color="auto" w:fill="auto"/>
            <w:noWrap/>
            <w:vAlign w:val="center"/>
            <w:hideMark/>
          </w:tcPr>
          <w:p w14:paraId="76786C44"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Study</w:t>
            </w:r>
          </w:p>
        </w:tc>
        <w:tc>
          <w:tcPr>
            <w:tcW w:w="1012" w:type="dxa"/>
            <w:tcBorders>
              <w:top w:val="nil"/>
              <w:left w:val="nil"/>
              <w:bottom w:val="nil"/>
              <w:right w:val="nil"/>
            </w:tcBorders>
            <w:shd w:val="clear" w:color="auto" w:fill="auto"/>
            <w:noWrap/>
            <w:vAlign w:val="center"/>
            <w:hideMark/>
          </w:tcPr>
          <w:p w14:paraId="04DE63EB"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Other</w:t>
            </w:r>
          </w:p>
        </w:tc>
        <w:tc>
          <w:tcPr>
            <w:tcW w:w="1075" w:type="dxa"/>
            <w:tcBorders>
              <w:top w:val="nil"/>
              <w:left w:val="nil"/>
              <w:bottom w:val="nil"/>
              <w:right w:val="nil"/>
            </w:tcBorders>
            <w:shd w:val="clear" w:color="auto" w:fill="auto"/>
            <w:noWrap/>
            <w:vAlign w:val="center"/>
            <w:hideMark/>
          </w:tcPr>
          <w:p w14:paraId="62ABE18C"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Total</w:t>
            </w:r>
          </w:p>
        </w:tc>
      </w:tr>
      <w:tr w:rsidR="00E64C37" w:rsidRPr="002F0142" w14:paraId="629E30BD" w14:textId="77777777" w:rsidTr="001C7ACA">
        <w:trPr>
          <w:trHeight w:val="237"/>
        </w:trPr>
        <w:tc>
          <w:tcPr>
            <w:tcW w:w="1440" w:type="dxa"/>
            <w:tcBorders>
              <w:top w:val="nil"/>
              <w:left w:val="nil"/>
              <w:bottom w:val="nil"/>
              <w:right w:val="nil"/>
            </w:tcBorders>
            <w:shd w:val="clear" w:color="auto" w:fill="auto"/>
            <w:noWrap/>
            <w:vAlign w:val="bottom"/>
            <w:hideMark/>
          </w:tcPr>
          <w:p w14:paraId="39536DB1"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Jan-Dec 2006</w:t>
            </w:r>
          </w:p>
        </w:tc>
        <w:tc>
          <w:tcPr>
            <w:tcW w:w="1016" w:type="dxa"/>
            <w:tcBorders>
              <w:top w:val="nil"/>
              <w:left w:val="nil"/>
              <w:bottom w:val="nil"/>
              <w:right w:val="nil"/>
            </w:tcBorders>
            <w:shd w:val="clear" w:color="auto" w:fill="auto"/>
            <w:noWrap/>
            <w:vAlign w:val="bottom"/>
            <w:hideMark/>
          </w:tcPr>
          <w:p w14:paraId="50A3EC1A"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3.804%</w:t>
            </w:r>
          </w:p>
        </w:tc>
        <w:tc>
          <w:tcPr>
            <w:tcW w:w="1365" w:type="dxa"/>
            <w:tcBorders>
              <w:top w:val="nil"/>
              <w:left w:val="nil"/>
              <w:bottom w:val="nil"/>
              <w:right w:val="nil"/>
            </w:tcBorders>
            <w:shd w:val="clear" w:color="auto" w:fill="auto"/>
            <w:noWrap/>
            <w:vAlign w:val="bottom"/>
            <w:hideMark/>
          </w:tcPr>
          <w:p w14:paraId="3BA58241"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1.658%</w:t>
            </w:r>
          </w:p>
        </w:tc>
        <w:tc>
          <w:tcPr>
            <w:tcW w:w="1043" w:type="dxa"/>
            <w:tcBorders>
              <w:top w:val="nil"/>
              <w:left w:val="nil"/>
              <w:bottom w:val="nil"/>
              <w:right w:val="nil"/>
            </w:tcBorders>
            <w:shd w:val="clear" w:color="auto" w:fill="auto"/>
            <w:noWrap/>
            <w:vAlign w:val="bottom"/>
            <w:hideMark/>
          </w:tcPr>
          <w:p w14:paraId="5782C52A"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2.459%</w:t>
            </w:r>
          </w:p>
        </w:tc>
        <w:tc>
          <w:tcPr>
            <w:tcW w:w="1373" w:type="dxa"/>
            <w:tcBorders>
              <w:top w:val="nil"/>
              <w:left w:val="nil"/>
              <w:bottom w:val="nil"/>
              <w:right w:val="nil"/>
            </w:tcBorders>
            <w:shd w:val="clear" w:color="auto" w:fill="auto"/>
            <w:noWrap/>
            <w:vAlign w:val="bottom"/>
            <w:hideMark/>
          </w:tcPr>
          <w:p w14:paraId="4ED2B605"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2.324%</w:t>
            </w:r>
          </w:p>
        </w:tc>
        <w:tc>
          <w:tcPr>
            <w:tcW w:w="1213" w:type="dxa"/>
            <w:tcBorders>
              <w:top w:val="nil"/>
              <w:left w:val="nil"/>
              <w:bottom w:val="nil"/>
              <w:right w:val="nil"/>
            </w:tcBorders>
            <w:shd w:val="clear" w:color="auto" w:fill="auto"/>
            <w:noWrap/>
            <w:vAlign w:val="bottom"/>
            <w:hideMark/>
          </w:tcPr>
          <w:p w14:paraId="049DCEE3"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1.189%</w:t>
            </w:r>
          </w:p>
        </w:tc>
        <w:tc>
          <w:tcPr>
            <w:tcW w:w="1012" w:type="dxa"/>
            <w:tcBorders>
              <w:top w:val="nil"/>
              <w:left w:val="nil"/>
              <w:bottom w:val="nil"/>
              <w:right w:val="nil"/>
            </w:tcBorders>
            <w:shd w:val="clear" w:color="auto" w:fill="auto"/>
            <w:noWrap/>
            <w:vAlign w:val="bottom"/>
            <w:hideMark/>
          </w:tcPr>
          <w:p w14:paraId="3516919D"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1.059%</w:t>
            </w:r>
          </w:p>
        </w:tc>
        <w:tc>
          <w:tcPr>
            <w:tcW w:w="1075" w:type="dxa"/>
            <w:tcBorders>
              <w:top w:val="nil"/>
              <w:left w:val="nil"/>
              <w:bottom w:val="nil"/>
              <w:right w:val="nil"/>
            </w:tcBorders>
            <w:shd w:val="clear" w:color="auto" w:fill="auto"/>
            <w:noWrap/>
            <w:vAlign w:val="bottom"/>
            <w:hideMark/>
          </w:tcPr>
          <w:p w14:paraId="3DDD01E3"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12.492%</w:t>
            </w:r>
          </w:p>
        </w:tc>
      </w:tr>
      <w:tr w:rsidR="00E64C37" w:rsidRPr="002F0142" w14:paraId="6D61FABA" w14:textId="77777777" w:rsidTr="001C7ACA">
        <w:trPr>
          <w:trHeight w:val="237"/>
        </w:trPr>
        <w:tc>
          <w:tcPr>
            <w:tcW w:w="1440" w:type="dxa"/>
            <w:tcBorders>
              <w:top w:val="nil"/>
              <w:left w:val="nil"/>
              <w:bottom w:val="nil"/>
              <w:right w:val="nil"/>
            </w:tcBorders>
            <w:shd w:val="clear" w:color="auto" w:fill="auto"/>
            <w:noWrap/>
            <w:vAlign w:val="bottom"/>
            <w:hideMark/>
          </w:tcPr>
          <w:p w14:paraId="69C0A33E"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Jan-Dec 2007</w:t>
            </w:r>
          </w:p>
        </w:tc>
        <w:tc>
          <w:tcPr>
            <w:tcW w:w="1016" w:type="dxa"/>
            <w:tcBorders>
              <w:top w:val="nil"/>
              <w:left w:val="nil"/>
              <w:bottom w:val="nil"/>
              <w:right w:val="nil"/>
            </w:tcBorders>
            <w:shd w:val="clear" w:color="auto" w:fill="auto"/>
            <w:noWrap/>
            <w:vAlign w:val="bottom"/>
            <w:hideMark/>
          </w:tcPr>
          <w:p w14:paraId="1E436089"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3.840%</w:t>
            </w:r>
          </w:p>
        </w:tc>
        <w:tc>
          <w:tcPr>
            <w:tcW w:w="1365" w:type="dxa"/>
            <w:tcBorders>
              <w:top w:val="nil"/>
              <w:left w:val="nil"/>
              <w:bottom w:val="nil"/>
              <w:right w:val="nil"/>
            </w:tcBorders>
            <w:shd w:val="clear" w:color="auto" w:fill="auto"/>
            <w:noWrap/>
            <w:vAlign w:val="bottom"/>
            <w:hideMark/>
          </w:tcPr>
          <w:p w14:paraId="19DB2789"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1.578%</w:t>
            </w:r>
          </w:p>
        </w:tc>
        <w:tc>
          <w:tcPr>
            <w:tcW w:w="1043" w:type="dxa"/>
            <w:tcBorders>
              <w:top w:val="nil"/>
              <w:left w:val="nil"/>
              <w:bottom w:val="nil"/>
              <w:right w:val="nil"/>
            </w:tcBorders>
            <w:shd w:val="clear" w:color="auto" w:fill="auto"/>
            <w:noWrap/>
            <w:vAlign w:val="bottom"/>
            <w:hideMark/>
          </w:tcPr>
          <w:p w14:paraId="07887C5A"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2.541%</w:t>
            </w:r>
          </w:p>
        </w:tc>
        <w:tc>
          <w:tcPr>
            <w:tcW w:w="1373" w:type="dxa"/>
            <w:tcBorders>
              <w:top w:val="nil"/>
              <w:left w:val="nil"/>
              <w:bottom w:val="nil"/>
              <w:right w:val="nil"/>
            </w:tcBorders>
            <w:shd w:val="clear" w:color="auto" w:fill="auto"/>
            <w:noWrap/>
            <w:vAlign w:val="bottom"/>
            <w:hideMark/>
          </w:tcPr>
          <w:p w14:paraId="1A174A69"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2.268%</w:t>
            </w:r>
          </w:p>
        </w:tc>
        <w:tc>
          <w:tcPr>
            <w:tcW w:w="1213" w:type="dxa"/>
            <w:tcBorders>
              <w:top w:val="nil"/>
              <w:left w:val="nil"/>
              <w:bottom w:val="nil"/>
              <w:right w:val="nil"/>
            </w:tcBorders>
            <w:shd w:val="clear" w:color="auto" w:fill="auto"/>
            <w:noWrap/>
            <w:vAlign w:val="bottom"/>
            <w:hideMark/>
          </w:tcPr>
          <w:p w14:paraId="0A8E5D16"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1.367%</w:t>
            </w:r>
          </w:p>
        </w:tc>
        <w:tc>
          <w:tcPr>
            <w:tcW w:w="1012" w:type="dxa"/>
            <w:tcBorders>
              <w:top w:val="nil"/>
              <w:left w:val="nil"/>
              <w:bottom w:val="nil"/>
              <w:right w:val="nil"/>
            </w:tcBorders>
            <w:shd w:val="clear" w:color="auto" w:fill="auto"/>
            <w:noWrap/>
            <w:vAlign w:val="bottom"/>
            <w:hideMark/>
          </w:tcPr>
          <w:p w14:paraId="1295DEA6"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0.944%</w:t>
            </w:r>
          </w:p>
        </w:tc>
        <w:tc>
          <w:tcPr>
            <w:tcW w:w="1075" w:type="dxa"/>
            <w:tcBorders>
              <w:top w:val="nil"/>
              <w:left w:val="nil"/>
              <w:bottom w:val="nil"/>
              <w:right w:val="nil"/>
            </w:tcBorders>
            <w:shd w:val="clear" w:color="auto" w:fill="auto"/>
            <w:noWrap/>
            <w:vAlign w:val="bottom"/>
            <w:hideMark/>
          </w:tcPr>
          <w:p w14:paraId="1A8B4EFD"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12.538%</w:t>
            </w:r>
          </w:p>
        </w:tc>
      </w:tr>
      <w:tr w:rsidR="00E64C37" w:rsidRPr="002F0142" w14:paraId="7CB629A0" w14:textId="77777777" w:rsidTr="001C7ACA">
        <w:trPr>
          <w:trHeight w:val="237"/>
        </w:trPr>
        <w:tc>
          <w:tcPr>
            <w:tcW w:w="1440" w:type="dxa"/>
            <w:tcBorders>
              <w:top w:val="nil"/>
              <w:left w:val="nil"/>
              <w:bottom w:val="nil"/>
              <w:right w:val="nil"/>
            </w:tcBorders>
            <w:shd w:val="clear" w:color="auto" w:fill="auto"/>
            <w:noWrap/>
            <w:vAlign w:val="bottom"/>
            <w:hideMark/>
          </w:tcPr>
          <w:p w14:paraId="62DCA1F6"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Jan-Dec 2008</w:t>
            </w:r>
          </w:p>
        </w:tc>
        <w:tc>
          <w:tcPr>
            <w:tcW w:w="1016" w:type="dxa"/>
            <w:tcBorders>
              <w:top w:val="nil"/>
              <w:left w:val="nil"/>
              <w:bottom w:val="nil"/>
              <w:right w:val="nil"/>
            </w:tcBorders>
            <w:shd w:val="clear" w:color="auto" w:fill="auto"/>
            <w:noWrap/>
            <w:vAlign w:val="bottom"/>
            <w:hideMark/>
          </w:tcPr>
          <w:p w14:paraId="453E45E4"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3.829%</w:t>
            </w:r>
          </w:p>
        </w:tc>
        <w:tc>
          <w:tcPr>
            <w:tcW w:w="1365" w:type="dxa"/>
            <w:tcBorders>
              <w:top w:val="nil"/>
              <w:left w:val="nil"/>
              <w:bottom w:val="nil"/>
              <w:right w:val="nil"/>
            </w:tcBorders>
            <w:shd w:val="clear" w:color="auto" w:fill="auto"/>
            <w:noWrap/>
            <w:vAlign w:val="bottom"/>
            <w:hideMark/>
          </w:tcPr>
          <w:p w14:paraId="010C0869"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1.748%</w:t>
            </w:r>
          </w:p>
        </w:tc>
        <w:tc>
          <w:tcPr>
            <w:tcW w:w="1043" w:type="dxa"/>
            <w:tcBorders>
              <w:top w:val="nil"/>
              <w:left w:val="nil"/>
              <w:bottom w:val="nil"/>
              <w:right w:val="nil"/>
            </w:tcBorders>
            <w:shd w:val="clear" w:color="auto" w:fill="auto"/>
            <w:noWrap/>
            <w:vAlign w:val="bottom"/>
            <w:hideMark/>
          </w:tcPr>
          <w:p w14:paraId="45AB49AF"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2.541%</w:t>
            </w:r>
          </w:p>
        </w:tc>
        <w:tc>
          <w:tcPr>
            <w:tcW w:w="1373" w:type="dxa"/>
            <w:tcBorders>
              <w:top w:val="nil"/>
              <w:left w:val="nil"/>
              <w:bottom w:val="nil"/>
              <w:right w:val="nil"/>
            </w:tcBorders>
            <w:shd w:val="clear" w:color="auto" w:fill="auto"/>
            <w:noWrap/>
            <w:vAlign w:val="bottom"/>
            <w:hideMark/>
          </w:tcPr>
          <w:p w14:paraId="5736987D"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2.210%</w:t>
            </w:r>
          </w:p>
        </w:tc>
        <w:tc>
          <w:tcPr>
            <w:tcW w:w="1213" w:type="dxa"/>
            <w:tcBorders>
              <w:top w:val="nil"/>
              <w:left w:val="nil"/>
              <w:bottom w:val="nil"/>
              <w:right w:val="nil"/>
            </w:tcBorders>
            <w:shd w:val="clear" w:color="auto" w:fill="auto"/>
            <w:noWrap/>
            <w:vAlign w:val="bottom"/>
            <w:hideMark/>
          </w:tcPr>
          <w:p w14:paraId="6484D783"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1.400%</w:t>
            </w:r>
          </w:p>
        </w:tc>
        <w:tc>
          <w:tcPr>
            <w:tcW w:w="1012" w:type="dxa"/>
            <w:tcBorders>
              <w:top w:val="nil"/>
              <w:left w:val="nil"/>
              <w:bottom w:val="nil"/>
              <w:right w:val="nil"/>
            </w:tcBorders>
            <w:shd w:val="clear" w:color="auto" w:fill="auto"/>
            <w:noWrap/>
            <w:vAlign w:val="bottom"/>
            <w:hideMark/>
          </w:tcPr>
          <w:p w14:paraId="574CB034"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0.922%</w:t>
            </w:r>
          </w:p>
        </w:tc>
        <w:tc>
          <w:tcPr>
            <w:tcW w:w="1075" w:type="dxa"/>
            <w:tcBorders>
              <w:top w:val="nil"/>
              <w:left w:val="nil"/>
              <w:bottom w:val="nil"/>
              <w:right w:val="nil"/>
            </w:tcBorders>
            <w:shd w:val="clear" w:color="auto" w:fill="auto"/>
            <w:noWrap/>
            <w:vAlign w:val="bottom"/>
            <w:hideMark/>
          </w:tcPr>
          <w:p w14:paraId="34109F25"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12.651%</w:t>
            </w:r>
          </w:p>
        </w:tc>
      </w:tr>
      <w:tr w:rsidR="00E64C37" w:rsidRPr="002F0142" w14:paraId="7D022372" w14:textId="77777777" w:rsidTr="001C7ACA">
        <w:trPr>
          <w:trHeight w:val="237"/>
        </w:trPr>
        <w:tc>
          <w:tcPr>
            <w:tcW w:w="1440" w:type="dxa"/>
            <w:tcBorders>
              <w:top w:val="nil"/>
              <w:left w:val="nil"/>
              <w:bottom w:val="nil"/>
              <w:right w:val="nil"/>
            </w:tcBorders>
            <w:shd w:val="clear" w:color="auto" w:fill="auto"/>
            <w:noWrap/>
            <w:vAlign w:val="bottom"/>
            <w:hideMark/>
          </w:tcPr>
          <w:p w14:paraId="7367E17F"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Jan-Dec 2009</w:t>
            </w:r>
          </w:p>
        </w:tc>
        <w:tc>
          <w:tcPr>
            <w:tcW w:w="1016" w:type="dxa"/>
            <w:tcBorders>
              <w:top w:val="nil"/>
              <w:left w:val="nil"/>
              <w:bottom w:val="nil"/>
              <w:right w:val="nil"/>
            </w:tcBorders>
            <w:shd w:val="clear" w:color="auto" w:fill="auto"/>
            <w:noWrap/>
            <w:vAlign w:val="bottom"/>
            <w:hideMark/>
          </w:tcPr>
          <w:p w14:paraId="7342C76F"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3.763%</w:t>
            </w:r>
          </w:p>
        </w:tc>
        <w:tc>
          <w:tcPr>
            <w:tcW w:w="1365" w:type="dxa"/>
            <w:tcBorders>
              <w:top w:val="nil"/>
              <w:left w:val="nil"/>
              <w:bottom w:val="nil"/>
              <w:right w:val="nil"/>
            </w:tcBorders>
            <w:shd w:val="clear" w:color="auto" w:fill="auto"/>
            <w:noWrap/>
            <w:vAlign w:val="bottom"/>
            <w:hideMark/>
          </w:tcPr>
          <w:p w14:paraId="63E9E8BB"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2.425%</w:t>
            </w:r>
          </w:p>
        </w:tc>
        <w:tc>
          <w:tcPr>
            <w:tcW w:w="1043" w:type="dxa"/>
            <w:tcBorders>
              <w:top w:val="nil"/>
              <w:left w:val="nil"/>
              <w:bottom w:val="nil"/>
              <w:right w:val="nil"/>
            </w:tcBorders>
            <w:shd w:val="clear" w:color="auto" w:fill="auto"/>
            <w:noWrap/>
            <w:vAlign w:val="bottom"/>
            <w:hideMark/>
          </w:tcPr>
          <w:p w14:paraId="1F922E12"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2.579%</w:t>
            </w:r>
          </w:p>
        </w:tc>
        <w:tc>
          <w:tcPr>
            <w:tcW w:w="1373" w:type="dxa"/>
            <w:tcBorders>
              <w:top w:val="nil"/>
              <w:left w:val="nil"/>
              <w:bottom w:val="nil"/>
              <w:right w:val="nil"/>
            </w:tcBorders>
            <w:shd w:val="clear" w:color="auto" w:fill="auto"/>
            <w:noWrap/>
            <w:vAlign w:val="bottom"/>
            <w:hideMark/>
          </w:tcPr>
          <w:p w14:paraId="45FE1DBD"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2.221%</w:t>
            </w:r>
          </w:p>
        </w:tc>
        <w:tc>
          <w:tcPr>
            <w:tcW w:w="1213" w:type="dxa"/>
            <w:tcBorders>
              <w:top w:val="nil"/>
              <w:left w:val="nil"/>
              <w:bottom w:val="nil"/>
              <w:right w:val="nil"/>
            </w:tcBorders>
            <w:shd w:val="clear" w:color="auto" w:fill="auto"/>
            <w:noWrap/>
            <w:vAlign w:val="bottom"/>
            <w:hideMark/>
          </w:tcPr>
          <w:p w14:paraId="40C7B427"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1.603%</w:t>
            </w:r>
          </w:p>
        </w:tc>
        <w:tc>
          <w:tcPr>
            <w:tcW w:w="1012" w:type="dxa"/>
            <w:tcBorders>
              <w:top w:val="nil"/>
              <w:left w:val="nil"/>
              <w:bottom w:val="nil"/>
              <w:right w:val="nil"/>
            </w:tcBorders>
            <w:shd w:val="clear" w:color="auto" w:fill="auto"/>
            <w:noWrap/>
            <w:vAlign w:val="bottom"/>
            <w:hideMark/>
          </w:tcPr>
          <w:p w14:paraId="48570380"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0.916%</w:t>
            </w:r>
          </w:p>
        </w:tc>
        <w:tc>
          <w:tcPr>
            <w:tcW w:w="1075" w:type="dxa"/>
            <w:tcBorders>
              <w:top w:val="nil"/>
              <w:left w:val="nil"/>
              <w:bottom w:val="nil"/>
              <w:right w:val="nil"/>
            </w:tcBorders>
            <w:shd w:val="clear" w:color="auto" w:fill="auto"/>
            <w:noWrap/>
            <w:vAlign w:val="bottom"/>
            <w:hideMark/>
          </w:tcPr>
          <w:p w14:paraId="4D2E1C57"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13.506%</w:t>
            </w:r>
          </w:p>
        </w:tc>
      </w:tr>
      <w:tr w:rsidR="00E64C37" w:rsidRPr="002F0142" w14:paraId="43FF7F33" w14:textId="77777777" w:rsidTr="001C7ACA">
        <w:trPr>
          <w:trHeight w:val="237"/>
        </w:trPr>
        <w:tc>
          <w:tcPr>
            <w:tcW w:w="1440" w:type="dxa"/>
            <w:tcBorders>
              <w:top w:val="nil"/>
              <w:left w:val="nil"/>
              <w:bottom w:val="nil"/>
              <w:right w:val="nil"/>
            </w:tcBorders>
            <w:shd w:val="clear" w:color="auto" w:fill="auto"/>
            <w:noWrap/>
            <w:vAlign w:val="bottom"/>
            <w:hideMark/>
          </w:tcPr>
          <w:p w14:paraId="5616D78E"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Jan-Dec 2010</w:t>
            </w:r>
          </w:p>
        </w:tc>
        <w:tc>
          <w:tcPr>
            <w:tcW w:w="1016" w:type="dxa"/>
            <w:tcBorders>
              <w:top w:val="nil"/>
              <w:left w:val="nil"/>
              <w:bottom w:val="nil"/>
              <w:right w:val="nil"/>
            </w:tcBorders>
            <w:shd w:val="clear" w:color="auto" w:fill="auto"/>
            <w:noWrap/>
            <w:vAlign w:val="bottom"/>
            <w:hideMark/>
          </w:tcPr>
          <w:p w14:paraId="45584843"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3.782%</w:t>
            </w:r>
          </w:p>
        </w:tc>
        <w:tc>
          <w:tcPr>
            <w:tcW w:w="1365" w:type="dxa"/>
            <w:tcBorders>
              <w:top w:val="nil"/>
              <w:left w:val="nil"/>
              <w:bottom w:val="nil"/>
              <w:right w:val="nil"/>
            </w:tcBorders>
            <w:shd w:val="clear" w:color="auto" w:fill="auto"/>
            <w:noWrap/>
            <w:vAlign w:val="bottom"/>
            <w:hideMark/>
          </w:tcPr>
          <w:p w14:paraId="66D91ED5"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2.503%</w:t>
            </w:r>
          </w:p>
        </w:tc>
        <w:tc>
          <w:tcPr>
            <w:tcW w:w="1043" w:type="dxa"/>
            <w:tcBorders>
              <w:top w:val="nil"/>
              <w:left w:val="nil"/>
              <w:bottom w:val="nil"/>
              <w:right w:val="nil"/>
            </w:tcBorders>
            <w:shd w:val="clear" w:color="auto" w:fill="auto"/>
            <w:noWrap/>
            <w:vAlign w:val="bottom"/>
            <w:hideMark/>
          </w:tcPr>
          <w:p w14:paraId="3280D22F"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2.506%</w:t>
            </w:r>
          </w:p>
        </w:tc>
        <w:tc>
          <w:tcPr>
            <w:tcW w:w="1373" w:type="dxa"/>
            <w:tcBorders>
              <w:top w:val="nil"/>
              <w:left w:val="nil"/>
              <w:bottom w:val="nil"/>
              <w:right w:val="nil"/>
            </w:tcBorders>
            <w:shd w:val="clear" w:color="auto" w:fill="auto"/>
            <w:noWrap/>
            <w:vAlign w:val="bottom"/>
            <w:hideMark/>
          </w:tcPr>
          <w:p w14:paraId="130C11C5"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2.199%</w:t>
            </w:r>
          </w:p>
        </w:tc>
        <w:tc>
          <w:tcPr>
            <w:tcW w:w="1213" w:type="dxa"/>
            <w:tcBorders>
              <w:top w:val="nil"/>
              <w:left w:val="nil"/>
              <w:bottom w:val="nil"/>
              <w:right w:val="nil"/>
            </w:tcBorders>
            <w:shd w:val="clear" w:color="auto" w:fill="auto"/>
            <w:noWrap/>
            <w:vAlign w:val="bottom"/>
            <w:hideMark/>
          </w:tcPr>
          <w:p w14:paraId="51126AFD"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1.536%</w:t>
            </w:r>
          </w:p>
        </w:tc>
        <w:tc>
          <w:tcPr>
            <w:tcW w:w="1012" w:type="dxa"/>
            <w:tcBorders>
              <w:top w:val="nil"/>
              <w:left w:val="nil"/>
              <w:bottom w:val="nil"/>
              <w:right w:val="nil"/>
            </w:tcBorders>
            <w:shd w:val="clear" w:color="auto" w:fill="auto"/>
            <w:noWrap/>
            <w:vAlign w:val="bottom"/>
            <w:hideMark/>
          </w:tcPr>
          <w:p w14:paraId="4A9F3D22"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0.995%</w:t>
            </w:r>
          </w:p>
        </w:tc>
        <w:tc>
          <w:tcPr>
            <w:tcW w:w="1075" w:type="dxa"/>
            <w:tcBorders>
              <w:top w:val="nil"/>
              <w:left w:val="nil"/>
              <w:bottom w:val="nil"/>
              <w:right w:val="nil"/>
            </w:tcBorders>
            <w:shd w:val="clear" w:color="auto" w:fill="auto"/>
            <w:noWrap/>
            <w:vAlign w:val="bottom"/>
            <w:hideMark/>
          </w:tcPr>
          <w:p w14:paraId="59F9174B"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13.522%</w:t>
            </w:r>
          </w:p>
        </w:tc>
      </w:tr>
      <w:tr w:rsidR="00E64C37" w:rsidRPr="002F0142" w14:paraId="6E48E09D" w14:textId="77777777" w:rsidTr="001C7ACA">
        <w:trPr>
          <w:trHeight w:val="237"/>
        </w:trPr>
        <w:tc>
          <w:tcPr>
            <w:tcW w:w="1440" w:type="dxa"/>
            <w:tcBorders>
              <w:top w:val="nil"/>
              <w:left w:val="nil"/>
              <w:bottom w:val="nil"/>
              <w:right w:val="nil"/>
            </w:tcBorders>
            <w:shd w:val="clear" w:color="auto" w:fill="auto"/>
            <w:noWrap/>
            <w:vAlign w:val="bottom"/>
            <w:hideMark/>
          </w:tcPr>
          <w:p w14:paraId="3BBF9108"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Jan-Dec 2011</w:t>
            </w:r>
          </w:p>
        </w:tc>
        <w:tc>
          <w:tcPr>
            <w:tcW w:w="1016" w:type="dxa"/>
            <w:tcBorders>
              <w:top w:val="nil"/>
              <w:left w:val="nil"/>
              <w:bottom w:val="nil"/>
              <w:right w:val="nil"/>
            </w:tcBorders>
            <w:shd w:val="clear" w:color="auto" w:fill="auto"/>
            <w:noWrap/>
            <w:vAlign w:val="bottom"/>
            <w:hideMark/>
          </w:tcPr>
          <w:p w14:paraId="3F2BC104"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3.738%</w:t>
            </w:r>
          </w:p>
        </w:tc>
        <w:tc>
          <w:tcPr>
            <w:tcW w:w="1365" w:type="dxa"/>
            <w:tcBorders>
              <w:top w:val="nil"/>
              <w:left w:val="nil"/>
              <w:bottom w:val="nil"/>
              <w:right w:val="nil"/>
            </w:tcBorders>
            <w:shd w:val="clear" w:color="auto" w:fill="auto"/>
            <w:noWrap/>
            <w:vAlign w:val="bottom"/>
            <w:hideMark/>
          </w:tcPr>
          <w:p w14:paraId="0C987984"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2.626%</w:t>
            </w:r>
          </w:p>
        </w:tc>
        <w:tc>
          <w:tcPr>
            <w:tcW w:w="1043" w:type="dxa"/>
            <w:tcBorders>
              <w:top w:val="nil"/>
              <w:left w:val="nil"/>
              <w:bottom w:val="nil"/>
              <w:right w:val="nil"/>
            </w:tcBorders>
            <w:shd w:val="clear" w:color="auto" w:fill="auto"/>
            <w:noWrap/>
            <w:vAlign w:val="bottom"/>
            <w:hideMark/>
          </w:tcPr>
          <w:p w14:paraId="507A863B"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2.510%</w:t>
            </w:r>
          </w:p>
        </w:tc>
        <w:tc>
          <w:tcPr>
            <w:tcW w:w="1373" w:type="dxa"/>
            <w:tcBorders>
              <w:top w:val="nil"/>
              <w:left w:val="nil"/>
              <w:bottom w:val="nil"/>
              <w:right w:val="nil"/>
            </w:tcBorders>
            <w:shd w:val="clear" w:color="auto" w:fill="auto"/>
            <w:noWrap/>
            <w:vAlign w:val="bottom"/>
            <w:hideMark/>
          </w:tcPr>
          <w:p w14:paraId="077C7801"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2.128%</w:t>
            </w:r>
          </w:p>
        </w:tc>
        <w:tc>
          <w:tcPr>
            <w:tcW w:w="1213" w:type="dxa"/>
            <w:tcBorders>
              <w:top w:val="nil"/>
              <w:left w:val="nil"/>
              <w:bottom w:val="nil"/>
              <w:right w:val="nil"/>
            </w:tcBorders>
            <w:shd w:val="clear" w:color="auto" w:fill="auto"/>
            <w:noWrap/>
            <w:vAlign w:val="bottom"/>
            <w:hideMark/>
          </w:tcPr>
          <w:p w14:paraId="4D14676C"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1.623%</w:t>
            </w:r>
          </w:p>
        </w:tc>
        <w:tc>
          <w:tcPr>
            <w:tcW w:w="1012" w:type="dxa"/>
            <w:tcBorders>
              <w:top w:val="nil"/>
              <w:left w:val="nil"/>
              <w:bottom w:val="nil"/>
              <w:right w:val="nil"/>
            </w:tcBorders>
            <w:shd w:val="clear" w:color="auto" w:fill="auto"/>
            <w:noWrap/>
            <w:vAlign w:val="bottom"/>
            <w:hideMark/>
          </w:tcPr>
          <w:p w14:paraId="22D088C1"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0.896%</w:t>
            </w:r>
          </w:p>
        </w:tc>
        <w:tc>
          <w:tcPr>
            <w:tcW w:w="1075" w:type="dxa"/>
            <w:tcBorders>
              <w:top w:val="nil"/>
              <w:left w:val="nil"/>
              <w:bottom w:val="nil"/>
              <w:right w:val="nil"/>
            </w:tcBorders>
            <w:shd w:val="clear" w:color="auto" w:fill="auto"/>
            <w:noWrap/>
            <w:vAlign w:val="bottom"/>
            <w:hideMark/>
          </w:tcPr>
          <w:p w14:paraId="351B2AE2"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13.521%</w:t>
            </w:r>
          </w:p>
        </w:tc>
      </w:tr>
      <w:tr w:rsidR="00E64C37" w:rsidRPr="002F0142" w14:paraId="43F1C156" w14:textId="77777777" w:rsidTr="001C7ACA">
        <w:trPr>
          <w:trHeight w:val="237"/>
        </w:trPr>
        <w:tc>
          <w:tcPr>
            <w:tcW w:w="1440" w:type="dxa"/>
            <w:tcBorders>
              <w:top w:val="nil"/>
              <w:left w:val="nil"/>
              <w:bottom w:val="nil"/>
              <w:right w:val="nil"/>
            </w:tcBorders>
            <w:shd w:val="clear" w:color="auto" w:fill="auto"/>
            <w:noWrap/>
            <w:vAlign w:val="bottom"/>
            <w:hideMark/>
          </w:tcPr>
          <w:p w14:paraId="7CDDCFEE"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Jan-Dec 2012</w:t>
            </w:r>
          </w:p>
        </w:tc>
        <w:tc>
          <w:tcPr>
            <w:tcW w:w="1016" w:type="dxa"/>
            <w:tcBorders>
              <w:top w:val="nil"/>
              <w:left w:val="nil"/>
              <w:bottom w:val="nil"/>
              <w:right w:val="nil"/>
            </w:tcBorders>
            <w:shd w:val="clear" w:color="auto" w:fill="auto"/>
            <w:noWrap/>
            <w:vAlign w:val="bottom"/>
            <w:hideMark/>
          </w:tcPr>
          <w:p w14:paraId="647EE90D"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3.565%</w:t>
            </w:r>
          </w:p>
        </w:tc>
        <w:tc>
          <w:tcPr>
            <w:tcW w:w="1365" w:type="dxa"/>
            <w:tcBorders>
              <w:top w:val="nil"/>
              <w:left w:val="nil"/>
              <w:bottom w:val="nil"/>
              <w:right w:val="nil"/>
            </w:tcBorders>
            <w:shd w:val="clear" w:color="auto" w:fill="auto"/>
            <w:noWrap/>
            <w:vAlign w:val="bottom"/>
            <w:hideMark/>
          </w:tcPr>
          <w:p w14:paraId="73BF80D8"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2.572%</w:t>
            </w:r>
          </w:p>
        </w:tc>
        <w:tc>
          <w:tcPr>
            <w:tcW w:w="1043" w:type="dxa"/>
            <w:tcBorders>
              <w:top w:val="nil"/>
              <w:left w:val="nil"/>
              <w:bottom w:val="nil"/>
              <w:right w:val="nil"/>
            </w:tcBorders>
            <w:shd w:val="clear" w:color="auto" w:fill="auto"/>
            <w:noWrap/>
            <w:vAlign w:val="bottom"/>
            <w:hideMark/>
          </w:tcPr>
          <w:p w14:paraId="14BED89B"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2.334%</w:t>
            </w:r>
          </w:p>
        </w:tc>
        <w:tc>
          <w:tcPr>
            <w:tcW w:w="1373" w:type="dxa"/>
            <w:tcBorders>
              <w:top w:val="nil"/>
              <w:left w:val="nil"/>
              <w:bottom w:val="nil"/>
              <w:right w:val="nil"/>
            </w:tcBorders>
            <w:shd w:val="clear" w:color="auto" w:fill="auto"/>
            <w:noWrap/>
            <w:vAlign w:val="bottom"/>
            <w:hideMark/>
          </w:tcPr>
          <w:p w14:paraId="788868C7"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2.044%</w:t>
            </w:r>
          </w:p>
        </w:tc>
        <w:tc>
          <w:tcPr>
            <w:tcW w:w="1213" w:type="dxa"/>
            <w:tcBorders>
              <w:top w:val="nil"/>
              <w:left w:val="nil"/>
              <w:bottom w:val="nil"/>
              <w:right w:val="nil"/>
            </w:tcBorders>
            <w:shd w:val="clear" w:color="auto" w:fill="auto"/>
            <w:noWrap/>
            <w:vAlign w:val="bottom"/>
            <w:hideMark/>
          </w:tcPr>
          <w:p w14:paraId="24289C85"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1.607%</w:t>
            </w:r>
          </w:p>
        </w:tc>
        <w:tc>
          <w:tcPr>
            <w:tcW w:w="1012" w:type="dxa"/>
            <w:tcBorders>
              <w:top w:val="nil"/>
              <w:left w:val="nil"/>
              <w:bottom w:val="nil"/>
              <w:right w:val="nil"/>
            </w:tcBorders>
            <w:shd w:val="clear" w:color="auto" w:fill="auto"/>
            <w:noWrap/>
            <w:vAlign w:val="bottom"/>
            <w:hideMark/>
          </w:tcPr>
          <w:p w14:paraId="45096877"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0.855%</w:t>
            </w:r>
          </w:p>
        </w:tc>
        <w:tc>
          <w:tcPr>
            <w:tcW w:w="1075" w:type="dxa"/>
            <w:tcBorders>
              <w:top w:val="nil"/>
              <w:left w:val="nil"/>
              <w:bottom w:val="nil"/>
              <w:right w:val="nil"/>
            </w:tcBorders>
            <w:shd w:val="clear" w:color="auto" w:fill="auto"/>
            <w:noWrap/>
            <w:vAlign w:val="bottom"/>
            <w:hideMark/>
          </w:tcPr>
          <w:p w14:paraId="14F98862"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12.977%</w:t>
            </w:r>
          </w:p>
        </w:tc>
      </w:tr>
      <w:tr w:rsidR="00E64C37" w:rsidRPr="002F0142" w14:paraId="330087A4" w14:textId="77777777" w:rsidTr="001C7ACA">
        <w:trPr>
          <w:trHeight w:val="237"/>
        </w:trPr>
        <w:tc>
          <w:tcPr>
            <w:tcW w:w="1440" w:type="dxa"/>
            <w:tcBorders>
              <w:top w:val="nil"/>
              <w:left w:val="nil"/>
              <w:bottom w:val="nil"/>
              <w:right w:val="nil"/>
            </w:tcBorders>
            <w:shd w:val="clear" w:color="auto" w:fill="auto"/>
            <w:noWrap/>
            <w:vAlign w:val="bottom"/>
            <w:hideMark/>
          </w:tcPr>
          <w:p w14:paraId="2C92E0C0"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Jan-Dec 2013</w:t>
            </w:r>
          </w:p>
        </w:tc>
        <w:tc>
          <w:tcPr>
            <w:tcW w:w="1016" w:type="dxa"/>
            <w:tcBorders>
              <w:top w:val="nil"/>
              <w:left w:val="nil"/>
              <w:bottom w:val="nil"/>
              <w:right w:val="nil"/>
            </w:tcBorders>
            <w:shd w:val="clear" w:color="auto" w:fill="auto"/>
            <w:noWrap/>
            <w:vAlign w:val="bottom"/>
            <w:hideMark/>
          </w:tcPr>
          <w:p w14:paraId="19C4FDCB"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3.406%</w:t>
            </w:r>
          </w:p>
        </w:tc>
        <w:tc>
          <w:tcPr>
            <w:tcW w:w="1365" w:type="dxa"/>
            <w:tcBorders>
              <w:top w:val="nil"/>
              <w:left w:val="nil"/>
              <w:bottom w:val="nil"/>
              <w:right w:val="nil"/>
            </w:tcBorders>
            <w:shd w:val="clear" w:color="auto" w:fill="auto"/>
            <w:noWrap/>
            <w:vAlign w:val="bottom"/>
            <w:hideMark/>
          </w:tcPr>
          <w:p w14:paraId="354918A2"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2.463%</w:t>
            </w:r>
          </w:p>
        </w:tc>
        <w:tc>
          <w:tcPr>
            <w:tcW w:w="1043" w:type="dxa"/>
            <w:tcBorders>
              <w:top w:val="nil"/>
              <w:left w:val="nil"/>
              <w:bottom w:val="nil"/>
              <w:right w:val="nil"/>
            </w:tcBorders>
            <w:shd w:val="clear" w:color="auto" w:fill="auto"/>
            <w:noWrap/>
            <w:vAlign w:val="bottom"/>
            <w:hideMark/>
          </w:tcPr>
          <w:p w14:paraId="5042C80E"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2.075%</w:t>
            </w:r>
          </w:p>
        </w:tc>
        <w:tc>
          <w:tcPr>
            <w:tcW w:w="1373" w:type="dxa"/>
            <w:tcBorders>
              <w:top w:val="nil"/>
              <w:left w:val="nil"/>
              <w:bottom w:val="nil"/>
              <w:right w:val="nil"/>
            </w:tcBorders>
            <w:shd w:val="clear" w:color="auto" w:fill="auto"/>
            <w:noWrap/>
            <w:vAlign w:val="bottom"/>
            <w:hideMark/>
          </w:tcPr>
          <w:p w14:paraId="2D01ACAF"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1.962%</w:t>
            </w:r>
          </w:p>
        </w:tc>
        <w:tc>
          <w:tcPr>
            <w:tcW w:w="1213" w:type="dxa"/>
            <w:tcBorders>
              <w:top w:val="nil"/>
              <w:left w:val="nil"/>
              <w:bottom w:val="nil"/>
              <w:right w:val="nil"/>
            </w:tcBorders>
            <w:shd w:val="clear" w:color="auto" w:fill="auto"/>
            <w:noWrap/>
            <w:vAlign w:val="bottom"/>
            <w:hideMark/>
          </w:tcPr>
          <w:p w14:paraId="344A891F"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1.541%</w:t>
            </w:r>
          </w:p>
        </w:tc>
        <w:tc>
          <w:tcPr>
            <w:tcW w:w="1012" w:type="dxa"/>
            <w:tcBorders>
              <w:top w:val="nil"/>
              <w:left w:val="nil"/>
              <w:bottom w:val="nil"/>
              <w:right w:val="nil"/>
            </w:tcBorders>
            <w:shd w:val="clear" w:color="auto" w:fill="auto"/>
            <w:noWrap/>
            <w:vAlign w:val="bottom"/>
            <w:hideMark/>
          </w:tcPr>
          <w:p w14:paraId="2A7B320B"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0.904%</w:t>
            </w:r>
          </w:p>
        </w:tc>
        <w:tc>
          <w:tcPr>
            <w:tcW w:w="1075" w:type="dxa"/>
            <w:tcBorders>
              <w:top w:val="nil"/>
              <w:left w:val="nil"/>
              <w:bottom w:val="nil"/>
              <w:right w:val="nil"/>
            </w:tcBorders>
            <w:shd w:val="clear" w:color="auto" w:fill="auto"/>
            <w:noWrap/>
            <w:vAlign w:val="bottom"/>
            <w:hideMark/>
          </w:tcPr>
          <w:p w14:paraId="533BAA49"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12.351%</w:t>
            </w:r>
          </w:p>
        </w:tc>
      </w:tr>
      <w:tr w:rsidR="00E64C37" w:rsidRPr="002F0142" w14:paraId="3B22FF6E" w14:textId="77777777" w:rsidTr="001C7ACA">
        <w:trPr>
          <w:trHeight w:val="237"/>
        </w:trPr>
        <w:tc>
          <w:tcPr>
            <w:tcW w:w="1440" w:type="dxa"/>
            <w:tcBorders>
              <w:top w:val="nil"/>
              <w:left w:val="nil"/>
              <w:bottom w:val="nil"/>
              <w:right w:val="nil"/>
            </w:tcBorders>
            <w:shd w:val="clear" w:color="auto" w:fill="auto"/>
            <w:noWrap/>
            <w:vAlign w:val="bottom"/>
            <w:hideMark/>
          </w:tcPr>
          <w:p w14:paraId="36605F3E"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Jan-Dec 2014</w:t>
            </w:r>
          </w:p>
        </w:tc>
        <w:tc>
          <w:tcPr>
            <w:tcW w:w="1016" w:type="dxa"/>
            <w:tcBorders>
              <w:top w:val="nil"/>
              <w:left w:val="nil"/>
              <w:bottom w:val="nil"/>
              <w:right w:val="nil"/>
            </w:tcBorders>
            <w:shd w:val="clear" w:color="auto" w:fill="auto"/>
            <w:noWrap/>
            <w:vAlign w:val="bottom"/>
            <w:hideMark/>
          </w:tcPr>
          <w:p w14:paraId="2A329E00"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3.397%</w:t>
            </w:r>
          </w:p>
        </w:tc>
        <w:tc>
          <w:tcPr>
            <w:tcW w:w="1365" w:type="dxa"/>
            <w:tcBorders>
              <w:top w:val="nil"/>
              <w:left w:val="nil"/>
              <w:bottom w:val="nil"/>
              <w:right w:val="nil"/>
            </w:tcBorders>
            <w:shd w:val="clear" w:color="auto" w:fill="auto"/>
            <w:noWrap/>
            <w:vAlign w:val="bottom"/>
            <w:hideMark/>
          </w:tcPr>
          <w:p w14:paraId="72E41C9F"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2.017%</w:t>
            </w:r>
          </w:p>
        </w:tc>
        <w:tc>
          <w:tcPr>
            <w:tcW w:w="1043" w:type="dxa"/>
            <w:tcBorders>
              <w:top w:val="nil"/>
              <w:left w:val="nil"/>
              <w:bottom w:val="nil"/>
              <w:right w:val="nil"/>
            </w:tcBorders>
            <w:shd w:val="clear" w:color="auto" w:fill="auto"/>
            <w:noWrap/>
            <w:vAlign w:val="bottom"/>
            <w:hideMark/>
          </w:tcPr>
          <w:p w14:paraId="342AE990"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1.971%</w:t>
            </w:r>
          </w:p>
        </w:tc>
        <w:tc>
          <w:tcPr>
            <w:tcW w:w="1373" w:type="dxa"/>
            <w:tcBorders>
              <w:top w:val="nil"/>
              <w:left w:val="nil"/>
              <w:bottom w:val="nil"/>
              <w:right w:val="nil"/>
            </w:tcBorders>
            <w:shd w:val="clear" w:color="auto" w:fill="auto"/>
            <w:noWrap/>
            <w:vAlign w:val="bottom"/>
            <w:hideMark/>
          </w:tcPr>
          <w:p w14:paraId="6D4EFF11"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1.865%</w:t>
            </w:r>
          </w:p>
        </w:tc>
        <w:tc>
          <w:tcPr>
            <w:tcW w:w="1213" w:type="dxa"/>
            <w:tcBorders>
              <w:top w:val="nil"/>
              <w:left w:val="nil"/>
              <w:bottom w:val="nil"/>
              <w:right w:val="nil"/>
            </w:tcBorders>
            <w:shd w:val="clear" w:color="auto" w:fill="auto"/>
            <w:noWrap/>
            <w:vAlign w:val="bottom"/>
            <w:hideMark/>
          </w:tcPr>
          <w:p w14:paraId="0A9C3381"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1.424%</w:t>
            </w:r>
          </w:p>
        </w:tc>
        <w:tc>
          <w:tcPr>
            <w:tcW w:w="1012" w:type="dxa"/>
            <w:tcBorders>
              <w:top w:val="nil"/>
              <w:left w:val="nil"/>
              <w:bottom w:val="nil"/>
              <w:right w:val="nil"/>
            </w:tcBorders>
            <w:shd w:val="clear" w:color="auto" w:fill="auto"/>
            <w:noWrap/>
            <w:vAlign w:val="bottom"/>
            <w:hideMark/>
          </w:tcPr>
          <w:p w14:paraId="257086F3"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0.854%</w:t>
            </w:r>
          </w:p>
        </w:tc>
        <w:tc>
          <w:tcPr>
            <w:tcW w:w="1075" w:type="dxa"/>
            <w:tcBorders>
              <w:top w:val="nil"/>
              <w:left w:val="nil"/>
              <w:bottom w:val="nil"/>
              <w:right w:val="nil"/>
            </w:tcBorders>
            <w:shd w:val="clear" w:color="auto" w:fill="auto"/>
            <w:noWrap/>
            <w:vAlign w:val="bottom"/>
            <w:hideMark/>
          </w:tcPr>
          <w:p w14:paraId="68F5DCC2"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11.528%</w:t>
            </w:r>
          </w:p>
        </w:tc>
      </w:tr>
      <w:tr w:rsidR="00E64C37" w:rsidRPr="002F0142" w14:paraId="5C426648" w14:textId="77777777" w:rsidTr="001C7ACA">
        <w:trPr>
          <w:trHeight w:val="237"/>
        </w:trPr>
        <w:tc>
          <w:tcPr>
            <w:tcW w:w="1440" w:type="dxa"/>
            <w:tcBorders>
              <w:top w:val="nil"/>
              <w:left w:val="nil"/>
              <w:bottom w:val="nil"/>
              <w:right w:val="nil"/>
            </w:tcBorders>
            <w:shd w:val="clear" w:color="auto" w:fill="auto"/>
            <w:noWrap/>
            <w:vAlign w:val="bottom"/>
            <w:hideMark/>
          </w:tcPr>
          <w:p w14:paraId="48ADE997"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Jan-Dec 2015</w:t>
            </w:r>
          </w:p>
        </w:tc>
        <w:tc>
          <w:tcPr>
            <w:tcW w:w="1016" w:type="dxa"/>
            <w:tcBorders>
              <w:top w:val="nil"/>
              <w:left w:val="nil"/>
              <w:bottom w:val="nil"/>
              <w:right w:val="nil"/>
            </w:tcBorders>
            <w:shd w:val="clear" w:color="auto" w:fill="auto"/>
            <w:noWrap/>
            <w:vAlign w:val="bottom"/>
            <w:hideMark/>
          </w:tcPr>
          <w:p w14:paraId="52E71C66"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3.359%</w:t>
            </w:r>
          </w:p>
        </w:tc>
        <w:tc>
          <w:tcPr>
            <w:tcW w:w="1365" w:type="dxa"/>
            <w:tcBorders>
              <w:top w:val="nil"/>
              <w:left w:val="nil"/>
              <w:bottom w:val="nil"/>
              <w:right w:val="nil"/>
            </w:tcBorders>
            <w:shd w:val="clear" w:color="auto" w:fill="auto"/>
            <w:noWrap/>
            <w:vAlign w:val="bottom"/>
            <w:hideMark/>
          </w:tcPr>
          <w:p w14:paraId="07394708"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1.623%</w:t>
            </w:r>
          </w:p>
        </w:tc>
        <w:tc>
          <w:tcPr>
            <w:tcW w:w="1043" w:type="dxa"/>
            <w:tcBorders>
              <w:top w:val="nil"/>
              <w:left w:val="nil"/>
              <w:bottom w:val="nil"/>
              <w:right w:val="nil"/>
            </w:tcBorders>
            <w:shd w:val="clear" w:color="auto" w:fill="auto"/>
            <w:noWrap/>
            <w:vAlign w:val="bottom"/>
            <w:hideMark/>
          </w:tcPr>
          <w:p w14:paraId="3B66A671"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1.882%</w:t>
            </w:r>
          </w:p>
        </w:tc>
        <w:tc>
          <w:tcPr>
            <w:tcW w:w="1373" w:type="dxa"/>
            <w:tcBorders>
              <w:top w:val="nil"/>
              <w:left w:val="nil"/>
              <w:bottom w:val="nil"/>
              <w:right w:val="nil"/>
            </w:tcBorders>
            <w:shd w:val="clear" w:color="auto" w:fill="auto"/>
            <w:noWrap/>
            <w:vAlign w:val="bottom"/>
            <w:hideMark/>
          </w:tcPr>
          <w:p w14:paraId="6C0C2127"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1.761%</w:t>
            </w:r>
          </w:p>
        </w:tc>
        <w:tc>
          <w:tcPr>
            <w:tcW w:w="1213" w:type="dxa"/>
            <w:tcBorders>
              <w:top w:val="nil"/>
              <w:left w:val="nil"/>
              <w:bottom w:val="nil"/>
              <w:right w:val="nil"/>
            </w:tcBorders>
            <w:shd w:val="clear" w:color="auto" w:fill="auto"/>
            <w:noWrap/>
            <w:vAlign w:val="bottom"/>
            <w:hideMark/>
          </w:tcPr>
          <w:p w14:paraId="2860C8C9"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1.374%</w:t>
            </w:r>
          </w:p>
        </w:tc>
        <w:tc>
          <w:tcPr>
            <w:tcW w:w="1012" w:type="dxa"/>
            <w:tcBorders>
              <w:top w:val="nil"/>
              <w:left w:val="nil"/>
              <w:bottom w:val="nil"/>
              <w:right w:val="nil"/>
            </w:tcBorders>
            <w:shd w:val="clear" w:color="auto" w:fill="auto"/>
            <w:noWrap/>
            <w:vAlign w:val="bottom"/>
            <w:hideMark/>
          </w:tcPr>
          <w:p w14:paraId="240384FD"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0.870%</w:t>
            </w:r>
          </w:p>
        </w:tc>
        <w:tc>
          <w:tcPr>
            <w:tcW w:w="1075" w:type="dxa"/>
            <w:tcBorders>
              <w:top w:val="nil"/>
              <w:left w:val="nil"/>
              <w:bottom w:val="nil"/>
              <w:right w:val="nil"/>
            </w:tcBorders>
            <w:shd w:val="clear" w:color="auto" w:fill="auto"/>
            <w:noWrap/>
            <w:vAlign w:val="bottom"/>
            <w:hideMark/>
          </w:tcPr>
          <w:p w14:paraId="361199B4"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10.869%</w:t>
            </w:r>
          </w:p>
        </w:tc>
      </w:tr>
      <w:tr w:rsidR="00E64C37" w:rsidRPr="002F0142" w14:paraId="48F93D47" w14:textId="77777777" w:rsidTr="001C7ACA">
        <w:trPr>
          <w:trHeight w:val="237"/>
        </w:trPr>
        <w:tc>
          <w:tcPr>
            <w:tcW w:w="1440" w:type="dxa"/>
            <w:tcBorders>
              <w:top w:val="nil"/>
              <w:left w:val="nil"/>
              <w:bottom w:val="nil"/>
              <w:right w:val="nil"/>
            </w:tcBorders>
            <w:shd w:val="clear" w:color="auto" w:fill="auto"/>
            <w:noWrap/>
            <w:vAlign w:val="bottom"/>
            <w:hideMark/>
          </w:tcPr>
          <w:p w14:paraId="7A5AB477" w14:textId="77777777" w:rsidR="00E64C37" w:rsidRPr="002F0142" w:rsidRDefault="00E64C37" w:rsidP="001C7ACA">
            <w:pPr>
              <w:spacing w:after="0" w:line="240" w:lineRule="auto"/>
              <w:rPr>
                <w:rFonts w:ascii="Calibri" w:eastAsia="Times New Roman" w:hAnsi="Calibri" w:cs="Calibri"/>
                <w:color w:val="000000"/>
                <w:lang w:eastAsia="en-GB"/>
              </w:rPr>
            </w:pPr>
            <w:r w:rsidRPr="002F0142">
              <w:rPr>
                <w:rFonts w:ascii="Calibri" w:eastAsia="Times New Roman" w:hAnsi="Calibri" w:cs="Calibri"/>
                <w:color w:val="000000"/>
                <w:lang w:eastAsia="en-GB"/>
              </w:rPr>
              <w:t>Jan-Dec 2016</w:t>
            </w:r>
          </w:p>
        </w:tc>
        <w:tc>
          <w:tcPr>
            <w:tcW w:w="1016" w:type="dxa"/>
            <w:tcBorders>
              <w:top w:val="nil"/>
              <w:left w:val="nil"/>
              <w:bottom w:val="nil"/>
              <w:right w:val="nil"/>
            </w:tcBorders>
            <w:shd w:val="clear" w:color="auto" w:fill="auto"/>
            <w:noWrap/>
            <w:vAlign w:val="bottom"/>
            <w:hideMark/>
          </w:tcPr>
          <w:p w14:paraId="04CA310B"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3.355%</w:t>
            </w:r>
          </w:p>
        </w:tc>
        <w:tc>
          <w:tcPr>
            <w:tcW w:w="1365" w:type="dxa"/>
            <w:tcBorders>
              <w:top w:val="nil"/>
              <w:left w:val="nil"/>
              <w:bottom w:val="nil"/>
              <w:right w:val="nil"/>
            </w:tcBorders>
            <w:shd w:val="clear" w:color="auto" w:fill="auto"/>
            <w:noWrap/>
            <w:vAlign w:val="bottom"/>
            <w:hideMark/>
          </w:tcPr>
          <w:p w14:paraId="5BC8378E"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1.435%</w:t>
            </w:r>
          </w:p>
        </w:tc>
        <w:tc>
          <w:tcPr>
            <w:tcW w:w="1043" w:type="dxa"/>
            <w:tcBorders>
              <w:top w:val="nil"/>
              <w:left w:val="nil"/>
              <w:bottom w:val="nil"/>
              <w:right w:val="nil"/>
            </w:tcBorders>
            <w:shd w:val="clear" w:color="auto" w:fill="auto"/>
            <w:noWrap/>
            <w:vAlign w:val="bottom"/>
            <w:hideMark/>
          </w:tcPr>
          <w:p w14:paraId="2B082425"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1.775%</w:t>
            </w:r>
          </w:p>
        </w:tc>
        <w:tc>
          <w:tcPr>
            <w:tcW w:w="1373" w:type="dxa"/>
            <w:tcBorders>
              <w:top w:val="nil"/>
              <w:left w:val="nil"/>
              <w:bottom w:val="nil"/>
              <w:right w:val="nil"/>
            </w:tcBorders>
            <w:shd w:val="clear" w:color="auto" w:fill="auto"/>
            <w:noWrap/>
            <w:vAlign w:val="bottom"/>
            <w:hideMark/>
          </w:tcPr>
          <w:p w14:paraId="725F65F2" w14:textId="77777777" w:rsidR="00E64C37" w:rsidRPr="002F0142" w:rsidRDefault="00E64C37" w:rsidP="001C7ACA">
            <w:pPr>
              <w:spacing w:after="0" w:line="240" w:lineRule="auto"/>
              <w:jc w:val="center"/>
              <w:rPr>
                <w:rFonts w:ascii="Calibri" w:eastAsia="Times New Roman" w:hAnsi="Calibri" w:cs="Calibri"/>
                <w:color w:val="000000"/>
                <w:lang w:eastAsia="en-GB"/>
              </w:rPr>
            </w:pPr>
            <w:r w:rsidRPr="002F0142">
              <w:rPr>
                <w:rFonts w:ascii="Calibri" w:eastAsia="Times New Roman" w:hAnsi="Calibri" w:cs="Calibri"/>
                <w:color w:val="000000"/>
                <w:lang w:eastAsia="en-GB"/>
              </w:rPr>
              <w:t>1.754%</w:t>
            </w:r>
          </w:p>
        </w:tc>
        <w:tc>
          <w:tcPr>
            <w:tcW w:w="1213" w:type="dxa"/>
            <w:tcBorders>
              <w:top w:val="nil"/>
              <w:left w:val="nil"/>
              <w:bottom w:val="nil"/>
              <w:right w:val="nil"/>
            </w:tcBorders>
            <w:shd w:val="clear" w:color="auto" w:fill="auto"/>
            <w:noWrap/>
            <w:vAlign w:val="bottom"/>
            <w:hideMark/>
          </w:tcPr>
          <w:p w14:paraId="50D6F232"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1.375%</w:t>
            </w:r>
          </w:p>
        </w:tc>
        <w:tc>
          <w:tcPr>
            <w:tcW w:w="1012" w:type="dxa"/>
            <w:tcBorders>
              <w:top w:val="nil"/>
              <w:left w:val="nil"/>
              <w:bottom w:val="nil"/>
              <w:right w:val="nil"/>
            </w:tcBorders>
            <w:shd w:val="clear" w:color="auto" w:fill="auto"/>
            <w:noWrap/>
            <w:vAlign w:val="bottom"/>
            <w:hideMark/>
          </w:tcPr>
          <w:p w14:paraId="6116369D"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0.941%</w:t>
            </w:r>
          </w:p>
        </w:tc>
        <w:tc>
          <w:tcPr>
            <w:tcW w:w="1075" w:type="dxa"/>
            <w:tcBorders>
              <w:top w:val="nil"/>
              <w:left w:val="nil"/>
              <w:bottom w:val="nil"/>
              <w:right w:val="nil"/>
            </w:tcBorders>
            <w:shd w:val="clear" w:color="auto" w:fill="auto"/>
            <w:noWrap/>
            <w:vAlign w:val="bottom"/>
            <w:hideMark/>
          </w:tcPr>
          <w:p w14:paraId="2C3A05B2" w14:textId="77777777" w:rsidR="00E64C37" w:rsidRPr="002F0142" w:rsidRDefault="00E64C37" w:rsidP="001C7ACA">
            <w:pPr>
              <w:spacing w:after="0" w:line="240" w:lineRule="auto"/>
              <w:jc w:val="right"/>
              <w:rPr>
                <w:rFonts w:ascii="Calibri" w:eastAsia="Times New Roman" w:hAnsi="Calibri" w:cs="Calibri"/>
                <w:color w:val="000000"/>
                <w:lang w:eastAsia="en-GB"/>
              </w:rPr>
            </w:pPr>
            <w:r w:rsidRPr="002F0142">
              <w:rPr>
                <w:rFonts w:ascii="Calibri" w:eastAsia="Times New Roman" w:hAnsi="Calibri" w:cs="Calibri"/>
                <w:color w:val="000000"/>
                <w:lang w:eastAsia="en-GB"/>
              </w:rPr>
              <w:t>10.635%</w:t>
            </w:r>
          </w:p>
        </w:tc>
      </w:tr>
    </w:tbl>
    <w:p w14:paraId="64EBF8AE" w14:textId="17267571" w:rsidR="00E50008" w:rsidRDefault="00E64C37" w:rsidP="00E64C37">
      <w:pPr>
        <w:pStyle w:val="Caption"/>
      </w:pPr>
      <w:bookmarkStart w:id="2" w:name="_Ref514846591"/>
      <w:r>
        <w:t xml:space="preserve">Table </w:t>
      </w:r>
      <w:fldSimple w:instr=" SEQ Table \* ARABIC ">
        <w:r>
          <w:rPr>
            <w:noProof/>
          </w:rPr>
          <w:t>2</w:t>
        </w:r>
      </w:fldSimple>
      <w:bookmarkEnd w:id="2"/>
    </w:p>
    <w:p w14:paraId="397437FC" w14:textId="4C09952C" w:rsidR="00200C50" w:rsidRDefault="00200C50" w:rsidP="00200C50">
      <w:r>
        <w:rPr>
          <w:noProof/>
        </w:rPr>
        <w:lastRenderedPageBreak/>
        <w:drawing>
          <wp:inline distT="0" distB="0" distL="0" distR="0" wp14:anchorId="6E0F0905" wp14:editId="5D92847C">
            <wp:extent cx="5731510" cy="4000500"/>
            <wp:effectExtent l="0" t="0" r="2540" b="0"/>
            <wp:docPr id="2" name="Chart 2">
              <a:extLst xmlns:a="http://schemas.openxmlformats.org/drawingml/2006/main">
                <a:ext uri="{FF2B5EF4-FFF2-40B4-BE49-F238E27FC236}">
                  <a16:creationId xmlns:a16="http://schemas.microsoft.com/office/drawing/2014/main" id="{3125BAF7-378E-4FB7-9F5C-0483EC80A3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38F9116" w14:textId="7FD3232E" w:rsidR="00C87C67" w:rsidRDefault="00C87C67" w:rsidP="00C87C67">
      <w:sdt>
        <w:sdtPr>
          <w:id w:val="-2062162299"/>
          <w:citation/>
        </w:sdtPr>
        <w:sdtContent>
          <w:r>
            <w:fldChar w:fldCharType="begin"/>
          </w:r>
          <w:r>
            <w:instrText xml:space="preserve"> CITATION Off17 \l 2057 </w:instrText>
          </w:r>
          <w:r>
            <w:fldChar w:fldCharType="separate"/>
          </w:r>
          <w:r w:rsidRPr="00C87C67">
            <w:rPr>
              <w:noProof/>
            </w:rPr>
            <w:t>(Office for National Statistics, 2017)</w:t>
          </w:r>
          <w:r>
            <w:fldChar w:fldCharType="end"/>
          </w:r>
        </w:sdtContent>
      </w:sdt>
      <w:r>
        <w:t xml:space="preserve"> </w:t>
      </w:r>
      <w:r>
        <w:fldChar w:fldCharType="begin"/>
      </w:r>
      <w:r>
        <w:instrText xml:space="preserve"> REF _Ref514846591 \h </w:instrText>
      </w:r>
      <w:r>
        <w:fldChar w:fldCharType="separate"/>
      </w:r>
      <w:r>
        <w:t xml:space="preserve">Table </w:t>
      </w:r>
      <w:r>
        <w:rPr>
          <w:noProof/>
        </w:rPr>
        <w:t>2</w:t>
      </w:r>
      <w:r>
        <w:fldChar w:fldCharType="end"/>
      </w:r>
    </w:p>
    <w:p w14:paraId="75BDCEC8" w14:textId="77777777" w:rsidR="00C87C67" w:rsidRDefault="00C87C67" w:rsidP="00C87C67">
      <w:r>
        <w:t xml:space="preserve">Notes - </w:t>
      </w:r>
      <w:r w:rsidRPr="00C5490E">
        <w:t>The proportion of 16 to 64-year-olds in working-age workless households decreased by almost 3 percentage points from 2011 to 2016, following a 1 percentage point increase in the five years before this. The most common reason for not working in these households has continued to be sickness or disability but the pattern of change was most driven by increases and decreases in unemployment.</w:t>
      </w:r>
    </w:p>
    <w:p w14:paraId="0DB2CE0A" w14:textId="77777777" w:rsidR="00C87C67" w:rsidRDefault="00C87C67" w:rsidP="00C87C67">
      <w:r w:rsidRPr="00C5490E">
        <w:t>The percentage of people who are not working due to retirement before the age of 65 has decreased since 2009, partly as a result of the increase in the female state pension age.</w:t>
      </w:r>
    </w:p>
    <w:p w14:paraId="1F970105" w14:textId="14C1F70C" w:rsidR="00C87C67" w:rsidRDefault="00C87C67" w:rsidP="00C87C67">
      <w:sdt>
        <w:sdtPr>
          <w:id w:val="1405566493"/>
          <w:citation/>
        </w:sdtPr>
        <w:sdtContent>
          <w:r>
            <w:fldChar w:fldCharType="begin"/>
          </w:r>
          <w:r>
            <w:instrText xml:space="preserve">CITATION Off17 \l 2057 </w:instrText>
          </w:r>
          <w:r>
            <w:fldChar w:fldCharType="separate"/>
          </w:r>
          <w:r w:rsidRPr="00C87C67">
            <w:rPr>
              <w:noProof/>
            </w:rPr>
            <w:t>(Office for National Statistics, 2017)</w:t>
          </w:r>
          <w:r>
            <w:fldChar w:fldCharType="end"/>
          </w:r>
        </w:sdtContent>
      </w:sdt>
    </w:p>
    <w:p w14:paraId="26AC85A3" w14:textId="77777777" w:rsidR="00C87C67" w:rsidRPr="00200C50" w:rsidRDefault="00C87C67" w:rsidP="00200C50"/>
    <w:sectPr w:rsidR="00C87C67" w:rsidRPr="00200C50" w:rsidSect="00E2162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46E148" w14:textId="77777777" w:rsidR="00E25828" w:rsidRDefault="00E25828" w:rsidP="00901537">
      <w:pPr>
        <w:spacing w:after="0" w:line="240" w:lineRule="auto"/>
      </w:pPr>
      <w:r>
        <w:separator/>
      </w:r>
    </w:p>
  </w:endnote>
  <w:endnote w:type="continuationSeparator" w:id="0">
    <w:p w14:paraId="5673269C" w14:textId="77777777" w:rsidR="00E25828" w:rsidRDefault="00E25828" w:rsidP="009015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2026633"/>
      <w:docPartObj>
        <w:docPartGallery w:val="Page Numbers (Bottom of Page)"/>
        <w:docPartUnique/>
      </w:docPartObj>
    </w:sdtPr>
    <w:sdtEndPr>
      <w:rPr>
        <w:noProof/>
      </w:rPr>
    </w:sdtEndPr>
    <w:sdtContent>
      <w:p w14:paraId="7D878AE3" w14:textId="0D063586" w:rsidR="00901537" w:rsidRDefault="009015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FCDC108" w14:textId="77777777" w:rsidR="00901537" w:rsidRDefault="009015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6D30EA" w14:textId="77777777" w:rsidR="00E25828" w:rsidRDefault="00E25828" w:rsidP="00901537">
      <w:pPr>
        <w:spacing w:after="0" w:line="240" w:lineRule="auto"/>
      </w:pPr>
      <w:r>
        <w:separator/>
      </w:r>
    </w:p>
  </w:footnote>
  <w:footnote w:type="continuationSeparator" w:id="0">
    <w:p w14:paraId="2B3D225F" w14:textId="77777777" w:rsidR="00E25828" w:rsidRDefault="00E25828" w:rsidP="009015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7966"/>
    <w:rsid w:val="0002396D"/>
    <w:rsid w:val="00050140"/>
    <w:rsid w:val="000848AB"/>
    <w:rsid w:val="000B02FC"/>
    <w:rsid w:val="00141DC0"/>
    <w:rsid w:val="0017744B"/>
    <w:rsid w:val="001A5CF2"/>
    <w:rsid w:val="001F5EA1"/>
    <w:rsid w:val="00200C50"/>
    <w:rsid w:val="002232A7"/>
    <w:rsid w:val="0023793E"/>
    <w:rsid w:val="002A2DE1"/>
    <w:rsid w:val="002F0142"/>
    <w:rsid w:val="00301B93"/>
    <w:rsid w:val="00344670"/>
    <w:rsid w:val="00365905"/>
    <w:rsid w:val="003B7966"/>
    <w:rsid w:val="003B7D25"/>
    <w:rsid w:val="0043341E"/>
    <w:rsid w:val="004370D7"/>
    <w:rsid w:val="00503399"/>
    <w:rsid w:val="00582062"/>
    <w:rsid w:val="005963B2"/>
    <w:rsid w:val="006A3B5E"/>
    <w:rsid w:val="006C0C24"/>
    <w:rsid w:val="007355D9"/>
    <w:rsid w:val="00783B42"/>
    <w:rsid w:val="007D786C"/>
    <w:rsid w:val="00901537"/>
    <w:rsid w:val="0095034D"/>
    <w:rsid w:val="00990ADF"/>
    <w:rsid w:val="009A57EC"/>
    <w:rsid w:val="009C760A"/>
    <w:rsid w:val="00A71A86"/>
    <w:rsid w:val="00A71B61"/>
    <w:rsid w:val="00AA23AB"/>
    <w:rsid w:val="00AC58B1"/>
    <w:rsid w:val="00AE365D"/>
    <w:rsid w:val="00B0343C"/>
    <w:rsid w:val="00B03B27"/>
    <w:rsid w:val="00BA6369"/>
    <w:rsid w:val="00BB0456"/>
    <w:rsid w:val="00BC5E03"/>
    <w:rsid w:val="00BF4D34"/>
    <w:rsid w:val="00C5490E"/>
    <w:rsid w:val="00C7070A"/>
    <w:rsid w:val="00C84718"/>
    <w:rsid w:val="00C87C67"/>
    <w:rsid w:val="00C97354"/>
    <w:rsid w:val="00CF3674"/>
    <w:rsid w:val="00D529FD"/>
    <w:rsid w:val="00D758E1"/>
    <w:rsid w:val="00D979AF"/>
    <w:rsid w:val="00DE6523"/>
    <w:rsid w:val="00E21627"/>
    <w:rsid w:val="00E25828"/>
    <w:rsid w:val="00E50008"/>
    <w:rsid w:val="00E64C37"/>
    <w:rsid w:val="00E83A6C"/>
    <w:rsid w:val="00F5309A"/>
    <w:rsid w:val="00F946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CF851D"/>
  <w15:chartTrackingRefBased/>
  <w15:docId w15:val="{72EEA96C-06A0-4F63-A21E-159214F40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C0C24"/>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0C2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C0C24"/>
  </w:style>
  <w:style w:type="paragraph" w:styleId="BalloonText">
    <w:name w:val="Balloon Text"/>
    <w:basedOn w:val="Normal"/>
    <w:link w:val="BalloonTextChar"/>
    <w:uiPriority w:val="99"/>
    <w:semiHidden/>
    <w:unhideWhenUsed/>
    <w:rsid w:val="000848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48AB"/>
    <w:rPr>
      <w:rFonts w:ascii="Segoe UI" w:hAnsi="Segoe UI" w:cs="Segoe UI"/>
      <w:sz w:val="18"/>
      <w:szCs w:val="18"/>
    </w:rPr>
  </w:style>
  <w:style w:type="paragraph" w:styleId="Header">
    <w:name w:val="header"/>
    <w:basedOn w:val="Normal"/>
    <w:link w:val="HeaderChar"/>
    <w:uiPriority w:val="99"/>
    <w:unhideWhenUsed/>
    <w:rsid w:val="009015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537"/>
  </w:style>
  <w:style w:type="paragraph" w:styleId="Footer">
    <w:name w:val="footer"/>
    <w:basedOn w:val="Normal"/>
    <w:link w:val="FooterChar"/>
    <w:uiPriority w:val="99"/>
    <w:unhideWhenUsed/>
    <w:rsid w:val="009015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537"/>
  </w:style>
  <w:style w:type="paragraph" w:styleId="Caption">
    <w:name w:val="caption"/>
    <w:basedOn w:val="Normal"/>
    <w:next w:val="Normal"/>
    <w:uiPriority w:val="35"/>
    <w:unhideWhenUsed/>
    <w:qFormat/>
    <w:rsid w:val="00E64C3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69472">
      <w:bodyDiv w:val="1"/>
      <w:marLeft w:val="0"/>
      <w:marRight w:val="0"/>
      <w:marTop w:val="0"/>
      <w:marBottom w:val="0"/>
      <w:divBdr>
        <w:top w:val="none" w:sz="0" w:space="0" w:color="auto"/>
        <w:left w:val="none" w:sz="0" w:space="0" w:color="auto"/>
        <w:bottom w:val="none" w:sz="0" w:space="0" w:color="auto"/>
        <w:right w:val="none" w:sz="0" w:space="0" w:color="auto"/>
      </w:divBdr>
    </w:div>
    <w:div w:id="73669287">
      <w:bodyDiv w:val="1"/>
      <w:marLeft w:val="0"/>
      <w:marRight w:val="0"/>
      <w:marTop w:val="0"/>
      <w:marBottom w:val="0"/>
      <w:divBdr>
        <w:top w:val="none" w:sz="0" w:space="0" w:color="auto"/>
        <w:left w:val="none" w:sz="0" w:space="0" w:color="auto"/>
        <w:bottom w:val="none" w:sz="0" w:space="0" w:color="auto"/>
        <w:right w:val="none" w:sz="0" w:space="0" w:color="auto"/>
      </w:divBdr>
    </w:div>
    <w:div w:id="111439493">
      <w:bodyDiv w:val="1"/>
      <w:marLeft w:val="0"/>
      <w:marRight w:val="0"/>
      <w:marTop w:val="0"/>
      <w:marBottom w:val="0"/>
      <w:divBdr>
        <w:top w:val="none" w:sz="0" w:space="0" w:color="auto"/>
        <w:left w:val="none" w:sz="0" w:space="0" w:color="auto"/>
        <w:bottom w:val="none" w:sz="0" w:space="0" w:color="auto"/>
        <w:right w:val="none" w:sz="0" w:space="0" w:color="auto"/>
      </w:divBdr>
    </w:div>
    <w:div w:id="157696256">
      <w:bodyDiv w:val="1"/>
      <w:marLeft w:val="0"/>
      <w:marRight w:val="0"/>
      <w:marTop w:val="0"/>
      <w:marBottom w:val="0"/>
      <w:divBdr>
        <w:top w:val="none" w:sz="0" w:space="0" w:color="auto"/>
        <w:left w:val="none" w:sz="0" w:space="0" w:color="auto"/>
        <w:bottom w:val="none" w:sz="0" w:space="0" w:color="auto"/>
        <w:right w:val="none" w:sz="0" w:space="0" w:color="auto"/>
      </w:divBdr>
    </w:div>
    <w:div w:id="166406604">
      <w:bodyDiv w:val="1"/>
      <w:marLeft w:val="0"/>
      <w:marRight w:val="0"/>
      <w:marTop w:val="0"/>
      <w:marBottom w:val="0"/>
      <w:divBdr>
        <w:top w:val="none" w:sz="0" w:space="0" w:color="auto"/>
        <w:left w:val="none" w:sz="0" w:space="0" w:color="auto"/>
        <w:bottom w:val="none" w:sz="0" w:space="0" w:color="auto"/>
        <w:right w:val="none" w:sz="0" w:space="0" w:color="auto"/>
      </w:divBdr>
    </w:div>
    <w:div w:id="228539340">
      <w:bodyDiv w:val="1"/>
      <w:marLeft w:val="0"/>
      <w:marRight w:val="0"/>
      <w:marTop w:val="0"/>
      <w:marBottom w:val="0"/>
      <w:divBdr>
        <w:top w:val="none" w:sz="0" w:space="0" w:color="auto"/>
        <w:left w:val="none" w:sz="0" w:space="0" w:color="auto"/>
        <w:bottom w:val="none" w:sz="0" w:space="0" w:color="auto"/>
        <w:right w:val="none" w:sz="0" w:space="0" w:color="auto"/>
      </w:divBdr>
    </w:div>
    <w:div w:id="245186907">
      <w:bodyDiv w:val="1"/>
      <w:marLeft w:val="0"/>
      <w:marRight w:val="0"/>
      <w:marTop w:val="0"/>
      <w:marBottom w:val="0"/>
      <w:divBdr>
        <w:top w:val="none" w:sz="0" w:space="0" w:color="auto"/>
        <w:left w:val="none" w:sz="0" w:space="0" w:color="auto"/>
        <w:bottom w:val="none" w:sz="0" w:space="0" w:color="auto"/>
        <w:right w:val="none" w:sz="0" w:space="0" w:color="auto"/>
      </w:divBdr>
    </w:div>
    <w:div w:id="305747400">
      <w:bodyDiv w:val="1"/>
      <w:marLeft w:val="0"/>
      <w:marRight w:val="0"/>
      <w:marTop w:val="0"/>
      <w:marBottom w:val="0"/>
      <w:divBdr>
        <w:top w:val="none" w:sz="0" w:space="0" w:color="auto"/>
        <w:left w:val="none" w:sz="0" w:space="0" w:color="auto"/>
        <w:bottom w:val="none" w:sz="0" w:space="0" w:color="auto"/>
        <w:right w:val="none" w:sz="0" w:space="0" w:color="auto"/>
      </w:divBdr>
    </w:div>
    <w:div w:id="308286662">
      <w:bodyDiv w:val="1"/>
      <w:marLeft w:val="0"/>
      <w:marRight w:val="0"/>
      <w:marTop w:val="0"/>
      <w:marBottom w:val="0"/>
      <w:divBdr>
        <w:top w:val="none" w:sz="0" w:space="0" w:color="auto"/>
        <w:left w:val="none" w:sz="0" w:space="0" w:color="auto"/>
        <w:bottom w:val="none" w:sz="0" w:space="0" w:color="auto"/>
        <w:right w:val="none" w:sz="0" w:space="0" w:color="auto"/>
      </w:divBdr>
    </w:div>
    <w:div w:id="315107276">
      <w:bodyDiv w:val="1"/>
      <w:marLeft w:val="0"/>
      <w:marRight w:val="0"/>
      <w:marTop w:val="0"/>
      <w:marBottom w:val="0"/>
      <w:divBdr>
        <w:top w:val="none" w:sz="0" w:space="0" w:color="auto"/>
        <w:left w:val="none" w:sz="0" w:space="0" w:color="auto"/>
        <w:bottom w:val="none" w:sz="0" w:space="0" w:color="auto"/>
        <w:right w:val="none" w:sz="0" w:space="0" w:color="auto"/>
      </w:divBdr>
    </w:div>
    <w:div w:id="315690094">
      <w:bodyDiv w:val="1"/>
      <w:marLeft w:val="0"/>
      <w:marRight w:val="0"/>
      <w:marTop w:val="0"/>
      <w:marBottom w:val="0"/>
      <w:divBdr>
        <w:top w:val="none" w:sz="0" w:space="0" w:color="auto"/>
        <w:left w:val="none" w:sz="0" w:space="0" w:color="auto"/>
        <w:bottom w:val="none" w:sz="0" w:space="0" w:color="auto"/>
        <w:right w:val="none" w:sz="0" w:space="0" w:color="auto"/>
      </w:divBdr>
    </w:div>
    <w:div w:id="371419775">
      <w:bodyDiv w:val="1"/>
      <w:marLeft w:val="0"/>
      <w:marRight w:val="0"/>
      <w:marTop w:val="0"/>
      <w:marBottom w:val="0"/>
      <w:divBdr>
        <w:top w:val="none" w:sz="0" w:space="0" w:color="auto"/>
        <w:left w:val="none" w:sz="0" w:space="0" w:color="auto"/>
        <w:bottom w:val="none" w:sz="0" w:space="0" w:color="auto"/>
        <w:right w:val="none" w:sz="0" w:space="0" w:color="auto"/>
      </w:divBdr>
    </w:div>
    <w:div w:id="376004401">
      <w:bodyDiv w:val="1"/>
      <w:marLeft w:val="0"/>
      <w:marRight w:val="0"/>
      <w:marTop w:val="0"/>
      <w:marBottom w:val="0"/>
      <w:divBdr>
        <w:top w:val="none" w:sz="0" w:space="0" w:color="auto"/>
        <w:left w:val="none" w:sz="0" w:space="0" w:color="auto"/>
        <w:bottom w:val="none" w:sz="0" w:space="0" w:color="auto"/>
        <w:right w:val="none" w:sz="0" w:space="0" w:color="auto"/>
      </w:divBdr>
    </w:div>
    <w:div w:id="396586789">
      <w:bodyDiv w:val="1"/>
      <w:marLeft w:val="0"/>
      <w:marRight w:val="0"/>
      <w:marTop w:val="0"/>
      <w:marBottom w:val="0"/>
      <w:divBdr>
        <w:top w:val="none" w:sz="0" w:space="0" w:color="auto"/>
        <w:left w:val="none" w:sz="0" w:space="0" w:color="auto"/>
        <w:bottom w:val="none" w:sz="0" w:space="0" w:color="auto"/>
        <w:right w:val="none" w:sz="0" w:space="0" w:color="auto"/>
      </w:divBdr>
    </w:div>
    <w:div w:id="413012946">
      <w:bodyDiv w:val="1"/>
      <w:marLeft w:val="0"/>
      <w:marRight w:val="0"/>
      <w:marTop w:val="0"/>
      <w:marBottom w:val="0"/>
      <w:divBdr>
        <w:top w:val="none" w:sz="0" w:space="0" w:color="auto"/>
        <w:left w:val="none" w:sz="0" w:space="0" w:color="auto"/>
        <w:bottom w:val="none" w:sz="0" w:space="0" w:color="auto"/>
        <w:right w:val="none" w:sz="0" w:space="0" w:color="auto"/>
      </w:divBdr>
    </w:div>
    <w:div w:id="443426624">
      <w:bodyDiv w:val="1"/>
      <w:marLeft w:val="0"/>
      <w:marRight w:val="0"/>
      <w:marTop w:val="0"/>
      <w:marBottom w:val="0"/>
      <w:divBdr>
        <w:top w:val="none" w:sz="0" w:space="0" w:color="auto"/>
        <w:left w:val="none" w:sz="0" w:space="0" w:color="auto"/>
        <w:bottom w:val="none" w:sz="0" w:space="0" w:color="auto"/>
        <w:right w:val="none" w:sz="0" w:space="0" w:color="auto"/>
      </w:divBdr>
    </w:div>
    <w:div w:id="445933557">
      <w:bodyDiv w:val="1"/>
      <w:marLeft w:val="0"/>
      <w:marRight w:val="0"/>
      <w:marTop w:val="0"/>
      <w:marBottom w:val="0"/>
      <w:divBdr>
        <w:top w:val="none" w:sz="0" w:space="0" w:color="auto"/>
        <w:left w:val="none" w:sz="0" w:space="0" w:color="auto"/>
        <w:bottom w:val="none" w:sz="0" w:space="0" w:color="auto"/>
        <w:right w:val="none" w:sz="0" w:space="0" w:color="auto"/>
      </w:divBdr>
    </w:div>
    <w:div w:id="455225562">
      <w:bodyDiv w:val="1"/>
      <w:marLeft w:val="0"/>
      <w:marRight w:val="0"/>
      <w:marTop w:val="0"/>
      <w:marBottom w:val="0"/>
      <w:divBdr>
        <w:top w:val="none" w:sz="0" w:space="0" w:color="auto"/>
        <w:left w:val="none" w:sz="0" w:space="0" w:color="auto"/>
        <w:bottom w:val="none" w:sz="0" w:space="0" w:color="auto"/>
        <w:right w:val="none" w:sz="0" w:space="0" w:color="auto"/>
      </w:divBdr>
    </w:div>
    <w:div w:id="487596126">
      <w:bodyDiv w:val="1"/>
      <w:marLeft w:val="0"/>
      <w:marRight w:val="0"/>
      <w:marTop w:val="0"/>
      <w:marBottom w:val="0"/>
      <w:divBdr>
        <w:top w:val="none" w:sz="0" w:space="0" w:color="auto"/>
        <w:left w:val="none" w:sz="0" w:space="0" w:color="auto"/>
        <w:bottom w:val="none" w:sz="0" w:space="0" w:color="auto"/>
        <w:right w:val="none" w:sz="0" w:space="0" w:color="auto"/>
      </w:divBdr>
    </w:div>
    <w:div w:id="520898537">
      <w:bodyDiv w:val="1"/>
      <w:marLeft w:val="0"/>
      <w:marRight w:val="0"/>
      <w:marTop w:val="0"/>
      <w:marBottom w:val="0"/>
      <w:divBdr>
        <w:top w:val="none" w:sz="0" w:space="0" w:color="auto"/>
        <w:left w:val="none" w:sz="0" w:space="0" w:color="auto"/>
        <w:bottom w:val="none" w:sz="0" w:space="0" w:color="auto"/>
        <w:right w:val="none" w:sz="0" w:space="0" w:color="auto"/>
      </w:divBdr>
    </w:div>
    <w:div w:id="526214142">
      <w:bodyDiv w:val="1"/>
      <w:marLeft w:val="0"/>
      <w:marRight w:val="0"/>
      <w:marTop w:val="0"/>
      <w:marBottom w:val="0"/>
      <w:divBdr>
        <w:top w:val="none" w:sz="0" w:space="0" w:color="auto"/>
        <w:left w:val="none" w:sz="0" w:space="0" w:color="auto"/>
        <w:bottom w:val="none" w:sz="0" w:space="0" w:color="auto"/>
        <w:right w:val="none" w:sz="0" w:space="0" w:color="auto"/>
      </w:divBdr>
    </w:div>
    <w:div w:id="587080446">
      <w:bodyDiv w:val="1"/>
      <w:marLeft w:val="0"/>
      <w:marRight w:val="0"/>
      <w:marTop w:val="0"/>
      <w:marBottom w:val="0"/>
      <w:divBdr>
        <w:top w:val="none" w:sz="0" w:space="0" w:color="auto"/>
        <w:left w:val="none" w:sz="0" w:space="0" w:color="auto"/>
        <w:bottom w:val="none" w:sz="0" w:space="0" w:color="auto"/>
        <w:right w:val="none" w:sz="0" w:space="0" w:color="auto"/>
      </w:divBdr>
    </w:div>
    <w:div w:id="612631432">
      <w:bodyDiv w:val="1"/>
      <w:marLeft w:val="0"/>
      <w:marRight w:val="0"/>
      <w:marTop w:val="0"/>
      <w:marBottom w:val="0"/>
      <w:divBdr>
        <w:top w:val="none" w:sz="0" w:space="0" w:color="auto"/>
        <w:left w:val="none" w:sz="0" w:space="0" w:color="auto"/>
        <w:bottom w:val="none" w:sz="0" w:space="0" w:color="auto"/>
        <w:right w:val="none" w:sz="0" w:space="0" w:color="auto"/>
      </w:divBdr>
    </w:div>
    <w:div w:id="626005134">
      <w:bodyDiv w:val="1"/>
      <w:marLeft w:val="0"/>
      <w:marRight w:val="0"/>
      <w:marTop w:val="0"/>
      <w:marBottom w:val="0"/>
      <w:divBdr>
        <w:top w:val="none" w:sz="0" w:space="0" w:color="auto"/>
        <w:left w:val="none" w:sz="0" w:space="0" w:color="auto"/>
        <w:bottom w:val="none" w:sz="0" w:space="0" w:color="auto"/>
        <w:right w:val="none" w:sz="0" w:space="0" w:color="auto"/>
      </w:divBdr>
    </w:div>
    <w:div w:id="634916915">
      <w:bodyDiv w:val="1"/>
      <w:marLeft w:val="0"/>
      <w:marRight w:val="0"/>
      <w:marTop w:val="0"/>
      <w:marBottom w:val="0"/>
      <w:divBdr>
        <w:top w:val="none" w:sz="0" w:space="0" w:color="auto"/>
        <w:left w:val="none" w:sz="0" w:space="0" w:color="auto"/>
        <w:bottom w:val="none" w:sz="0" w:space="0" w:color="auto"/>
        <w:right w:val="none" w:sz="0" w:space="0" w:color="auto"/>
      </w:divBdr>
    </w:div>
    <w:div w:id="733816443">
      <w:bodyDiv w:val="1"/>
      <w:marLeft w:val="0"/>
      <w:marRight w:val="0"/>
      <w:marTop w:val="0"/>
      <w:marBottom w:val="0"/>
      <w:divBdr>
        <w:top w:val="none" w:sz="0" w:space="0" w:color="auto"/>
        <w:left w:val="none" w:sz="0" w:space="0" w:color="auto"/>
        <w:bottom w:val="none" w:sz="0" w:space="0" w:color="auto"/>
        <w:right w:val="none" w:sz="0" w:space="0" w:color="auto"/>
      </w:divBdr>
    </w:div>
    <w:div w:id="750857068">
      <w:bodyDiv w:val="1"/>
      <w:marLeft w:val="0"/>
      <w:marRight w:val="0"/>
      <w:marTop w:val="0"/>
      <w:marBottom w:val="0"/>
      <w:divBdr>
        <w:top w:val="none" w:sz="0" w:space="0" w:color="auto"/>
        <w:left w:val="none" w:sz="0" w:space="0" w:color="auto"/>
        <w:bottom w:val="none" w:sz="0" w:space="0" w:color="auto"/>
        <w:right w:val="none" w:sz="0" w:space="0" w:color="auto"/>
      </w:divBdr>
    </w:div>
    <w:div w:id="818690227">
      <w:bodyDiv w:val="1"/>
      <w:marLeft w:val="0"/>
      <w:marRight w:val="0"/>
      <w:marTop w:val="0"/>
      <w:marBottom w:val="0"/>
      <w:divBdr>
        <w:top w:val="none" w:sz="0" w:space="0" w:color="auto"/>
        <w:left w:val="none" w:sz="0" w:space="0" w:color="auto"/>
        <w:bottom w:val="none" w:sz="0" w:space="0" w:color="auto"/>
        <w:right w:val="none" w:sz="0" w:space="0" w:color="auto"/>
      </w:divBdr>
    </w:div>
    <w:div w:id="830412604">
      <w:bodyDiv w:val="1"/>
      <w:marLeft w:val="0"/>
      <w:marRight w:val="0"/>
      <w:marTop w:val="0"/>
      <w:marBottom w:val="0"/>
      <w:divBdr>
        <w:top w:val="none" w:sz="0" w:space="0" w:color="auto"/>
        <w:left w:val="none" w:sz="0" w:space="0" w:color="auto"/>
        <w:bottom w:val="none" w:sz="0" w:space="0" w:color="auto"/>
        <w:right w:val="none" w:sz="0" w:space="0" w:color="auto"/>
      </w:divBdr>
    </w:div>
    <w:div w:id="869343164">
      <w:bodyDiv w:val="1"/>
      <w:marLeft w:val="0"/>
      <w:marRight w:val="0"/>
      <w:marTop w:val="0"/>
      <w:marBottom w:val="0"/>
      <w:divBdr>
        <w:top w:val="none" w:sz="0" w:space="0" w:color="auto"/>
        <w:left w:val="none" w:sz="0" w:space="0" w:color="auto"/>
        <w:bottom w:val="none" w:sz="0" w:space="0" w:color="auto"/>
        <w:right w:val="none" w:sz="0" w:space="0" w:color="auto"/>
      </w:divBdr>
    </w:div>
    <w:div w:id="893394459">
      <w:bodyDiv w:val="1"/>
      <w:marLeft w:val="0"/>
      <w:marRight w:val="0"/>
      <w:marTop w:val="0"/>
      <w:marBottom w:val="0"/>
      <w:divBdr>
        <w:top w:val="none" w:sz="0" w:space="0" w:color="auto"/>
        <w:left w:val="none" w:sz="0" w:space="0" w:color="auto"/>
        <w:bottom w:val="none" w:sz="0" w:space="0" w:color="auto"/>
        <w:right w:val="none" w:sz="0" w:space="0" w:color="auto"/>
      </w:divBdr>
    </w:div>
    <w:div w:id="894852796">
      <w:bodyDiv w:val="1"/>
      <w:marLeft w:val="0"/>
      <w:marRight w:val="0"/>
      <w:marTop w:val="0"/>
      <w:marBottom w:val="0"/>
      <w:divBdr>
        <w:top w:val="none" w:sz="0" w:space="0" w:color="auto"/>
        <w:left w:val="none" w:sz="0" w:space="0" w:color="auto"/>
        <w:bottom w:val="none" w:sz="0" w:space="0" w:color="auto"/>
        <w:right w:val="none" w:sz="0" w:space="0" w:color="auto"/>
      </w:divBdr>
    </w:div>
    <w:div w:id="933174237">
      <w:bodyDiv w:val="1"/>
      <w:marLeft w:val="0"/>
      <w:marRight w:val="0"/>
      <w:marTop w:val="0"/>
      <w:marBottom w:val="0"/>
      <w:divBdr>
        <w:top w:val="none" w:sz="0" w:space="0" w:color="auto"/>
        <w:left w:val="none" w:sz="0" w:space="0" w:color="auto"/>
        <w:bottom w:val="none" w:sz="0" w:space="0" w:color="auto"/>
        <w:right w:val="none" w:sz="0" w:space="0" w:color="auto"/>
      </w:divBdr>
    </w:div>
    <w:div w:id="958682957">
      <w:bodyDiv w:val="1"/>
      <w:marLeft w:val="0"/>
      <w:marRight w:val="0"/>
      <w:marTop w:val="0"/>
      <w:marBottom w:val="0"/>
      <w:divBdr>
        <w:top w:val="none" w:sz="0" w:space="0" w:color="auto"/>
        <w:left w:val="none" w:sz="0" w:space="0" w:color="auto"/>
        <w:bottom w:val="none" w:sz="0" w:space="0" w:color="auto"/>
        <w:right w:val="none" w:sz="0" w:space="0" w:color="auto"/>
      </w:divBdr>
    </w:div>
    <w:div w:id="980188127">
      <w:bodyDiv w:val="1"/>
      <w:marLeft w:val="0"/>
      <w:marRight w:val="0"/>
      <w:marTop w:val="0"/>
      <w:marBottom w:val="0"/>
      <w:divBdr>
        <w:top w:val="none" w:sz="0" w:space="0" w:color="auto"/>
        <w:left w:val="none" w:sz="0" w:space="0" w:color="auto"/>
        <w:bottom w:val="none" w:sz="0" w:space="0" w:color="auto"/>
        <w:right w:val="none" w:sz="0" w:space="0" w:color="auto"/>
      </w:divBdr>
    </w:div>
    <w:div w:id="1014451999">
      <w:bodyDiv w:val="1"/>
      <w:marLeft w:val="0"/>
      <w:marRight w:val="0"/>
      <w:marTop w:val="0"/>
      <w:marBottom w:val="0"/>
      <w:divBdr>
        <w:top w:val="none" w:sz="0" w:space="0" w:color="auto"/>
        <w:left w:val="none" w:sz="0" w:space="0" w:color="auto"/>
        <w:bottom w:val="none" w:sz="0" w:space="0" w:color="auto"/>
        <w:right w:val="none" w:sz="0" w:space="0" w:color="auto"/>
      </w:divBdr>
    </w:div>
    <w:div w:id="1039860741">
      <w:bodyDiv w:val="1"/>
      <w:marLeft w:val="0"/>
      <w:marRight w:val="0"/>
      <w:marTop w:val="0"/>
      <w:marBottom w:val="0"/>
      <w:divBdr>
        <w:top w:val="none" w:sz="0" w:space="0" w:color="auto"/>
        <w:left w:val="none" w:sz="0" w:space="0" w:color="auto"/>
        <w:bottom w:val="none" w:sz="0" w:space="0" w:color="auto"/>
        <w:right w:val="none" w:sz="0" w:space="0" w:color="auto"/>
      </w:divBdr>
    </w:div>
    <w:div w:id="1051147855">
      <w:bodyDiv w:val="1"/>
      <w:marLeft w:val="0"/>
      <w:marRight w:val="0"/>
      <w:marTop w:val="0"/>
      <w:marBottom w:val="0"/>
      <w:divBdr>
        <w:top w:val="none" w:sz="0" w:space="0" w:color="auto"/>
        <w:left w:val="none" w:sz="0" w:space="0" w:color="auto"/>
        <w:bottom w:val="none" w:sz="0" w:space="0" w:color="auto"/>
        <w:right w:val="none" w:sz="0" w:space="0" w:color="auto"/>
      </w:divBdr>
    </w:div>
    <w:div w:id="1090856363">
      <w:bodyDiv w:val="1"/>
      <w:marLeft w:val="0"/>
      <w:marRight w:val="0"/>
      <w:marTop w:val="0"/>
      <w:marBottom w:val="0"/>
      <w:divBdr>
        <w:top w:val="none" w:sz="0" w:space="0" w:color="auto"/>
        <w:left w:val="none" w:sz="0" w:space="0" w:color="auto"/>
        <w:bottom w:val="none" w:sz="0" w:space="0" w:color="auto"/>
        <w:right w:val="none" w:sz="0" w:space="0" w:color="auto"/>
      </w:divBdr>
    </w:div>
    <w:div w:id="1183204798">
      <w:bodyDiv w:val="1"/>
      <w:marLeft w:val="0"/>
      <w:marRight w:val="0"/>
      <w:marTop w:val="0"/>
      <w:marBottom w:val="0"/>
      <w:divBdr>
        <w:top w:val="none" w:sz="0" w:space="0" w:color="auto"/>
        <w:left w:val="none" w:sz="0" w:space="0" w:color="auto"/>
        <w:bottom w:val="none" w:sz="0" w:space="0" w:color="auto"/>
        <w:right w:val="none" w:sz="0" w:space="0" w:color="auto"/>
      </w:divBdr>
    </w:div>
    <w:div w:id="1186168226">
      <w:bodyDiv w:val="1"/>
      <w:marLeft w:val="0"/>
      <w:marRight w:val="0"/>
      <w:marTop w:val="0"/>
      <w:marBottom w:val="0"/>
      <w:divBdr>
        <w:top w:val="none" w:sz="0" w:space="0" w:color="auto"/>
        <w:left w:val="none" w:sz="0" w:space="0" w:color="auto"/>
        <w:bottom w:val="none" w:sz="0" w:space="0" w:color="auto"/>
        <w:right w:val="none" w:sz="0" w:space="0" w:color="auto"/>
      </w:divBdr>
    </w:div>
    <w:div w:id="1194071713">
      <w:bodyDiv w:val="1"/>
      <w:marLeft w:val="0"/>
      <w:marRight w:val="0"/>
      <w:marTop w:val="0"/>
      <w:marBottom w:val="0"/>
      <w:divBdr>
        <w:top w:val="none" w:sz="0" w:space="0" w:color="auto"/>
        <w:left w:val="none" w:sz="0" w:space="0" w:color="auto"/>
        <w:bottom w:val="none" w:sz="0" w:space="0" w:color="auto"/>
        <w:right w:val="none" w:sz="0" w:space="0" w:color="auto"/>
      </w:divBdr>
    </w:div>
    <w:div w:id="1216354126">
      <w:bodyDiv w:val="1"/>
      <w:marLeft w:val="0"/>
      <w:marRight w:val="0"/>
      <w:marTop w:val="0"/>
      <w:marBottom w:val="0"/>
      <w:divBdr>
        <w:top w:val="none" w:sz="0" w:space="0" w:color="auto"/>
        <w:left w:val="none" w:sz="0" w:space="0" w:color="auto"/>
        <w:bottom w:val="none" w:sz="0" w:space="0" w:color="auto"/>
        <w:right w:val="none" w:sz="0" w:space="0" w:color="auto"/>
      </w:divBdr>
    </w:div>
    <w:div w:id="1322930066">
      <w:bodyDiv w:val="1"/>
      <w:marLeft w:val="0"/>
      <w:marRight w:val="0"/>
      <w:marTop w:val="0"/>
      <w:marBottom w:val="0"/>
      <w:divBdr>
        <w:top w:val="none" w:sz="0" w:space="0" w:color="auto"/>
        <w:left w:val="none" w:sz="0" w:space="0" w:color="auto"/>
        <w:bottom w:val="none" w:sz="0" w:space="0" w:color="auto"/>
        <w:right w:val="none" w:sz="0" w:space="0" w:color="auto"/>
      </w:divBdr>
    </w:div>
    <w:div w:id="1327854789">
      <w:bodyDiv w:val="1"/>
      <w:marLeft w:val="0"/>
      <w:marRight w:val="0"/>
      <w:marTop w:val="0"/>
      <w:marBottom w:val="0"/>
      <w:divBdr>
        <w:top w:val="none" w:sz="0" w:space="0" w:color="auto"/>
        <w:left w:val="none" w:sz="0" w:space="0" w:color="auto"/>
        <w:bottom w:val="none" w:sz="0" w:space="0" w:color="auto"/>
        <w:right w:val="none" w:sz="0" w:space="0" w:color="auto"/>
      </w:divBdr>
    </w:div>
    <w:div w:id="1387799583">
      <w:bodyDiv w:val="1"/>
      <w:marLeft w:val="0"/>
      <w:marRight w:val="0"/>
      <w:marTop w:val="0"/>
      <w:marBottom w:val="0"/>
      <w:divBdr>
        <w:top w:val="none" w:sz="0" w:space="0" w:color="auto"/>
        <w:left w:val="none" w:sz="0" w:space="0" w:color="auto"/>
        <w:bottom w:val="none" w:sz="0" w:space="0" w:color="auto"/>
        <w:right w:val="none" w:sz="0" w:space="0" w:color="auto"/>
      </w:divBdr>
    </w:div>
    <w:div w:id="1458795752">
      <w:bodyDiv w:val="1"/>
      <w:marLeft w:val="0"/>
      <w:marRight w:val="0"/>
      <w:marTop w:val="0"/>
      <w:marBottom w:val="0"/>
      <w:divBdr>
        <w:top w:val="none" w:sz="0" w:space="0" w:color="auto"/>
        <w:left w:val="none" w:sz="0" w:space="0" w:color="auto"/>
        <w:bottom w:val="none" w:sz="0" w:space="0" w:color="auto"/>
        <w:right w:val="none" w:sz="0" w:space="0" w:color="auto"/>
      </w:divBdr>
    </w:div>
    <w:div w:id="1465390474">
      <w:bodyDiv w:val="1"/>
      <w:marLeft w:val="0"/>
      <w:marRight w:val="0"/>
      <w:marTop w:val="0"/>
      <w:marBottom w:val="0"/>
      <w:divBdr>
        <w:top w:val="none" w:sz="0" w:space="0" w:color="auto"/>
        <w:left w:val="none" w:sz="0" w:space="0" w:color="auto"/>
        <w:bottom w:val="none" w:sz="0" w:space="0" w:color="auto"/>
        <w:right w:val="none" w:sz="0" w:space="0" w:color="auto"/>
      </w:divBdr>
    </w:div>
    <w:div w:id="1466391609">
      <w:bodyDiv w:val="1"/>
      <w:marLeft w:val="0"/>
      <w:marRight w:val="0"/>
      <w:marTop w:val="0"/>
      <w:marBottom w:val="0"/>
      <w:divBdr>
        <w:top w:val="none" w:sz="0" w:space="0" w:color="auto"/>
        <w:left w:val="none" w:sz="0" w:space="0" w:color="auto"/>
        <w:bottom w:val="none" w:sz="0" w:space="0" w:color="auto"/>
        <w:right w:val="none" w:sz="0" w:space="0" w:color="auto"/>
      </w:divBdr>
    </w:div>
    <w:div w:id="1473062389">
      <w:bodyDiv w:val="1"/>
      <w:marLeft w:val="0"/>
      <w:marRight w:val="0"/>
      <w:marTop w:val="0"/>
      <w:marBottom w:val="0"/>
      <w:divBdr>
        <w:top w:val="none" w:sz="0" w:space="0" w:color="auto"/>
        <w:left w:val="none" w:sz="0" w:space="0" w:color="auto"/>
        <w:bottom w:val="none" w:sz="0" w:space="0" w:color="auto"/>
        <w:right w:val="none" w:sz="0" w:space="0" w:color="auto"/>
      </w:divBdr>
    </w:div>
    <w:div w:id="1474106554">
      <w:bodyDiv w:val="1"/>
      <w:marLeft w:val="0"/>
      <w:marRight w:val="0"/>
      <w:marTop w:val="0"/>
      <w:marBottom w:val="0"/>
      <w:divBdr>
        <w:top w:val="none" w:sz="0" w:space="0" w:color="auto"/>
        <w:left w:val="none" w:sz="0" w:space="0" w:color="auto"/>
        <w:bottom w:val="none" w:sz="0" w:space="0" w:color="auto"/>
        <w:right w:val="none" w:sz="0" w:space="0" w:color="auto"/>
      </w:divBdr>
    </w:div>
    <w:div w:id="1474330382">
      <w:bodyDiv w:val="1"/>
      <w:marLeft w:val="0"/>
      <w:marRight w:val="0"/>
      <w:marTop w:val="0"/>
      <w:marBottom w:val="0"/>
      <w:divBdr>
        <w:top w:val="none" w:sz="0" w:space="0" w:color="auto"/>
        <w:left w:val="none" w:sz="0" w:space="0" w:color="auto"/>
        <w:bottom w:val="none" w:sz="0" w:space="0" w:color="auto"/>
        <w:right w:val="none" w:sz="0" w:space="0" w:color="auto"/>
      </w:divBdr>
    </w:div>
    <w:div w:id="1549995577">
      <w:bodyDiv w:val="1"/>
      <w:marLeft w:val="0"/>
      <w:marRight w:val="0"/>
      <w:marTop w:val="0"/>
      <w:marBottom w:val="0"/>
      <w:divBdr>
        <w:top w:val="none" w:sz="0" w:space="0" w:color="auto"/>
        <w:left w:val="none" w:sz="0" w:space="0" w:color="auto"/>
        <w:bottom w:val="none" w:sz="0" w:space="0" w:color="auto"/>
        <w:right w:val="none" w:sz="0" w:space="0" w:color="auto"/>
      </w:divBdr>
    </w:div>
    <w:div w:id="1571847279">
      <w:bodyDiv w:val="1"/>
      <w:marLeft w:val="0"/>
      <w:marRight w:val="0"/>
      <w:marTop w:val="0"/>
      <w:marBottom w:val="0"/>
      <w:divBdr>
        <w:top w:val="none" w:sz="0" w:space="0" w:color="auto"/>
        <w:left w:val="none" w:sz="0" w:space="0" w:color="auto"/>
        <w:bottom w:val="none" w:sz="0" w:space="0" w:color="auto"/>
        <w:right w:val="none" w:sz="0" w:space="0" w:color="auto"/>
      </w:divBdr>
    </w:div>
    <w:div w:id="1627857198">
      <w:bodyDiv w:val="1"/>
      <w:marLeft w:val="0"/>
      <w:marRight w:val="0"/>
      <w:marTop w:val="0"/>
      <w:marBottom w:val="0"/>
      <w:divBdr>
        <w:top w:val="none" w:sz="0" w:space="0" w:color="auto"/>
        <w:left w:val="none" w:sz="0" w:space="0" w:color="auto"/>
        <w:bottom w:val="none" w:sz="0" w:space="0" w:color="auto"/>
        <w:right w:val="none" w:sz="0" w:space="0" w:color="auto"/>
      </w:divBdr>
    </w:div>
    <w:div w:id="1692142108">
      <w:bodyDiv w:val="1"/>
      <w:marLeft w:val="0"/>
      <w:marRight w:val="0"/>
      <w:marTop w:val="0"/>
      <w:marBottom w:val="0"/>
      <w:divBdr>
        <w:top w:val="none" w:sz="0" w:space="0" w:color="auto"/>
        <w:left w:val="none" w:sz="0" w:space="0" w:color="auto"/>
        <w:bottom w:val="none" w:sz="0" w:space="0" w:color="auto"/>
        <w:right w:val="none" w:sz="0" w:space="0" w:color="auto"/>
      </w:divBdr>
    </w:div>
    <w:div w:id="1727758124">
      <w:bodyDiv w:val="1"/>
      <w:marLeft w:val="0"/>
      <w:marRight w:val="0"/>
      <w:marTop w:val="0"/>
      <w:marBottom w:val="0"/>
      <w:divBdr>
        <w:top w:val="none" w:sz="0" w:space="0" w:color="auto"/>
        <w:left w:val="none" w:sz="0" w:space="0" w:color="auto"/>
        <w:bottom w:val="none" w:sz="0" w:space="0" w:color="auto"/>
        <w:right w:val="none" w:sz="0" w:space="0" w:color="auto"/>
      </w:divBdr>
    </w:div>
    <w:div w:id="1785153421">
      <w:bodyDiv w:val="1"/>
      <w:marLeft w:val="0"/>
      <w:marRight w:val="0"/>
      <w:marTop w:val="0"/>
      <w:marBottom w:val="0"/>
      <w:divBdr>
        <w:top w:val="none" w:sz="0" w:space="0" w:color="auto"/>
        <w:left w:val="none" w:sz="0" w:space="0" w:color="auto"/>
        <w:bottom w:val="none" w:sz="0" w:space="0" w:color="auto"/>
        <w:right w:val="none" w:sz="0" w:space="0" w:color="auto"/>
      </w:divBdr>
    </w:div>
    <w:div w:id="1796290240">
      <w:bodyDiv w:val="1"/>
      <w:marLeft w:val="0"/>
      <w:marRight w:val="0"/>
      <w:marTop w:val="0"/>
      <w:marBottom w:val="0"/>
      <w:divBdr>
        <w:top w:val="none" w:sz="0" w:space="0" w:color="auto"/>
        <w:left w:val="none" w:sz="0" w:space="0" w:color="auto"/>
        <w:bottom w:val="none" w:sz="0" w:space="0" w:color="auto"/>
        <w:right w:val="none" w:sz="0" w:space="0" w:color="auto"/>
      </w:divBdr>
    </w:div>
    <w:div w:id="1806652550">
      <w:bodyDiv w:val="1"/>
      <w:marLeft w:val="0"/>
      <w:marRight w:val="0"/>
      <w:marTop w:val="0"/>
      <w:marBottom w:val="0"/>
      <w:divBdr>
        <w:top w:val="none" w:sz="0" w:space="0" w:color="auto"/>
        <w:left w:val="none" w:sz="0" w:space="0" w:color="auto"/>
        <w:bottom w:val="none" w:sz="0" w:space="0" w:color="auto"/>
        <w:right w:val="none" w:sz="0" w:space="0" w:color="auto"/>
      </w:divBdr>
    </w:div>
    <w:div w:id="1807160485">
      <w:bodyDiv w:val="1"/>
      <w:marLeft w:val="0"/>
      <w:marRight w:val="0"/>
      <w:marTop w:val="0"/>
      <w:marBottom w:val="0"/>
      <w:divBdr>
        <w:top w:val="none" w:sz="0" w:space="0" w:color="auto"/>
        <w:left w:val="none" w:sz="0" w:space="0" w:color="auto"/>
        <w:bottom w:val="none" w:sz="0" w:space="0" w:color="auto"/>
        <w:right w:val="none" w:sz="0" w:space="0" w:color="auto"/>
      </w:divBdr>
    </w:div>
    <w:div w:id="1817337219">
      <w:bodyDiv w:val="1"/>
      <w:marLeft w:val="0"/>
      <w:marRight w:val="0"/>
      <w:marTop w:val="0"/>
      <w:marBottom w:val="0"/>
      <w:divBdr>
        <w:top w:val="none" w:sz="0" w:space="0" w:color="auto"/>
        <w:left w:val="none" w:sz="0" w:space="0" w:color="auto"/>
        <w:bottom w:val="none" w:sz="0" w:space="0" w:color="auto"/>
        <w:right w:val="none" w:sz="0" w:space="0" w:color="auto"/>
      </w:divBdr>
    </w:div>
    <w:div w:id="1836265077">
      <w:bodyDiv w:val="1"/>
      <w:marLeft w:val="0"/>
      <w:marRight w:val="0"/>
      <w:marTop w:val="0"/>
      <w:marBottom w:val="0"/>
      <w:divBdr>
        <w:top w:val="none" w:sz="0" w:space="0" w:color="auto"/>
        <w:left w:val="none" w:sz="0" w:space="0" w:color="auto"/>
        <w:bottom w:val="none" w:sz="0" w:space="0" w:color="auto"/>
        <w:right w:val="none" w:sz="0" w:space="0" w:color="auto"/>
      </w:divBdr>
    </w:div>
    <w:div w:id="1869023335">
      <w:bodyDiv w:val="1"/>
      <w:marLeft w:val="0"/>
      <w:marRight w:val="0"/>
      <w:marTop w:val="0"/>
      <w:marBottom w:val="0"/>
      <w:divBdr>
        <w:top w:val="none" w:sz="0" w:space="0" w:color="auto"/>
        <w:left w:val="none" w:sz="0" w:space="0" w:color="auto"/>
        <w:bottom w:val="none" w:sz="0" w:space="0" w:color="auto"/>
        <w:right w:val="none" w:sz="0" w:space="0" w:color="auto"/>
      </w:divBdr>
    </w:div>
    <w:div w:id="1905987189">
      <w:bodyDiv w:val="1"/>
      <w:marLeft w:val="0"/>
      <w:marRight w:val="0"/>
      <w:marTop w:val="0"/>
      <w:marBottom w:val="0"/>
      <w:divBdr>
        <w:top w:val="none" w:sz="0" w:space="0" w:color="auto"/>
        <w:left w:val="none" w:sz="0" w:space="0" w:color="auto"/>
        <w:bottom w:val="none" w:sz="0" w:space="0" w:color="auto"/>
        <w:right w:val="none" w:sz="0" w:space="0" w:color="auto"/>
      </w:divBdr>
    </w:div>
    <w:div w:id="1913734880">
      <w:bodyDiv w:val="1"/>
      <w:marLeft w:val="0"/>
      <w:marRight w:val="0"/>
      <w:marTop w:val="0"/>
      <w:marBottom w:val="0"/>
      <w:divBdr>
        <w:top w:val="none" w:sz="0" w:space="0" w:color="auto"/>
        <w:left w:val="none" w:sz="0" w:space="0" w:color="auto"/>
        <w:bottom w:val="none" w:sz="0" w:space="0" w:color="auto"/>
        <w:right w:val="none" w:sz="0" w:space="0" w:color="auto"/>
      </w:divBdr>
    </w:div>
    <w:div w:id="1927567099">
      <w:bodyDiv w:val="1"/>
      <w:marLeft w:val="0"/>
      <w:marRight w:val="0"/>
      <w:marTop w:val="0"/>
      <w:marBottom w:val="0"/>
      <w:divBdr>
        <w:top w:val="none" w:sz="0" w:space="0" w:color="auto"/>
        <w:left w:val="none" w:sz="0" w:space="0" w:color="auto"/>
        <w:bottom w:val="none" w:sz="0" w:space="0" w:color="auto"/>
        <w:right w:val="none" w:sz="0" w:space="0" w:color="auto"/>
      </w:divBdr>
    </w:div>
    <w:div w:id="1934895899">
      <w:bodyDiv w:val="1"/>
      <w:marLeft w:val="0"/>
      <w:marRight w:val="0"/>
      <w:marTop w:val="0"/>
      <w:marBottom w:val="0"/>
      <w:divBdr>
        <w:top w:val="none" w:sz="0" w:space="0" w:color="auto"/>
        <w:left w:val="none" w:sz="0" w:space="0" w:color="auto"/>
        <w:bottom w:val="none" w:sz="0" w:space="0" w:color="auto"/>
        <w:right w:val="none" w:sz="0" w:space="0" w:color="auto"/>
      </w:divBdr>
    </w:div>
    <w:div w:id="1978024238">
      <w:bodyDiv w:val="1"/>
      <w:marLeft w:val="0"/>
      <w:marRight w:val="0"/>
      <w:marTop w:val="0"/>
      <w:marBottom w:val="0"/>
      <w:divBdr>
        <w:top w:val="none" w:sz="0" w:space="0" w:color="auto"/>
        <w:left w:val="none" w:sz="0" w:space="0" w:color="auto"/>
        <w:bottom w:val="none" w:sz="0" w:space="0" w:color="auto"/>
        <w:right w:val="none" w:sz="0" w:space="0" w:color="auto"/>
      </w:divBdr>
    </w:div>
    <w:div w:id="2021352037">
      <w:bodyDiv w:val="1"/>
      <w:marLeft w:val="0"/>
      <w:marRight w:val="0"/>
      <w:marTop w:val="0"/>
      <w:marBottom w:val="0"/>
      <w:divBdr>
        <w:top w:val="none" w:sz="0" w:space="0" w:color="auto"/>
        <w:left w:val="none" w:sz="0" w:space="0" w:color="auto"/>
        <w:bottom w:val="none" w:sz="0" w:space="0" w:color="auto"/>
        <w:right w:val="none" w:sz="0" w:space="0" w:color="auto"/>
      </w:divBdr>
    </w:div>
    <w:div w:id="2108383207">
      <w:bodyDiv w:val="1"/>
      <w:marLeft w:val="0"/>
      <w:marRight w:val="0"/>
      <w:marTop w:val="0"/>
      <w:marBottom w:val="0"/>
      <w:divBdr>
        <w:top w:val="none" w:sz="0" w:space="0" w:color="auto"/>
        <w:left w:val="none" w:sz="0" w:space="0" w:color="auto"/>
        <w:bottom w:val="none" w:sz="0" w:space="0" w:color="auto"/>
        <w:right w:val="none" w:sz="0" w:space="0" w:color="auto"/>
      </w:divBdr>
    </w:div>
    <w:div w:id="2142115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emmap\AppData\Roaming\Microsoft\Excel\26worklesshouseholdsbyreason%20(version%201).xl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800" b="0" i="0" baseline="0">
                <a:effectLst/>
              </a:rPr>
              <a:t>Reasons for Benefit claims as a percentatge of the Working population 2006 to 2016.</a:t>
            </a:r>
            <a:endParaRPr lang="en-GB">
              <a:effectLst/>
            </a:endParaRP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lineChart>
        <c:grouping val="standard"/>
        <c:varyColors val="0"/>
        <c:ser>
          <c:idx val="0"/>
          <c:order val="0"/>
          <c:tx>
            <c:strRef>
              <c:f>'26worklesshouseholdsbyreason'!$B$19</c:f>
              <c:strCache>
                <c:ptCount val="1"/>
                <c:pt idx="0">
                  <c:v>Sick or disabled</c:v>
                </c:pt>
              </c:strCache>
            </c:strRef>
          </c:tx>
          <c:spPr>
            <a:ln w="28575" cap="rnd">
              <a:solidFill>
                <a:schemeClr val="accent1"/>
              </a:solidFill>
              <a:round/>
            </a:ln>
            <a:effectLst/>
          </c:spPr>
          <c:marker>
            <c:symbol val="none"/>
          </c:marker>
          <c:cat>
            <c:strRef>
              <c:f>'26worklesshouseholdsbyreason'!$A$20:$A$30</c:f>
              <c:strCache>
                <c:ptCount val="11"/>
                <c:pt idx="0">
                  <c:v>Jan-Dec 2006</c:v>
                </c:pt>
                <c:pt idx="1">
                  <c:v>Jan-Dec 2007</c:v>
                </c:pt>
                <c:pt idx="2">
                  <c:v>Jan-Dec 2008</c:v>
                </c:pt>
                <c:pt idx="3">
                  <c:v>Jan-Dec 2009</c:v>
                </c:pt>
                <c:pt idx="4">
                  <c:v>Jan-Dec 2010</c:v>
                </c:pt>
                <c:pt idx="5">
                  <c:v>Jan-Dec 2011</c:v>
                </c:pt>
                <c:pt idx="6">
                  <c:v>Jan-Dec 2012</c:v>
                </c:pt>
                <c:pt idx="7">
                  <c:v>Jan-Dec 2013</c:v>
                </c:pt>
                <c:pt idx="8">
                  <c:v>Jan-Dec 2014</c:v>
                </c:pt>
                <c:pt idx="9">
                  <c:v>Jan-Dec 2015</c:v>
                </c:pt>
                <c:pt idx="10">
                  <c:v>Jan-Dec 2016</c:v>
                </c:pt>
              </c:strCache>
            </c:strRef>
          </c:cat>
          <c:val>
            <c:numRef>
              <c:f>'26worklesshouseholdsbyreason'!$B$20:$B$30</c:f>
              <c:numCache>
                <c:formatCode>0.000%</c:formatCode>
                <c:ptCount val="11"/>
                <c:pt idx="0">
                  <c:v>3.8038344580000001E-2</c:v>
                </c:pt>
                <c:pt idx="1">
                  <c:v>3.8404038639999999E-2</c:v>
                </c:pt>
                <c:pt idx="2">
                  <c:v>3.8289943309999998E-2</c:v>
                </c:pt>
                <c:pt idx="3">
                  <c:v>3.763470008E-2</c:v>
                </c:pt>
                <c:pt idx="4">
                  <c:v>3.7816789000000003E-2</c:v>
                </c:pt>
                <c:pt idx="5">
                  <c:v>3.7379541669999995E-2</c:v>
                </c:pt>
                <c:pt idx="6">
                  <c:v>3.5652003379999998E-2</c:v>
                </c:pt>
                <c:pt idx="7">
                  <c:v>3.406365569E-2</c:v>
                </c:pt>
                <c:pt idx="8">
                  <c:v>3.3972794270000002E-2</c:v>
                </c:pt>
                <c:pt idx="9">
                  <c:v>3.359006464E-2</c:v>
                </c:pt>
                <c:pt idx="10">
                  <c:v>3.35461944E-2</c:v>
                </c:pt>
              </c:numCache>
            </c:numRef>
          </c:val>
          <c:smooth val="0"/>
          <c:extLst>
            <c:ext xmlns:c16="http://schemas.microsoft.com/office/drawing/2014/chart" uri="{C3380CC4-5D6E-409C-BE32-E72D297353CC}">
              <c16:uniqueId val="{00000000-4477-4272-8E48-30B942E30722}"/>
            </c:ext>
          </c:extLst>
        </c:ser>
        <c:ser>
          <c:idx val="1"/>
          <c:order val="1"/>
          <c:tx>
            <c:strRef>
              <c:f>'26worklesshouseholdsbyreason'!$C$19</c:f>
              <c:strCache>
                <c:ptCount val="1"/>
                <c:pt idx="0">
                  <c:v>Unemployed</c:v>
                </c:pt>
              </c:strCache>
            </c:strRef>
          </c:tx>
          <c:spPr>
            <a:ln w="28575" cap="rnd">
              <a:solidFill>
                <a:schemeClr val="accent2"/>
              </a:solidFill>
              <a:round/>
            </a:ln>
            <a:effectLst/>
          </c:spPr>
          <c:marker>
            <c:symbol val="none"/>
          </c:marker>
          <c:cat>
            <c:strRef>
              <c:f>'26worklesshouseholdsbyreason'!$A$20:$A$30</c:f>
              <c:strCache>
                <c:ptCount val="11"/>
                <c:pt idx="0">
                  <c:v>Jan-Dec 2006</c:v>
                </c:pt>
                <c:pt idx="1">
                  <c:v>Jan-Dec 2007</c:v>
                </c:pt>
                <c:pt idx="2">
                  <c:v>Jan-Dec 2008</c:v>
                </c:pt>
                <c:pt idx="3">
                  <c:v>Jan-Dec 2009</c:v>
                </c:pt>
                <c:pt idx="4">
                  <c:v>Jan-Dec 2010</c:v>
                </c:pt>
                <c:pt idx="5">
                  <c:v>Jan-Dec 2011</c:v>
                </c:pt>
                <c:pt idx="6">
                  <c:v>Jan-Dec 2012</c:v>
                </c:pt>
                <c:pt idx="7">
                  <c:v>Jan-Dec 2013</c:v>
                </c:pt>
                <c:pt idx="8">
                  <c:v>Jan-Dec 2014</c:v>
                </c:pt>
                <c:pt idx="9">
                  <c:v>Jan-Dec 2015</c:v>
                </c:pt>
                <c:pt idx="10">
                  <c:v>Jan-Dec 2016</c:v>
                </c:pt>
              </c:strCache>
            </c:strRef>
          </c:cat>
          <c:val>
            <c:numRef>
              <c:f>'26worklesshouseholdsbyreason'!$C$20:$C$30</c:f>
              <c:numCache>
                <c:formatCode>0.000%</c:formatCode>
                <c:ptCount val="11"/>
                <c:pt idx="0">
                  <c:v>1.6577403799999998E-2</c:v>
                </c:pt>
                <c:pt idx="1">
                  <c:v>1.578033974E-2</c:v>
                </c:pt>
                <c:pt idx="2">
                  <c:v>1.747826395E-2</c:v>
                </c:pt>
                <c:pt idx="3">
                  <c:v>2.425422629E-2</c:v>
                </c:pt>
                <c:pt idx="4">
                  <c:v>2.5028671160000002E-2</c:v>
                </c:pt>
                <c:pt idx="5">
                  <c:v>2.6263416049999998E-2</c:v>
                </c:pt>
                <c:pt idx="6">
                  <c:v>2.5716937940000004E-2</c:v>
                </c:pt>
                <c:pt idx="7">
                  <c:v>2.4625770799999998E-2</c:v>
                </c:pt>
                <c:pt idx="8">
                  <c:v>2.0173116169999998E-2</c:v>
                </c:pt>
                <c:pt idx="9">
                  <c:v>1.6228055630000002E-2</c:v>
                </c:pt>
                <c:pt idx="10">
                  <c:v>1.4354225160000001E-2</c:v>
                </c:pt>
              </c:numCache>
            </c:numRef>
          </c:val>
          <c:smooth val="0"/>
          <c:extLst>
            <c:ext xmlns:c16="http://schemas.microsoft.com/office/drawing/2014/chart" uri="{C3380CC4-5D6E-409C-BE32-E72D297353CC}">
              <c16:uniqueId val="{00000001-4477-4272-8E48-30B942E30722}"/>
            </c:ext>
          </c:extLst>
        </c:ser>
        <c:ser>
          <c:idx val="2"/>
          <c:order val="2"/>
          <c:tx>
            <c:strRef>
              <c:f>'26worklesshouseholdsbyreason'!$D$19</c:f>
              <c:strCache>
                <c:ptCount val="1"/>
                <c:pt idx="0">
                  <c:v>Retired early</c:v>
                </c:pt>
              </c:strCache>
            </c:strRef>
          </c:tx>
          <c:spPr>
            <a:ln w="28575" cap="rnd">
              <a:solidFill>
                <a:schemeClr val="accent3"/>
              </a:solidFill>
              <a:round/>
            </a:ln>
            <a:effectLst/>
          </c:spPr>
          <c:marker>
            <c:symbol val="none"/>
          </c:marker>
          <c:cat>
            <c:strRef>
              <c:f>'26worklesshouseholdsbyreason'!$A$20:$A$30</c:f>
              <c:strCache>
                <c:ptCount val="11"/>
                <c:pt idx="0">
                  <c:v>Jan-Dec 2006</c:v>
                </c:pt>
                <c:pt idx="1">
                  <c:v>Jan-Dec 2007</c:v>
                </c:pt>
                <c:pt idx="2">
                  <c:v>Jan-Dec 2008</c:v>
                </c:pt>
                <c:pt idx="3">
                  <c:v>Jan-Dec 2009</c:v>
                </c:pt>
                <c:pt idx="4">
                  <c:v>Jan-Dec 2010</c:v>
                </c:pt>
                <c:pt idx="5">
                  <c:v>Jan-Dec 2011</c:v>
                </c:pt>
                <c:pt idx="6">
                  <c:v>Jan-Dec 2012</c:v>
                </c:pt>
                <c:pt idx="7">
                  <c:v>Jan-Dec 2013</c:v>
                </c:pt>
                <c:pt idx="8">
                  <c:v>Jan-Dec 2014</c:v>
                </c:pt>
                <c:pt idx="9">
                  <c:v>Jan-Dec 2015</c:v>
                </c:pt>
                <c:pt idx="10">
                  <c:v>Jan-Dec 2016</c:v>
                </c:pt>
              </c:strCache>
            </c:strRef>
          </c:cat>
          <c:val>
            <c:numRef>
              <c:f>'26worklesshouseholdsbyreason'!$D$20:$D$30</c:f>
              <c:numCache>
                <c:formatCode>0.000%</c:formatCode>
                <c:ptCount val="11"/>
                <c:pt idx="0">
                  <c:v>2.4586511749999998E-2</c:v>
                </c:pt>
                <c:pt idx="1">
                  <c:v>2.5412849979999999E-2</c:v>
                </c:pt>
                <c:pt idx="2">
                  <c:v>2.5410538279999999E-2</c:v>
                </c:pt>
                <c:pt idx="3">
                  <c:v>2.5785548370000001E-2</c:v>
                </c:pt>
                <c:pt idx="4">
                  <c:v>2.5064872750000002E-2</c:v>
                </c:pt>
                <c:pt idx="5">
                  <c:v>2.5096834509999999E-2</c:v>
                </c:pt>
                <c:pt idx="6">
                  <c:v>2.3338162230000001E-2</c:v>
                </c:pt>
                <c:pt idx="7">
                  <c:v>2.0753734520000001E-2</c:v>
                </c:pt>
                <c:pt idx="8">
                  <c:v>1.9711619E-2</c:v>
                </c:pt>
                <c:pt idx="9">
                  <c:v>1.882316601E-2</c:v>
                </c:pt>
                <c:pt idx="10">
                  <c:v>1.7752372839999999E-2</c:v>
                </c:pt>
              </c:numCache>
            </c:numRef>
          </c:val>
          <c:smooth val="0"/>
          <c:extLst>
            <c:ext xmlns:c16="http://schemas.microsoft.com/office/drawing/2014/chart" uri="{C3380CC4-5D6E-409C-BE32-E72D297353CC}">
              <c16:uniqueId val="{00000002-4477-4272-8E48-30B942E30722}"/>
            </c:ext>
          </c:extLst>
        </c:ser>
        <c:ser>
          <c:idx val="3"/>
          <c:order val="3"/>
          <c:tx>
            <c:strRef>
              <c:f>'26worklesshouseholdsbyreason'!$E$19</c:f>
              <c:strCache>
                <c:ptCount val="1"/>
                <c:pt idx="0">
                  <c:v>Looking after family or home</c:v>
                </c:pt>
              </c:strCache>
            </c:strRef>
          </c:tx>
          <c:spPr>
            <a:ln w="28575" cap="rnd">
              <a:solidFill>
                <a:schemeClr val="accent4"/>
              </a:solidFill>
              <a:round/>
            </a:ln>
            <a:effectLst/>
          </c:spPr>
          <c:marker>
            <c:symbol val="none"/>
          </c:marker>
          <c:cat>
            <c:strRef>
              <c:f>'26worklesshouseholdsbyreason'!$A$20:$A$30</c:f>
              <c:strCache>
                <c:ptCount val="11"/>
                <c:pt idx="0">
                  <c:v>Jan-Dec 2006</c:v>
                </c:pt>
                <c:pt idx="1">
                  <c:v>Jan-Dec 2007</c:v>
                </c:pt>
                <c:pt idx="2">
                  <c:v>Jan-Dec 2008</c:v>
                </c:pt>
                <c:pt idx="3">
                  <c:v>Jan-Dec 2009</c:v>
                </c:pt>
                <c:pt idx="4">
                  <c:v>Jan-Dec 2010</c:v>
                </c:pt>
                <c:pt idx="5">
                  <c:v>Jan-Dec 2011</c:v>
                </c:pt>
                <c:pt idx="6">
                  <c:v>Jan-Dec 2012</c:v>
                </c:pt>
                <c:pt idx="7">
                  <c:v>Jan-Dec 2013</c:v>
                </c:pt>
                <c:pt idx="8">
                  <c:v>Jan-Dec 2014</c:v>
                </c:pt>
                <c:pt idx="9">
                  <c:v>Jan-Dec 2015</c:v>
                </c:pt>
                <c:pt idx="10">
                  <c:v>Jan-Dec 2016</c:v>
                </c:pt>
              </c:strCache>
            </c:strRef>
          </c:cat>
          <c:val>
            <c:numRef>
              <c:f>'26worklesshouseholdsbyreason'!$E$20:$E$30</c:f>
              <c:numCache>
                <c:formatCode>0.000%</c:formatCode>
                <c:ptCount val="11"/>
                <c:pt idx="0">
                  <c:v>2.3239729109999999E-2</c:v>
                </c:pt>
                <c:pt idx="1">
                  <c:v>2.2676492879999999E-2</c:v>
                </c:pt>
                <c:pt idx="2">
                  <c:v>2.2101592490000002E-2</c:v>
                </c:pt>
                <c:pt idx="3">
                  <c:v>2.2206205030000002E-2</c:v>
                </c:pt>
                <c:pt idx="4">
                  <c:v>2.1993320619999999E-2</c:v>
                </c:pt>
                <c:pt idx="5">
                  <c:v>2.1278015599999998E-2</c:v>
                </c:pt>
                <c:pt idx="6">
                  <c:v>2.0442995740000001E-2</c:v>
                </c:pt>
                <c:pt idx="7">
                  <c:v>1.9619583659999999E-2</c:v>
                </c:pt>
                <c:pt idx="8">
                  <c:v>1.8645189329999999E-2</c:v>
                </c:pt>
                <c:pt idx="9">
                  <c:v>1.7609222989999999E-2</c:v>
                </c:pt>
                <c:pt idx="10">
                  <c:v>1.75415337E-2</c:v>
                </c:pt>
              </c:numCache>
            </c:numRef>
          </c:val>
          <c:smooth val="0"/>
          <c:extLst>
            <c:ext xmlns:c16="http://schemas.microsoft.com/office/drawing/2014/chart" uri="{C3380CC4-5D6E-409C-BE32-E72D297353CC}">
              <c16:uniqueId val="{00000003-4477-4272-8E48-30B942E30722}"/>
            </c:ext>
          </c:extLst>
        </c:ser>
        <c:ser>
          <c:idx val="4"/>
          <c:order val="4"/>
          <c:tx>
            <c:strRef>
              <c:f>'26worklesshouseholdsbyreason'!$F$19</c:f>
              <c:strCache>
                <c:ptCount val="1"/>
                <c:pt idx="0">
                  <c:v>Study</c:v>
                </c:pt>
              </c:strCache>
            </c:strRef>
          </c:tx>
          <c:spPr>
            <a:ln w="28575" cap="rnd">
              <a:solidFill>
                <a:schemeClr val="accent5"/>
              </a:solidFill>
              <a:round/>
            </a:ln>
            <a:effectLst/>
          </c:spPr>
          <c:marker>
            <c:symbol val="none"/>
          </c:marker>
          <c:cat>
            <c:strRef>
              <c:f>'26worklesshouseholdsbyreason'!$A$20:$A$30</c:f>
              <c:strCache>
                <c:ptCount val="11"/>
                <c:pt idx="0">
                  <c:v>Jan-Dec 2006</c:v>
                </c:pt>
                <c:pt idx="1">
                  <c:v>Jan-Dec 2007</c:v>
                </c:pt>
                <c:pt idx="2">
                  <c:v>Jan-Dec 2008</c:v>
                </c:pt>
                <c:pt idx="3">
                  <c:v>Jan-Dec 2009</c:v>
                </c:pt>
                <c:pt idx="4">
                  <c:v>Jan-Dec 2010</c:v>
                </c:pt>
                <c:pt idx="5">
                  <c:v>Jan-Dec 2011</c:v>
                </c:pt>
                <c:pt idx="6">
                  <c:v>Jan-Dec 2012</c:v>
                </c:pt>
                <c:pt idx="7">
                  <c:v>Jan-Dec 2013</c:v>
                </c:pt>
                <c:pt idx="8">
                  <c:v>Jan-Dec 2014</c:v>
                </c:pt>
                <c:pt idx="9">
                  <c:v>Jan-Dec 2015</c:v>
                </c:pt>
                <c:pt idx="10">
                  <c:v>Jan-Dec 2016</c:v>
                </c:pt>
              </c:strCache>
            </c:strRef>
          </c:cat>
          <c:val>
            <c:numRef>
              <c:f>'26worklesshouseholdsbyreason'!$F$20:$F$30</c:f>
              <c:numCache>
                <c:formatCode>0.000%</c:formatCode>
                <c:ptCount val="11"/>
                <c:pt idx="0">
                  <c:v>1.1888830180000001E-2</c:v>
                </c:pt>
                <c:pt idx="1">
                  <c:v>1.366521622E-2</c:v>
                </c:pt>
                <c:pt idx="2">
                  <c:v>1.400287452E-2</c:v>
                </c:pt>
                <c:pt idx="3">
                  <c:v>1.6026063450000003E-2</c:v>
                </c:pt>
                <c:pt idx="4">
                  <c:v>1.5363814910000001E-2</c:v>
                </c:pt>
                <c:pt idx="5">
                  <c:v>1.622906692E-2</c:v>
                </c:pt>
                <c:pt idx="6">
                  <c:v>1.6072688030000001E-2</c:v>
                </c:pt>
                <c:pt idx="7">
                  <c:v>1.540998398E-2</c:v>
                </c:pt>
                <c:pt idx="8">
                  <c:v>1.4235936959999999E-2</c:v>
                </c:pt>
                <c:pt idx="9">
                  <c:v>1.3742796370000001E-2</c:v>
                </c:pt>
                <c:pt idx="10">
                  <c:v>1.374608785E-2</c:v>
                </c:pt>
              </c:numCache>
            </c:numRef>
          </c:val>
          <c:smooth val="0"/>
          <c:extLst>
            <c:ext xmlns:c16="http://schemas.microsoft.com/office/drawing/2014/chart" uri="{C3380CC4-5D6E-409C-BE32-E72D297353CC}">
              <c16:uniqueId val="{00000004-4477-4272-8E48-30B942E30722}"/>
            </c:ext>
          </c:extLst>
        </c:ser>
        <c:ser>
          <c:idx val="5"/>
          <c:order val="5"/>
          <c:tx>
            <c:strRef>
              <c:f>'26worklesshouseholdsbyreason'!$G$19</c:f>
              <c:strCache>
                <c:ptCount val="1"/>
                <c:pt idx="0">
                  <c:v>Other</c:v>
                </c:pt>
              </c:strCache>
            </c:strRef>
          </c:tx>
          <c:spPr>
            <a:ln w="28575" cap="rnd">
              <a:solidFill>
                <a:schemeClr val="accent6"/>
              </a:solidFill>
              <a:round/>
            </a:ln>
            <a:effectLst/>
          </c:spPr>
          <c:marker>
            <c:symbol val="none"/>
          </c:marker>
          <c:cat>
            <c:strRef>
              <c:f>'26worklesshouseholdsbyreason'!$A$20:$A$30</c:f>
              <c:strCache>
                <c:ptCount val="11"/>
                <c:pt idx="0">
                  <c:v>Jan-Dec 2006</c:v>
                </c:pt>
                <c:pt idx="1">
                  <c:v>Jan-Dec 2007</c:v>
                </c:pt>
                <c:pt idx="2">
                  <c:v>Jan-Dec 2008</c:v>
                </c:pt>
                <c:pt idx="3">
                  <c:v>Jan-Dec 2009</c:v>
                </c:pt>
                <c:pt idx="4">
                  <c:v>Jan-Dec 2010</c:v>
                </c:pt>
                <c:pt idx="5">
                  <c:v>Jan-Dec 2011</c:v>
                </c:pt>
                <c:pt idx="6">
                  <c:v>Jan-Dec 2012</c:v>
                </c:pt>
                <c:pt idx="7">
                  <c:v>Jan-Dec 2013</c:v>
                </c:pt>
                <c:pt idx="8">
                  <c:v>Jan-Dec 2014</c:v>
                </c:pt>
                <c:pt idx="9">
                  <c:v>Jan-Dec 2015</c:v>
                </c:pt>
                <c:pt idx="10">
                  <c:v>Jan-Dec 2016</c:v>
                </c:pt>
              </c:strCache>
            </c:strRef>
          </c:cat>
          <c:val>
            <c:numRef>
              <c:f>'26worklesshouseholdsbyreason'!$G$20:$G$30</c:f>
              <c:numCache>
                <c:formatCode>0.000%</c:formatCode>
                <c:ptCount val="11"/>
                <c:pt idx="0">
                  <c:v>1.0586502559999999E-2</c:v>
                </c:pt>
                <c:pt idx="1">
                  <c:v>9.4419004500000004E-3</c:v>
                </c:pt>
                <c:pt idx="2">
                  <c:v>9.2228901800000002E-3</c:v>
                </c:pt>
                <c:pt idx="3">
                  <c:v>9.1569979599999997E-3</c:v>
                </c:pt>
                <c:pt idx="4">
                  <c:v>9.9503252499999993E-3</c:v>
                </c:pt>
                <c:pt idx="5">
                  <c:v>8.9614604899999999E-3</c:v>
                </c:pt>
                <c:pt idx="6">
                  <c:v>8.5454131799999992E-3</c:v>
                </c:pt>
                <c:pt idx="7">
                  <c:v>9.0352118699999987E-3</c:v>
                </c:pt>
                <c:pt idx="8">
                  <c:v>8.5412768299999997E-3</c:v>
                </c:pt>
                <c:pt idx="9">
                  <c:v>8.6998515100000003E-3</c:v>
                </c:pt>
                <c:pt idx="10">
                  <c:v>9.4127925100000003E-3</c:v>
                </c:pt>
              </c:numCache>
            </c:numRef>
          </c:val>
          <c:smooth val="0"/>
          <c:extLst>
            <c:ext xmlns:c16="http://schemas.microsoft.com/office/drawing/2014/chart" uri="{C3380CC4-5D6E-409C-BE32-E72D297353CC}">
              <c16:uniqueId val="{00000005-4477-4272-8E48-30B942E30722}"/>
            </c:ext>
          </c:extLst>
        </c:ser>
        <c:dLbls>
          <c:showLegendKey val="0"/>
          <c:showVal val="0"/>
          <c:showCatName val="0"/>
          <c:showSerName val="0"/>
          <c:showPercent val="0"/>
          <c:showBubbleSize val="0"/>
        </c:dLbls>
        <c:smooth val="0"/>
        <c:axId val="421469448"/>
        <c:axId val="421467808"/>
      </c:lineChart>
      <c:catAx>
        <c:axId val="4214694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1467808"/>
        <c:crosses val="autoZero"/>
        <c:auto val="1"/>
        <c:lblAlgn val="ctr"/>
        <c:lblOffset val="100"/>
        <c:noMultiLvlLbl val="0"/>
      </c:catAx>
      <c:valAx>
        <c:axId val="421467808"/>
        <c:scaling>
          <c:orientation val="minMax"/>
        </c:scaling>
        <c:delete val="0"/>
        <c:axPos val="l"/>
        <c:majorGridlines>
          <c:spPr>
            <a:ln w="9525" cap="flat" cmpd="sng" algn="ctr">
              <a:solidFill>
                <a:schemeClr val="tx1">
                  <a:lumMod val="15000"/>
                  <a:lumOff val="85000"/>
                </a:schemeClr>
              </a:solidFill>
              <a:round/>
            </a:ln>
            <a:effectLst/>
          </c:spPr>
        </c:majorGridlines>
        <c:numFmt formatCode="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14694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Dep13</b:Tag>
    <b:SourceType>Report</b:SourceType>
    <b:Guid>{A99D452C-A8A1-43FE-AF54-6A902146E07D}</b:Guid>
    <b:Title>Duration on working-age benefits, Great Britain</b:Title>
    <b:Year>2013</b:Year>
    <b:URL>https://assets.publishing.service.gov.uk/government/uploads/system/uploads/attachment_data/file/223252/duration_wa_benefits_analysis_gb.pdf</b:URL>
    <b:Author>
      <b:Author>
        <b:Corporate>Department for Work and Pensions</b:Corporate>
      </b:Author>
    </b:Author>
    <b:Department>Department for Work and Pensions</b:Department>
    <b:Institution>HM Government</b:Institution>
    <b:Pages>8</b:Pages>
    <b:ThesisType>Departmental Report</b:ThesisType>
    <b:RefOrder>5</b:RefOrder>
  </b:Source>
  <b:Source>
    <b:Tag>Ran13</b:Tag>
    <b:SourceType>ArticleInAPeriodical</b:SourceType>
    <b:Guid>{A3BD52F8-F93C-4BA0-AAD1-A021AD08F649}</b:Guid>
    <b:Title>Is Britain a nation of lazy scroungers</b:Title>
    <b:Year>2013</b:Year>
    <b:Publisher>Guardian Media Group</b:Publisher>
    <b:City>London</b:City>
    <b:PeriodicalTitle>The Guardian</b:PeriodicalTitle>
    <b:Month>April</b:Month>
    <b:Day>24</b:Day>
    <b:Author>
      <b:Author>
        <b:NameList>
          <b:Person>
            <b:Last>Ramesh</b:Last>
            <b:First>Randeep</b:First>
          </b:Person>
        </b:NameList>
      </b:Author>
      <b:Editor>
        <b:NameList>
          <b:Person>
            <b:Last>Rusbridger</b:Last>
            <b:First>Alan</b:First>
          </b:Person>
        </b:NameList>
      </b:Editor>
    </b:Author>
    <b:URL>https://www.theguardian.com/politics/reality-check/2013/apr/24/benefits</b:URL>
    <b:RefOrder>6</b:RefOrder>
  </b:Source>
  <b:Source>
    <b:Tag>Leg</b:Tag>
    <b:SourceType>InternetSite</b:SourceType>
    <b:Guid>{71803B80-0925-4050-9EBE-55E30F4442A5}</b:Guid>
    <b:Title>National Assistance Act 1948</b:Title>
    <b:URL>https://www.legislation.gov.uk/ukpga/Geo6/11-12/29</b:URL>
    <b:InternetSiteTitle>Legislation.gov.uk</b:InternetSiteTitle>
    <b:Author>
      <b:Author>
        <b:Corporate>HM Government</b:Corporate>
      </b:Author>
    </b:Author>
    <b:RefOrder>3</b:RefOrder>
  </b:Source>
  <b:Source>
    <b:Tag>Lis02</b:Tag>
    <b:SourceType>BookSection</b:SourceType>
    <b:Guid>{5603E6AF-B3EF-4718-AE7A-2A4B763561FC}</b:Guid>
    <b:Title>Towards a Citizen's Welfare State: The 3+2 'R's of Welfare Reform</b:Title>
    <b:Year>2002</b:Year>
    <b:YearAccessed>2018</b:YearAccessed>
    <b:MonthAccessed>May</b:MonthAccessed>
    <b:DayAccessed>9</b:DayAccessed>
    <b:City>London</b:City>
    <b:Publisher>SAGE Publications</b:Publisher>
    <b:Author>
      <b:Author>
        <b:NameList>
          <b:Person>
            <b:Last>Lister</b:Last>
            <b:First>Ruth</b:First>
          </b:Person>
        </b:NameList>
      </b:Author>
      <b:Editor>
        <b:NameList>
          <b:Person>
            <b:Last>Lash</b:Last>
            <b:First>Scott</b:First>
          </b:Person>
          <b:Person>
            <b:Last>Featherstone</b:Last>
            <b:First>Mike</b:First>
          </b:Person>
        </b:NameList>
      </b:Editor>
    </b:Author>
    <b:BookTitle>Recognition and Difference.: Politics, Identity, Multiculture</b:BookTitle>
    <b:Pages>91-111</b:Pages>
    <b:StandardNumber>ISBN 0 7619 4987 9</b:StandardNumber>
    <b:RefOrder>7</b:RefOrder>
  </b:Source>
  <b:Source>
    <b:Tag>Boo18</b:Tag>
    <b:SourceType>DocumentFromInternetSite</b:SourceType>
    <b:Guid>{87FF1151-D6BF-4FA0-95CD-A75D7EFE2ECE}</b:Guid>
    <b:Title>Philip Booth: Why the Universal Basic Income is a very bad idea</b:Title>
    <b:Year>2018</b:Year>
    <b:Author>
      <b:Author>
        <b:NameList>
          <b:Person>
            <b:Last>Booth</b:Last>
            <b:First>Philip</b:First>
          </b:Person>
        </b:NameList>
      </b:Author>
    </b:Author>
    <b:Month>May</b:Month>
    <b:Day>20</b:Day>
    <b:YearAccessed>2018</b:YearAccessed>
    <b:MonthAccessed>May</b:MonthAccessed>
    <b:DayAccessed>20</b:DayAccessed>
    <b:URL>https://www.conservativehome.com/platform/2018/05/philip-booth-why-the-universal-basic-income-is-a-very-bad-idea.html</b:URL>
    <b:InternetSiteTitle>Conservative Home</b:InternetSiteTitle>
    <b:RefOrder>8</b:RefOrder>
  </b:Source>
  <b:Source>
    <b:Tag>Dam18</b:Tag>
    <b:SourceType>DocumentFromInternetSite</b:SourceType>
    <b:Guid>{CE486A07-17F2-4F0F-93B5-4B36AEC1967E}</b:Guid>
    <b:Title>We have not adjusted to what an ageing society means or requires. Green’s speech on social care – full text</b:Title>
    <b:Year>2018</b:Year>
    <b:Month>May</b:Month>
    <b:Day>17</b:Day>
    <b:YearAccessed>2018</b:YearAccessed>
    <b:MonthAccessed>May</b:MonthAccessed>
    <b:DayAccessed>20</b:DayAccessed>
    <b:URL>https://www.conservativehome.com/parliament/2018/05/we-live-in-an-ageing-society-but-we-have-not-remotely-adjusted-to-what-this-means-greens-speech-on-social-care-full-text.html</b:URL>
    <b:Author>
      <b:Author>
        <b:NameList>
          <b:Person>
            <b:Last>Green</b:Last>
            <b:First>Damian</b:First>
          </b:Person>
        </b:NameList>
      </b:Author>
    </b:Author>
    <b:InternetSiteTitle>Conservative Home</b:InternetSiteTitle>
    <b:RefOrder>9</b:RefOrder>
  </b:Source>
  <b:Source>
    <b:Tag>Ben181</b:Tag>
    <b:SourceType>DocumentFromInternetSite</b:SourceType>
    <b:Guid>{83D0C300-49C4-4149-BF7A-738D765FB38F}</b:Guid>
    <b:Title>Benefit Sanctions Statistics</b:Title>
    <b:Year>2018</b:Year>
    <b:Month>May</b:Month>
    <b:Day>15</b:Day>
    <b:YearAccessed>2018</b:YearAccessed>
    <b:MonthAccessed>May</b:MonthAccessed>
    <b:DayAccessed>20</b:DayAccessed>
    <b:URL>https://assets.publishing.service.gov.uk/government/uploads/system/uploads/attachment_data/file/706823/benefit-sanctions-statistics-to-january-2018.pdf</b:URL>
    <b:InternetSiteTitle>Department for Work and Pensions</b:InternetSiteTitle>
    <b:Medium>PDF Document</b:Medium>
    <b:RefOrder>10</b:RefOrder>
  </b:Source>
  <b:Source>
    <b:Tag>Ben18</b:Tag>
    <b:SourceType>DocumentFromInternetSite</b:SourceType>
    <b:Guid>{7679BC59-191D-4B1B-A190-6D3D1749889A}</b:Guid>
    <b:Title>Benefit Sanctions Statistics - spreadsheets</b:Title>
    <b:Year>2018</b:Year>
    <b:Month>May</b:Month>
    <b:Day>15</b:Day>
    <b:YearAccessed>2018</b:YearAccessed>
    <b:MonthAccessed>May</b:MonthAccessed>
    <b:DayAccessed>20</b:DayAccessed>
    <b:URL>https://www.gov.uk/government/collections/jobseekers-allowance-sanctions</b:URL>
    <b:InternetSiteTitle>Department for Work and Pensions</b:InternetSiteTitle>
    <b:Medium>Spreadsheet</b:Medium>
    <b:RefOrder>11</b:RefOrder>
  </b:Source>
  <b:Source>
    <b:Tag>Ang16</b:Tag>
    <b:SourceType>DocumentFromInternetSite</b:SourceType>
    <b:Guid>{6CABFA2C-CFB0-448C-A9DA-D69C50C78DFD}</b:Guid>
    <b:Title>It was my job to impose cruel benefit sanctions – that the DWP can’t justify</b:Title>
    <b:Year>2016</b:Year>
    <b:Month>November</b:Month>
    <b:Day>30</b:Day>
    <b:YearAccessed>2018</b:YearAccessed>
    <b:MonthAccessed>May</b:MonthAccessed>
    <b:DayAccessed>15</b:DayAccessed>
    <b:URL>https://www.theguardian.com/commentisfree/2016/nov/30/cruel-benefits-sanctions-dwp-job-advisers-evidence-work</b:URL>
    <b:Author>
      <b:Author>
        <b:NameList>
          <b:Person>
            <b:Last>Neville</b:Last>
            <b:First>Angela</b:First>
          </b:Person>
        </b:NameList>
      </b:Author>
    </b:Author>
    <b:InternetSiteTitle>The Guardian</b:InternetSiteTitle>
    <b:RefOrder>12</b:RefOrder>
  </b:Source>
  <b:Source>
    <b:Tag>Mad17</b:Tag>
    <b:SourceType>DocumentFromInternetSite</b:SourceType>
    <b:Guid>{80C288EA-FE4A-4AFF-B0A9-5610146407DE}</b:Guid>
    <b:Title>Tough benefits cap stops scroungers claiming thousands of pounds</b:Title>
    <b:Year>2017</b:Year>
    <b:Month>February</b:Month>
    <b:Day>3</b:Day>
    <b:URL>https://www.express.co.uk/news/uk/762423/benefits-caps-cheats-stop-success-household-claims-department-for-work-and-pensions</b:URL>
    <b:PeriodicalTitle>Express</b:PeriodicalTitle>
    <b:Author>
      <b:Author>
        <b:NameList>
          <b:Person>
            <b:Last>Maddox</b:Last>
            <b:First>David</b:First>
          </b:Person>
        </b:NameList>
      </b:Author>
    </b:Author>
    <b:City>London</b:City>
    <b:InternetSiteTitle>Express</b:InternetSiteTitle>
    <b:RefOrder>13</b:RefOrder>
  </b:Source>
  <b:Source>
    <b:Tag>Abe10</b:Tag>
    <b:SourceType>Book</b:SourceType>
    <b:Guid>{90DB9ED9-7E22-47E9-9203-DB3EF1523BB9}</b:Guid>
    <b:Title>Contemporary British Society</b:Title>
    <b:Year>2010</b:Year>
    <b:Author>
      <b:Author>
        <b:NameList>
          <b:Person>
            <b:Last>Abercrombie</b:Last>
            <b:First>Nicholas</b:First>
          </b:Person>
          <b:Person>
            <b:Last>Warde</b:Last>
            <b:First>Alan</b:First>
          </b:Person>
          <b:Person>
            <b:Last>Deem</b:Last>
            <b:First>Rosemary</b:First>
          </b:Person>
          <b:Person>
            <b:Last>Penna</b:Last>
            <b:First>Sue</b:First>
          </b:Person>
          <b:Person>
            <b:Last>Soothill</b:Last>
            <b:First>Keith</b:First>
          </b:Person>
          <b:Person>
            <b:Last>Urry</b:Last>
            <b:First>John</b:First>
          </b:Person>
          <b:Person>
            <b:Last>Sayer</b:Last>
            <b:First>Andrew</b:First>
          </b:Person>
          <b:Person>
            <b:Last>Walby</b:Last>
            <b:First>Sylvia</b:First>
          </b:Person>
        </b:NameList>
      </b:Author>
    </b:Author>
    <b:City>Cambridge</b:City>
    <b:Publisher>Polity Press</b:Publisher>
    <b:Edition>3rd</b:Edition>
    <b:StandardNumber>ISBN 978-0-7456-2296-5</b:StandardNumber>
    <b:RefOrder>14</b:RefOrder>
  </b:Source>
  <b:Source>
    <b:Tag>Cro081</b:Tag>
    <b:SourceType>Book</b:SourceType>
    <b:Guid>{FBC55AEB-3A6F-4098-BD89-19C7A0E8B109}</b:Guid>
    <b:Author>
      <b:Author>
        <b:NameList>
          <b:Person>
            <b:Last>Crompton</b:Last>
            <b:First>Rosemarry</b:First>
          </b:Person>
        </b:NameList>
      </b:Author>
    </b:Author>
    <b:Title>Class and Stratification</b:Title>
    <b:Year>2008</b:Year>
    <b:City>Cambridge</b:City>
    <b:Publisher>Poliy Press</b:Publisher>
    <b:Edition>3rd</b:Edition>
    <b:StandardNumber>ISBN-13:978-07456-3869-0</b:StandardNumber>
    <b:RefOrder>15</b:RefOrder>
  </b:Source>
  <b:Source>
    <b:Tag>Toy17</b:Tag>
    <b:SourceType>Book</b:SourceType>
    <b:Guid>{F1C0C2BE-7C92-4473-8EC1-995A1BB618B0}</b:Guid>
    <b:Author>
      <b:Author>
        <b:NameList>
          <b:Person>
            <b:Last>Toynbee</b:Last>
            <b:First>Polly</b:First>
          </b:Person>
          <b:Person>
            <b:Last>Walker</b:Last>
            <b:First>David</b:First>
          </b:Person>
        </b:NameList>
      </b:Author>
    </b:Author>
    <b:Title>Dismembered: How the attack on the state harms us all.</b:Title>
    <b:Year>2017</b:Year>
    <b:City>London</b:City>
    <b:Publisher>Guardian Books</b:Publisher>
    <b:Edition>1st</b:Edition>
    <b:StandardNumber>ISBN 978-1-78335-120-6</b:StandardNumber>
    <b:RefOrder>16</b:RefOrder>
  </b:Source>
  <b:Source>
    <b:Tag>Bra16</b:Tag>
    <b:SourceType>DocumentFromInternetSite</b:SourceType>
    <b:Guid>{6B93DA26-B71A-426A-B67F-7A3F7D993DAE}</b:Guid>
    <b:Title>REVEALED: How UK’s most notorious benefit scroungers spend OUR cash</b:Title>
    <b:Year>2016</b:Year>
    <b:Month>Juky</b:Month>
    <b:Day>24</b:Day>
    <b:URL>https://www.dailystar.co.uk/news/latest-news/532151/benefits-scrounger-revealed-Travis-Simpkins-gambling-boob-job-Sheffield-cash-taxpayer-UK</b:URL>
    <b:Author>
      <b:Author>
        <b:NameList>
          <b:Person>
            <b:Last>Jolly</b:Last>
            <b:First>Bradley</b:First>
          </b:Person>
        </b:NameList>
      </b:Author>
    </b:Author>
    <b:InternetSiteTitle>Daily Star</b:InternetSiteTitle>
    <b:RefOrder>2</b:RefOrder>
  </b:Source>
  <b:Source>
    <b:Tag>Toy15</b:Tag>
    <b:SourceType>Book</b:SourceType>
    <b:Guid>{E0D8134E-CD87-4617-B8B3-7801842A5A13}</b:Guid>
    <b:Author>
      <b:Author>
        <b:NameList>
          <b:Person>
            <b:Last>Toynbee</b:Last>
            <b:First>Polly</b:First>
          </b:Person>
          <b:Person>
            <b:Last>Walker</b:Last>
            <b:First>David</b:First>
          </b:Person>
        </b:NameList>
      </b:Author>
    </b:Author>
    <b:Title>Cameron's Coup. How the Tories Took Britain to the Brink</b:Title>
    <b:Year>2015</b:Year>
    <b:City>London</b:City>
    <b:Publisher>Guardian Books</b:Publisher>
    <b:StandardNumber>ISBN 978-1-78335-043-8</b:StandardNumber>
    <b:RefOrder>17</b:RefOrder>
  </b:Source>
  <b:Source>
    <b:Tag>Nat18</b:Tag>
    <b:SourceType>ArticleInAPeriodical</b:SourceType>
    <b:Guid>{4078DE08-9894-471A-9896-1F53F42D01B6}</b:Guid>
    <b:Title>OH VOW! Royal Wedding cost – how much was Meghan Markle and Prince Harry’s wedding and who paid for it?</b:Title>
    <b:Year>2018</b:Year>
    <b:PeriodicalTitle>The Sun</b:PeriodicalTitle>
    <b:Month>May</b:Month>
    <b:Day>21</b:Day>
    <b:Author>
      <b:Author>
        <b:NameList>
          <b:Person>
            <b:Last>Keegan</b:Last>
            <b:First>Natalie</b:First>
          </b:Person>
          <b:Person>
            <b:Last>Griffiths</b:Last>
            <b:First>Josie</b:First>
          </b:Person>
        </b:NameList>
      </b:Author>
    </b:Author>
    <b:URL>https://www.thesun.co.uk/fabulous/5932612/royal-wedding-cost-how-much-who-paying-meghan-markle-prince-harry/</b:URL>
    <b:RefOrder>18</b:RefOrder>
  </b:Source>
  <b:Source>
    <b:Tag>Rut17</b:Tag>
    <b:SourceType>Book</b:SourceType>
    <b:Guid>{155D5367-2838-4F9D-AECD-21044B1945F9}</b:Guid>
    <b:Title> For Whose Benefit?: The Everyday Realities of Welfare Reform.</b:Title>
    <b:Year>2017</b:Year>
    <b:City>Bristol</b:City>
    <b:Publisher>Policy Press</b:Publisher>
    <b:Author>
      <b:Author>
        <b:NameList>
          <b:Person>
            <b:Last>Patrick</b:Last>
            <b:First>Ruth</b:First>
          </b:Person>
        </b:NameList>
      </b:Author>
    </b:Author>
    <b:StandardNumber>ISBN 978-1-14473 3348-7</b:StandardNumber>
    <b:RefOrder>19</b:RefOrder>
  </b:Source>
  <b:Source>
    <b:Tag>HMG18</b:Tag>
    <b:SourceType>DocumentFromInternetSite</b:SourceType>
    <b:Guid>{3BA90BE5-F71A-4CD7-891D-5600946BE347}</b:Guid>
    <b:Title>Jobseekers Allowance Sanctions</b:Title>
    <b:Year>2018</b:Year>
    <b:Author>
      <b:Author>
        <b:Corporate>HM Government</b:Corporate>
      </b:Author>
    </b:Author>
    <b:Medium>Spreadsheet</b:Medium>
    <b:Month>May</b:Month>
    <b:Day>15</b:Day>
    <b:YearAccessed>2018</b:YearAccessed>
    <b:MonthAccessed>May </b:MonthAccessed>
    <b:DayAccessed>20</b:DayAccessed>
    <b:URL>https://www.gov.uk/government/collections/jobseekers-allowance-sanctions</b:URL>
    <b:InternetSiteTitle>Gov.uk</b:InternetSiteTitle>
    <b:RefOrder>20</b:RefOrder>
  </b:Source>
  <b:Source>
    <b:Tag>HMG181</b:Tag>
    <b:SourceType>DocumentFromInternetSite</b:SourceType>
    <b:Guid>{DEC556B5-7682-4714-83DD-2A459130FDC9}</b:Guid>
    <b:Author>
      <b:Author>
        <b:Corporate>HM Government</b:Corporate>
      </b:Author>
    </b:Author>
    <b:Year>2018</b:Year>
    <b:Month>May</b:Month>
    <b:Day>15</b:Day>
    <b:YearAccessed>2018</b:YearAccessed>
    <b:MonthAccessed>May</b:MonthAccessed>
    <b:DayAccessed>20</b:DayAccessed>
    <b:URL>https://www.gov.uk/government/collections/jobseekers-allowance-sanctions</b:URL>
    <b:InternetSiteTitle>Gov.uk</b:InternetSiteTitle>
    <b:RefOrder>21</b:RefOrder>
  </b:Source>
  <b:Source>
    <b:Tag>Dep18</b:Tag>
    <b:SourceType>InternetSite</b:SourceType>
    <b:Guid>{0C4B3CA3-EDC3-494B-AD35-25DCC3A255E3}</b:Guid>
    <b:Author>
      <b:Author>
        <b:Corporate>Department for Work and Pensions</b:Corporate>
      </b:Author>
    </b:Author>
    <b:Title>Benefit sanctions statistics to October 2017</b:Title>
    <b:Year>2018</b:Year>
    <b:URL>https://assets.publishing.service.gov.uk/government/uploads/system/uploads/attachment_data/file/682635/benefit-sanctions-statistics-to-october-2017.pdf</b:URL>
    <b:InternetSiteTitle>Gov.uk</b:InternetSiteTitle>
    <b:Month>March</b:Month>
    <b:Day>29</b:Day>
    <b:RefOrder>22</b:RefOrder>
  </b:Source>
  <b:Source>
    <b:Tag>Off17</b:Tag>
    <b:SourceType>InternetSite</b:SourceType>
    <b:Guid>{1FE35662-2342-435B-8961-463BC70DA5B8}</b:Guid>
    <b:Title>Labour Force Survey</b:Title>
    <b:Year>2017</b:Year>
    <b:URL>https://www.ons.gov.uk/employmentandlabourmarket/peoplenotinwork/unemployment/datasets/reasonsgivenbypeoplelivinginworklesshouseholdsfornotworkingbycountryandregiontabled</b:URL>
    <b:Author>
      <b:Author>
        <b:Corporate>Office for National Statistics</b:Corporate>
      </b:Author>
    </b:Author>
    <b:InternetSiteTitle>Reasons given by people living in workless households for not working by country and region: Table D</b:InternetSiteTitle>
    <b:Month>July</b:Month>
    <b:Day>26</b:Day>
    <b:RefOrder>4</b:RefOrder>
  </b:Source>
  <b:Source>
    <b:Tag>aat</b:Tag>
    <b:SourceType>InternetSite</b:SourceType>
    <b:Guid>{1507A7D0-21E1-4DEB-80EE-6A4706C95B21}</b:Guid>
    <b:URL>https://assets.publishing.service.gov.uk/government/uploads/system/uploads/attachment_data/file/706819/benefit-sanctions-durations-and-sanction-rate-calculation.pdf</b:URL>
    <b:Author>
      <b:Author>
        <b:Corporate>HM Goverment</b:Corporate>
      </b:Author>
    </b:Author>
    <b:Title>Benefit Sanctions Durations and Sanctions rate calculation - Experimental Office Staistics </b:Title>
    <b:Year>2018</b:Year>
    <b:InternetSiteTitle>Department for Work and Pensions</b:InternetSiteTitle>
    <b:Month>May</b:Month>
    <b:RefOrder>1</b:RefOrder>
  </b:Source>
</b:Sources>
</file>

<file path=customXml/itemProps1.xml><?xml version="1.0" encoding="utf-8"?>
<ds:datastoreItem xmlns:ds="http://schemas.openxmlformats.org/officeDocument/2006/customXml" ds:itemID="{DE2CB540-1829-4014-A4A6-40E26BFEFB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2281</TotalTime>
  <Pages>7</Pages>
  <Words>2499</Words>
  <Characters>14247</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Procter</dc:creator>
  <cp:keywords/>
  <dc:description/>
  <cp:lastModifiedBy>Emma Procter</cp:lastModifiedBy>
  <cp:revision>14</cp:revision>
  <cp:lastPrinted>2018-05-23T12:04:00Z</cp:lastPrinted>
  <dcterms:created xsi:type="dcterms:W3CDTF">2018-05-18T22:31:00Z</dcterms:created>
  <dcterms:modified xsi:type="dcterms:W3CDTF">2018-05-23T13:41:00Z</dcterms:modified>
</cp:coreProperties>
</file>