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E11FF" w:rsidRDefault="009A7E80" w14:paraId="00000001" w14:textId="77777777">
      <w:pPr>
        <w:spacing w:line="360" w:lineRule="auto"/>
        <w:jc w:val="center"/>
        <w:rPr>
          <w:rFonts w:ascii="Arial" w:hAnsi="Arial" w:eastAsia="Arial" w:cs="Arial"/>
          <w:b/>
          <w:bCs/>
          <w:sz w:val="28"/>
          <w:szCs w:val="28"/>
        </w:rPr>
      </w:pPr>
      <w:r>
        <w:rPr>
          <w:rFonts w:ascii="Arial" w:hAnsi="Arial" w:eastAsia="Arial" w:cs="Arial"/>
          <w:b/>
          <w:bCs/>
          <w:sz w:val="28"/>
          <w:szCs w:val="28"/>
        </w:rPr>
        <w:t>BSc (Hons) Health and Social Care</w:t>
      </w:r>
    </w:p>
    <w:p w:rsidR="00CE11FF" w:rsidRDefault="00CE11FF" w14:paraId="00000002" w14:textId="77777777">
      <w:pPr>
        <w:spacing w:line="360" w:lineRule="auto"/>
        <w:jc w:val="center"/>
        <w:rPr>
          <w:rFonts w:ascii="Arial" w:hAnsi="Arial" w:eastAsia="Arial" w:cs="Arial"/>
          <w:b/>
          <w:bCs/>
          <w:sz w:val="28"/>
          <w:szCs w:val="28"/>
        </w:rPr>
      </w:pPr>
    </w:p>
    <w:p w:rsidR="00CE11FF" w:rsidRDefault="009A7E80" w14:paraId="00000003" w14:textId="77777777">
      <w:pPr>
        <w:spacing w:line="360" w:lineRule="auto"/>
        <w:jc w:val="center"/>
        <w:rPr>
          <w:rFonts w:ascii="Arial" w:hAnsi="Arial" w:eastAsia="Arial" w:cs="Arial"/>
          <w:b/>
          <w:bCs/>
          <w:sz w:val="28"/>
          <w:szCs w:val="28"/>
        </w:rPr>
      </w:pPr>
      <w:r>
        <w:rPr>
          <w:rFonts w:ascii="Arial" w:hAnsi="Arial" w:eastAsia="Arial" w:cs="Arial"/>
          <w:b/>
          <w:bCs/>
          <w:sz w:val="28"/>
          <w:szCs w:val="28"/>
        </w:rPr>
        <w:t>Module: Introduction to Independent Research Skills (BMHP5019)</w:t>
      </w:r>
    </w:p>
    <w:p w:rsidR="00CE11FF" w:rsidRDefault="00CE11FF" w14:paraId="00000004" w14:textId="77777777">
      <w:pPr>
        <w:spacing w:line="360" w:lineRule="auto"/>
        <w:jc w:val="center"/>
        <w:rPr>
          <w:rFonts w:ascii="Arial" w:hAnsi="Arial" w:eastAsia="Arial" w:cs="Arial"/>
          <w:sz w:val="28"/>
          <w:szCs w:val="28"/>
        </w:rPr>
      </w:pPr>
    </w:p>
    <w:p w:rsidR="00CE11FF" w:rsidRDefault="009A7E80" w14:paraId="00000005" w14:textId="77777777">
      <w:pPr>
        <w:spacing w:line="360" w:lineRule="auto"/>
        <w:jc w:val="center"/>
        <w:rPr>
          <w:rFonts w:ascii="Arial" w:hAnsi="Arial" w:eastAsia="Arial" w:cs="Arial"/>
          <w:sz w:val="28"/>
          <w:szCs w:val="28"/>
        </w:rPr>
      </w:pPr>
      <w:r>
        <w:rPr>
          <w:rFonts w:ascii="Arial" w:hAnsi="Arial" w:eastAsia="Arial" w:cs="Arial"/>
          <w:b/>
          <w:bCs/>
          <w:sz w:val="28"/>
          <w:szCs w:val="28"/>
        </w:rPr>
        <w:t xml:space="preserve">Assessment title: </w:t>
      </w:r>
      <w:r>
        <w:rPr>
          <w:rFonts w:ascii="Arial" w:hAnsi="Arial" w:eastAsia="Arial" w:cs="Arial"/>
          <w:sz w:val="28"/>
          <w:szCs w:val="28"/>
        </w:rPr>
        <w:t xml:space="preserve">Assessment 1 - Research Proposal </w:t>
      </w:r>
    </w:p>
    <w:p w:rsidR="00CE11FF" w:rsidRDefault="00CE11FF" w14:paraId="00000006" w14:textId="77777777">
      <w:pPr>
        <w:spacing w:line="360" w:lineRule="auto"/>
        <w:rPr>
          <w:rFonts w:ascii="Arial" w:hAnsi="Arial" w:eastAsia="Arial" w:cs="Arial"/>
          <w:sz w:val="28"/>
          <w:szCs w:val="28"/>
        </w:rPr>
      </w:pPr>
    </w:p>
    <w:p w:rsidR="00CE11FF" w:rsidRDefault="00CE11FF" w14:paraId="00000007" w14:textId="77777777">
      <w:pPr>
        <w:spacing w:line="360" w:lineRule="auto"/>
        <w:rPr>
          <w:rFonts w:ascii="Arial" w:hAnsi="Arial" w:eastAsia="Arial" w:cs="Arial"/>
          <w:sz w:val="28"/>
          <w:szCs w:val="28"/>
        </w:rPr>
      </w:pPr>
    </w:p>
    <w:p w:rsidR="00CE11FF" w:rsidRDefault="009A7E80" w14:paraId="00000008" w14:textId="2AE956E4">
      <w:pPr>
        <w:spacing w:line="360" w:lineRule="auto"/>
        <w:rPr>
          <w:rFonts w:ascii="Arial" w:hAnsi="Arial" w:eastAsia="Arial" w:cs="Arial"/>
          <w:sz w:val="28"/>
          <w:szCs w:val="28"/>
        </w:rPr>
      </w:pPr>
      <w:r>
        <w:rPr>
          <w:rFonts w:ascii="Arial" w:hAnsi="Arial" w:eastAsia="Arial" w:cs="Arial"/>
          <w:b/>
          <w:bCs/>
          <w:sz w:val="28"/>
          <w:szCs w:val="28"/>
        </w:rPr>
        <w:t>Student ID</w:t>
      </w:r>
      <w:r>
        <w:rPr>
          <w:rFonts w:ascii="Arial" w:hAnsi="Arial" w:eastAsia="Arial" w:cs="Arial"/>
          <w:sz w:val="28"/>
          <w:szCs w:val="28"/>
        </w:rPr>
        <w:t xml:space="preserve">: </w:t>
      </w:r>
      <w:r w:rsidRPr="009807EA" w:rsidR="009807EA">
        <w:rPr>
          <w:rFonts w:ascii="Arial" w:hAnsi="Arial" w:eastAsia="Arial" w:cs="Arial"/>
          <w:sz w:val="28"/>
          <w:szCs w:val="28"/>
        </w:rPr>
        <w:t>2412818</w:t>
      </w:r>
    </w:p>
    <w:p w:rsidR="00CE11FF" w:rsidRDefault="00CE11FF" w14:paraId="00000009" w14:textId="77777777">
      <w:pPr>
        <w:spacing w:line="360" w:lineRule="auto"/>
        <w:rPr>
          <w:rFonts w:ascii="Arial" w:hAnsi="Arial" w:eastAsia="Arial" w:cs="Arial"/>
          <w:sz w:val="28"/>
          <w:szCs w:val="28"/>
        </w:rPr>
      </w:pPr>
    </w:p>
    <w:p w:rsidR="00CE11FF" w:rsidRDefault="009A7E80" w14:paraId="0000000A" w14:textId="3ED660B0">
      <w:pPr>
        <w:spacing w:line="360" w:lineRule="auto"/>
        <w:rPr>
          <w:rFonts w:ascii="Arial" w:hAnsi="Arial" w:eastAsia="Arial" w:cs="Arial"/>
          <w:sz w:val="28"/>
          <w:szCs w:val="28"/>
        </w:rPr>
      </w:pPr>
      <w:r>
        <w:rPr>
          <w:rFonts w:ascii="Arial" w:hAnsi="Arial" w:eastAsia="Arial" w:cs="Arial"/>
          <w:b/>
          <w:bCs/>
          <w:sz w:val="28"/>
          <w:szCs w:val="28"/>
        </w:rPr>
        <w:t>Student Name</w:t>
      </w:r>
      <w:r>
        <w:rPr>
          <w:rFonts w:ascii="Arial" w:hAnsi="Arial" w:eastAsia="Arial" w:cs="Arial"/>
          <w:sz w:val="28"/>
          <w:szCs w:val="28"/>
        </w:rPr>
        <w:t xml:space="preserve">: </w:t>
      </w:r>
      <w:r w:rsidRPr="009807EA" w:rsidR="009807EA">
        <w:rPr>
          <w:rFonts w:ascii="Arial" w:hAnsi="Arial" w:eastAsia="Arial" w:cs="Arial"/>
          <w:sz w:val="28"/>
          <w:szCs w:val="28"/>
        </w:rPr>
        <w:t xml:space="preserve">Ashura San </w:t>
      </w:r>
      <w:proofErr w:type="spellStart"/>
      <w:r w:rsidRPr="009807EA" w:rsidR="009807EA">
        <w:rPr>
          <w:rFonts w:ascii="Arial" w:hAnsi="Arial" w:eastAsia="Arial" w:cs="Arial"/>
          <w:sz w:val="28"/>
          <w:szCs w:val="28"/>
        </w:rPr>
        <w:t>sellus</w:t>
      </w:r>
      <w:proofErr w:type="spellEnd"/>
    </w:p>
    <w:p w:rsidR="00CE11FF" w:rsidRDefault="00CE11FF" w14:paraId="0000000B" w14:textId="77777777">
      <w:pPr>
        <w:spacing w:line="360" w:lineRule="auto"/>
        <w:rPr>
          <w:rFonts w:ascii="Arial" w:hAnsi="Arial" w:eastAsia="Arial" w:cs="Arial"/>
          <w:sz w:val="28"/>
          <w:szCs w:val="28"/>
        </w:rPr>
      </w:pPr>
    </w:p>
    <w:p w:rsidR="00CE11FF" w:rsidRDefault="009A7E80" w14:paraId="0000000C" w14:textId="2FD5CA7E">
      <w:pPr>
        <w:spacing w:line="360" w:lineRule="auto"/>
        <w:rPr>
          <w:rFonts w:ascii="Arial" w:hAnsi="Arial" w:eastAsia="Arial" w:cs="Arial"/>
          <w:sz w:val="28"/>
          <w:szCs w:val="28"/>
        </w:rPr>
      </w:pPr>
      <w:r>
        <w:rPr>
          <w:rFonts w:ascii="Arial" w:hAnsi="Arial" w:eastAsia="Arial" w:cs="Arial"/>
          <w:b/>
          <w:bCs/>
          <w:sz w:val="28"/>
          <w:szCs w:val="28"/>
        </w:rPr>
        <w:t>Date of submission</w:t>
      </w:r>
      <w:r>
        <w:rPr>
          <w:rFonts w:ascii="Arial" w:hAnsi="Arial" w:eastAsia="Arial" w:cs="Arial"/>
          <w:sz w:val="28"/>
          <w:szCs w:val="28"/>
        </w:rPr>
        <w:t xml:space="preserve">: </w:t>
      </w:r>
      <w:r w:rsidRPr="009807EA" w:rsidR="009807EA">
        <w:rPr>
          <w:rFonts w:ascii="Arial" w:hAnsi="Arial" w:eastAsia="Arial" w:cs="Arial"/>
          <w:sz w:val="28"/>
          <w:szCs w:val="28"/>
        </w:rPr>
        <w:t>10 July 2026</w:t>
      </w:r>
    </w:p>
    <w:p w:rsidR="00CE11FF" w:rsidRDefault="00CE11FF" w14:paraId="0000000D" w14:textId="77777777">
      <w:pPr>
        <w:spacing w:line="360" w:lineRule="auto"/>
        <w:rPr>
          <w:rFonts w:ascii="Arial" w:hAnsi="Arial" w:eastAsia="Arial" w:cs="Arial"/>
          <w:sz w:val="28"/>
          <w:szCs w:val="28"/>
        </w:rPr>
      </w:pPr>
    </w:p>
    <w:p w:rsidR="00CE11FF" w:rsidRDefault="009A7E80" w14:paraId="0000000E" w14:textId="652091C9">
      <w:pPr>
        <w:spacing w:line="360" w:lineRule="auto"/>
        <w:rPr>
          <w:rFonts w:ascii="Arial" w:hAnsi="Arial" w:eastAsia="Arial" w:cs="Arial"/>
          <w:b/>
          <w:bCs/>
          <w:sz w:val="28"/>
          <w:szCs w:val="28"/>
        </w:rPr>
      </w:pPr>
      <w:r>
        <w:rPr>
          <w:rFonts w:ascii="Arial" w:hAnsi="Arial" w:eastAsia="Arial" w:cs="Arial"/>
          <w:b/>
          <w:bCs/>
          <w:sz w:val="28"/>
          <w:szCs w:val="28"/>
        </w:rPr>
        <w:t>Lecturer’s name</w:t>
      </w:r>
      <w:r>
        <w:rPr>
          <w:rFonts w:ascii="Arial" w:hAnsi="Arial" w:eastAsia="Arial" w:cs="Arial"/>
          <w:sz w:val="28"/>
          <w:szCs w:val="28"/>
        </w:rPr>
        <w:t xml:space="preserve">: </w:t>
      </w:r>
      <w:r w:rsidR="009807EA">
        <w:rPr>
          <w:rFonts w:ascii="Arial" w:hAnsi="Arial" w:eastAsia="Arial" w:cs="Arial"/>
          <w:sz w:val="28"/>
          <w:szCs w:val="28"/>
        </w:rPr>
        <w:t>D</w:t>
      </w:r>
      <w:r w:rsidRPr="009807EA" w:rsidR="009807EA">
        <w:rPr>
          <w:rFonts w:ascii="Arial" w:hAnsi="Arial" w:eastAsia="Arial" w:cs="Arial"/>
          <w:sz w:val="28"/>
          <w:szCs w:val="28"/>
        </w:rPr>
        <w:t xml:space="preserve">r </w:t>
      </w:r>
      <w:proofErr w:type="spellStart"/>
      <w:r w:rsidRPr="009807EA" w:rsidR="009807EA">
        <w:rPr>
          <w:rFonts w:ascii="Arial" w:hAnsi="Arial" w:eastAsia="Arial" w:cs="Arial"/>
          <w:sz w:val="28"/>
          <w:szCs w:val="28"/>
        </w:rPr>
        <w:t>eleni</w:t>
      </w:r>
      <w:proofErr w:type="spellEnd"/>
      <w:r w:rsidRPr="009807EA" w:rsidR="009807EA">
        <w:rPr>
          <w:rFonts w:ascii="Arial" w:hAnsi="Arial" w:eastAsia="Arial" w:cs="Arial"/>
          <w:sz w:val="28"/>
          <w:szCs w:val="28"/>
        </w:rPr>
        <w:t xml:space="preserve">  </w:t>
      </w:r>
      <w:proofErr w:type="spellStart"/>
      <w:r w:rsidRPr="009807EA" w:rsidR="009807EA">
        <w:rPr>
          <w:rFonts w:ascii="Arial" w:hAnsi="Arial" w:eastAsia="Arial" w:cs="Arial"/>
          <w:sz w:val="28"/>
          <w:szCs w:val="28"/>
        </w:rPr>
        <w:t>koutsogeorgou</w:t>
      </w:r>
      <w:proofErr w:type="spellEnd"/>
      <w:r w:rsidRPr="009807EA" w:rsidR="009807EA">
        <w:rPr>
          <w:rFonts w:ascii="Arial" w:hAnsi="Arial" w:eastAsia="Arial" w:cs="Arial"/>
          <w:sz w:val="28"/>
          <w:szCs w:val="28"/>
        </w:rPr>
        <w:t xml:space="preserve"> A</w:t>
      </w:r>
    </w:p>
    <w:p w:rsidR="00CE11FF" w:rsidRDefault="00CE11FF" w14:paraId="0000000F" w14:textId="77777777">
      <w:pPr>
        <w:spacing w:line="360" w:lineRule="auto"/>
        <w:rPr>
          <w:rFonts w:ascii="Arial" w:hAnsi="Arial" w:eastAsia="Arial" w:cs="Arial"/>
          <w:sz w:val="22"/>
          <w:szCs w:val="22"/>
        </w:rPr>
      </w:pPr>
    </w:p>
    <w:p w:rsidR="00CE11FF" w:rsidRDefault="009A7E80" w14:paraId="00000010" w14:textId="77777777">
      <w:pPr>
        <w:spacing w:line="360" w:lineRule="auto"/>
        <w:rPr>
          <w:rFonts w:ascii="Arial" w:hAnsi="Arial" w:eastAsia="Arial" w:cs="Arial"/>
          <w:sz w:val="22"/>
          <w:szCs w:val="22"/>
        </w:rPr>
      </w:pPr>
      <w:r>
        <w:br w:type="page"/>
      </w:r>
    </w:p>
    <w:p w:rsidR="00CE11FF" w:rsidRDefault="009A7E80" w14:paraId="00000011" w14:textId="77777777">
      <w:pPr>
        <w:pStyle w:val="Heading1"/>
      </w:pPr>
      <w:r>
        <w:lastRenderedPageBreak/>
        <w:t>Research Proposal</w:t>
      </w:r>
    </w:p>
    <w:p w:rsidR="00CE11FF" w:rsidRDefault="00CE11FF" w14:paraId="00000012" w14:textId="77777777">
      <w:pPr>
        <w:rPr>
          <w:sz w:val="22"/>
          <w:szCs w:val="22"/>
        </w:rPr>
      </w:pPr>
    </w:p>
    <w:p w:rsidR="00CE11FF" w:rsidRDefault="009A7E80" w14:paraId="00000013" w14:textId="77777777">
      <w:pPr>
        <w:pStyle w:val="Heading2"/>
        <w:jc w:val="both"/>
      </w:pPr>
      <w:r>
        <w:t>Topic:</w:t>
      </w:r>
    </w:p>
    <w:p w:rsidR="00CE11FF" w:rsidRDefault="009A7E80" w14:paraId="00000014" w14:textId="77777777">
      <w:pPr>
        <w:spacing w:line="360" w:lineRule="auto"/>
        <w:jc w:val="both"/>
        <w:rPr>
          <w:rFonts w:ascii="Arial" w:hAnsi="Arial" w:eastAsia="Arial" w:cs="Arial"/>
          <w:sz w:val="20"/>
          <w:szCs w:val="20"/>
        </w:rPr>
      </w:pPr>
      <w:r>
        <w:rPr>
          <w:rFonts w:ascii="Arial" w:hAnsi="Arial" w:eastAsia="Arial" w:cs="Arial"/>
          <w:sz w:val="22"/>
          <w:szCs w:val="22"/>
        </w:rPr>
        <w:t>The effectiveness of telehealth in improving healthcare access for rural populations in the United Kingdom.</w:t>
      </w:r>
    </w:p>
    <w:p w:rsidR="00CE11FF" w:rsidRDefault="009A7E80" w14:paraId="00000015" w14:textId="77777777">
      <w:pPr>
        <w:pStyle w:val="Heading2"/>
        <w:jc w:val="both"/>
      </w:pPr>
      <w:r>
        <w:t>1) Review question:</w:t>
      </w:r>
    </w:p>
    <w:p w:rsidR="00CE11FF" w:rsidRDefault="009A7E80" w14:paraId="00000016" w14:textId="3B382BB6">
      <w:pPr>
        <w:spacing w:line="360" w:lineRule="auto"/>
        <w:jc w:val="both"/>
        <w:rPr>
          <w:rFonts w:ascii="Arial" w:hAnsi="Arial" w:eastAsia="Arial" w:cs="Arial"/>
          <w:sz w:val="22"/>
          <w:szCs w:val="22"/>
        </w:rPr>
      </w:pPr>
      <w:r>
        <w:rPr>
          <w:rFonts w:ascii="Arial" w:hAnsi="Arial" w:eastAsia="Arial" w:cs="Arial"/>
          <w:sz w:val="22"/>
          <w:szCs w:val="22"/>
        </w:rPr>
        <w:t>Can the use of telehealth help to minimi</w:t>
      </w:r>
      <w:r w:rsidR="00AB5C76">
        <w:rPr>
          <w:rFonts w:ascii="Arial" w:hAnsi="Arial" w:eastAsia="Arial" w:cs="Arial"/>
          <w:sz w:val="22"/>
          <w:szCs w:val="22"/>
        </w:rPr>
        <w:t>s</w:t>
      </w:r>
      <w:r>
        <w:rPr>
          <w:rFonts w:ascii="Arial" w:hAnsi="Arial" w:eastAsia="Arial" w:cs="Arial"/>
          <w:sz w:val="22"/>
          <w:szCs w:val="22"/>
        </w:rPr>
        <w:t xml:space="preserve">e inequitable and unacceptable delays to access </w:t>
      </w:r>
      <w:r w:rsidR="00AB5C76">
        <w:rPr>
          <w:rFonts w:ascii="Arial" w:hAnsi="Arial" w:eastAsia="Arial" w:cs="Arial"/>
          <w:sz w:val="22"/>
          <w:szCs w:val="22"/>
        </w:rPr>
        <w:t>to</w:t>
      </w:r>
      <w:r>
        <w:rPr>
          <w:rFonts w:ascii="Arial" w:hAnsi="Arial" w:eastAsia="Arial" w:cs="Arial"/>
          <w:sz w:val="22"/>
          <w:szCs w:val="22"/>
        </w:rPr>
        <w:t xml:space="preserve"> healthcare in rural communities in the UK?</w:t>
      </w:r>
    </w:p>
    <w:p w:rsidR="00CE11FF" w:rsidRDefault="009A7E80" w14:paraId="00000017" w14:textId="77777777">
      <w:pPr>
        <w:pStyle w:val="Heading2"/>
        <w:jc w:val="both"/>
      </w:pPr>
      <w:r>
        <w:t>2) Objectives:</w:t>
      </w:r>
    </w:p>
    <w:p w:rsidR="00CE11FF" w:rsidRDefault="009A7E80" w14:paraId="00000018" w14:textId="7A155B22">
      <w:pPr>
        <w:numPr>
          <w:ilvl w:val="0"/>
          <w:numId w:val="1"/>
        </w:numPr>
        <w:spacing w:after="0" w:line="360" w:lineRule="auto"/>
        <w:jc w:val="both"/>
        <w:rPr>
          <w:rFonts w:ascii="Arial" w:hAnsi="Arial" w:eastAsia="Arial" w:cs="Arial"/>
          <w:sz w:val="22"/>
          <w:szCs w:val="22"/>
        </w:rPr>
      </w:pPr>
      <w:r>
        <w:rPr>
          <w:rFonts w:ascii="Arial" w:hAnsi="Arial" w:eastAsia="Arial" w:cs="Arial"/>
          <w:sz w:val="22"/>
          <w:szCs w:val="22"/>
        </w:rPr>
        <w:t xml:space="preserve">Dissect the evidence to assess the effectiveness of </w:t>
      </w:r>
      <w:proofErr w:type="spellStart"/>
      <w:r>
        <w:rPr>
          <w:rFonts w:ascii="Arial" w:hAnsi="Arial" w:eastAsia="Arial" w:cs="Arial"/>
          <w:sz w:val="22"/>
          <w:szCs w:val="22"/>
        </w:rPr>
        <w:t>TeleHealth</w:t>
      </w:r>
      <w:proofErr w:type="spellEnd"/>
      <w:r>
        <w:rPr>
          <w:rFonts w:ascii="Arial" w:hAnsi="Arial" w:eastAsia="Arial" w:cs="Arial"/>
          <w:sz w:val="22"/>
          <w:szCs w:val="22"/>
        </w:rPr>
        <w:t xml:space="preserve"> in addressing geographical barriers and barriers due to travel time</w:t>
      </w:r>
      <w:r w:rsidR="00AB5C76">
        <w:rPr>
          <w:rFonts w:ascii="Arial" w:hAnsi="Arial" w:eastAsia="Arial" w:cs="Arial"/>
          <w:sz w:val="22"/>
          <w:szCs w:val="22"/>
        </w:rPr>
        <w:t>/</w:t>
      </w:r>
      <w:r>
        <w:rPr>
          <w:rFonts w:ascii="Arial" w:hAnsi="Arial" w:eastAsia="Arial" w:cs="Arial"/>
          <w:sz w:val="22"/>
          <w:szCs w:val="22"/>
        </w:rPr>
        <w:t>waiting times for rural communities in the UK.</w:t>
      </w:r>
    </w:p>
    <w:p w:rsidR="00CE11FF" w:rsidRDefault="009A7E80" w14:paraId="00000019" w14:textId="4DEE75CD">
      <w:pPr>
        <w:numPr>
          <w:ilvl w:val="0"/>
          <w:numId w:val="1"/>
        </w:numPr>
        <w:spacing w:after="0" w:line="360" w:lineRule="auto"/>
        <w:jc w:val="both"/>
        <w:rPr>
          <w:rFonts w:ascii="Arial" w:hAnsi="Arial" w:eastAsia="Arial" w:cs="Arial"/>
          <w:sz w:val="22"/>
          <w:szCs w:val="22"/>
        </w:rPr>
      </w:pPr>
      <w:r>
        <w:rPr>
          <w:rFonts w:ascii="Arial" w:hAnsi="Arial" w:eastAsia="Arial" w:cs="Arial"/>
          <w:sz w:val="22"/>
          <w:szCs w:val="22"/>
        </w:rPr>
        <w:t>To evaluate how effective it is to utilise telehealth in improving access to primary, specialist and follow</w:t>
      </w:r>
      <w:r w:rsidR="00AB5C76">
        <w:rPr>
          <w:rFonts w:ascii="Arial" w:hAnsi="Arial" w:eastAsia="Arial" w:cs="Arial"/>
          <w:sz w:val="22"/>
          <w:szCs w:val="22"/>
        </w:rPr>
        <w:t>-</w:t>
      </w:r>
      <w:r>
        <w:rPr>
          <w:rFonts w:ascii="Arial" w:hAnsi="Arial" w:eastAsia="Arial" w:cs="Arial"/>
          <w:sz w:val="22"/>
          <w:szCs w:val="22"/>
        </w:rPr>
        <w:t>up care in ‘rural UK’ local areas.</w:t>
      </w:r>
    </w:p>
    <w:p w:rsidR="00CE11FF" w:rsidRDefault="009A7E80" w14:paraId="0000001A" w14:textId="6D657657">
      <w:pPr>
        <w:numPr>
          <w:ilvl w:val="0"/>
          <w:numId w:val="1"/>
        </w:numPr>
        <w:spacing w:after="0" w:line="360" w:lineRule="auto"/>
        <w:jc w:val="both"/>
        <w:rPr>
          <w:rFonts w:ascii="Arial" w:hAnsi="Arial" w:eastAsia="Arial" w:cs="Arial"/>
          <w:sz w:val="22"/>
          <w:szCs w:val="22"/>
        </w:rPr>
      </w:pPr>
      <w:r>
        <w:rPr>
          <w:rFonts w:ascii="Arial" w:hAnsi="Arial" w:eastAsia="Arial" w:cs="Arial"/>
          <w:sz w:val="22"/>
          <w:szCs w:val="22"/>
        </w:rPr>
        <w:t>To investigate the impact of digital literacy, internet access, age and socio-economic factors on accessibility and utili</w:t>
      </w:r>
      <w:r w:rsidR="00AB5C76">
        <w:rPr>
          <w:rFonts w:ascii="Arial" w:hAnsi="Arial" w:eastAsia="Arial" w:cs="Arial"/>
          <w:sz w:val="22"/>
          <w:szCs w:val="22"/>
        </w:rPr>
        <w:t>s</w:t>
      </w:r>
      <w:r>
        <w:rPr>
          <w:rFonts w:ascii="Arial" w:hAnsi="Arial" w:eastAsia="Arial" w:cs="Arial"/>
          <w:sz w:val="22"/>
          <w:szCs w:val="22"/>
        </w:rPr>
        <w:t xml:space="preserve">ation of telehealth by </w:t>
      </w:r>
      <w:r w:rsidR="00AB5C76">
        <w:rPr>
          <w:rFonts w:ascii="Arial" w:hAnsi="Arial" w:eastAsia="Arial" w:cs="Arial"/>
          <w:sz w:val="22"/>
          <w:szCs w:val="22"/>
        </w:rPr>
        <w:t xml:space="preserve">the </w:t>
      </w:r>
      <w:r>
        <w:rPr>
          <w:rFonts w:ascii="Arial" w:hAnsi="Arial" w:eastAsia="Arial" w:cs="Arial"/>
          <w:sz w:val="22"/>
          <w:szCs w:val="22"/>
        </w:rPr>
        <w:t>rural population.</w:t>
      </w:r>
    </w:p>
    <w:p w:rsidR="00CE11FF" w:rsidRDefault="009A7E80" w14:paraId="0000001B" w14:textId="77777777">
      <w:pPr>
        <w:numPr>
          <w:ilvl w:val="0"/>
          <w:numId w:val="1"/>
        </w:numPr>
        <w:spacing w:line="360" w:lineRule="auto"/>
        <w:jc w:val="both"/>
        <w:rPr>
          <w:rFonts w:ascii="Arial" w:hAnsi="Arial" w:eastAsia="Arial" w:cs="Arial"/>
          <w:sz w:val="22"/>
          <w:szCs w:val="22"/>
        </w:rPr>
      </w:pPr>
      <w:r>
        <w:rPr>
          <w:rFonts w:ascii="Arial" w:hAnsi="Arial" w:eastAsia="Arial" w:cs="Arial"/>
          <w:sz w:val="22"/>
          <w:szCs w:val="22"/>
        </w:rPr>
        <w:t>To inform understanding of the organisational, technological and professional issues that help or hinder effective embedding of the application of telehealth in rural NHS services.</w:t>
      </w:r>
    </w:p>
    <w:p w:rsidR="00CE11FF" w:rsidRDefault="009A7E80" w14:paraId="0000001C" w14:textId="77777777">
      <w:pPr>
        <w:pStyle w:val="Heading2"/>
        <w:jc w:val="both"/>
      </w:pPr>
      <w:r>
        <w:t>3) Rationale:</w:t>
      </w:r>
    </w:p>
    <w:p w:rsidR="00CE11FF" w:rsidRDefault="009A7E80" w14:paraId="0000001D" w14:textId="1E1C0F56">
      <w:pPr>
        <w:spacing w:line="360" w:lineRule="auto"/>
        <w:jc w:val="both"/>
        <w:rPr>
          <w:rFonts w:ascii="Arial" w:hAnsi="Arial" w:eastAsia="Arial" w:cs="Arial"/>
          <w:sz w:val="22"/>
          <w:szCs w:val="22"/>
        </w:rPr>
      </w:pPr>
      <w:r>
        <w:rPr>
          <w:rFonts w:ascii="Arial" w:hAnsi="Arial" w:eastAsia="Arial" w:cs="Arial"/>
          <w:sz w:val="22"/>
          <w:szCs w:val="22"/>
        </w:rPr>
        <w:t>Access for rural areas isn't simply difficult</w:t>
      </w:r>
      <w:r w:rsidR="00AB5C76">
        <w:rPr>
          <w:rFonts w:ascii="Arial" w:hAnsi="Arial" w:eastAsia="Arial" w:cs="Arial"/>
          <w:sz w:val="22"/>
          <w:szCs w:val="22"/>
        </w:rPr>
        <w:t>;</w:t>
      </w:r>
      <w:r>
        <w:rPr>
          <w:rFonts w:ascii="Arial" w:hAnsi="Arial" w:eastAsia="Arial" w:cs="Arial"/>
          <w:sz w:val="22"/>
          <w:szCs w:val="22"/>
        </w:rPr>
        <w:t xml:space="preserve"> it is built around the concept of being difficult! The geographical disadvantage was seen in Wales</w:t>
      </w:r>
      <w:r w:rsidR="00AB5C76">
        <w:rPr>
          <w:rFonts w:ascii="Arial" w:hAnsi="Arial" w:eastAsia="Arial" w:cs="Arial"/>
          <w:sz w:val="22"/>
          <w:szCs w:val="22"/>
        </w:rPr>
        <w:t>, where</w:t>
      </w:r>
      <w:r>
        <w:rPr>
          <w:rFonts w:ascii="Arial" w:hAnsi="Arial" w:eastAsia="Arial" w:cs="Arial"/>
          <w:sz w:val="22"/>
          <w:szCs w:val="22"/>
        </w:rPr>
        <w:t xml:space="preserve"> rural patients had to travel an average of 6.3 km for primary care and urban patients 2.3 km (Johnson et al., 2025). While this burden could be countered by telehealth, it is essential to keep in mind that the mere availability of something at the national level does not equate to being effective for all. An analysis of more than 53 million primary-care records from England has indicated that those who used the platform were younger, less deprived, and more likely to be women than when compared to those who used GP services, which may point to selective use of the platform (Fonseca et al., 2024). In Scotland, there were tangible benefits as 1,709 digital appointments resulted in 44,712 miles of travel avoided, although there were practical implementation hurdles in technical systems, such as integration, along with administrative considerations (</w:t>
      </w:r>
      <w:proofErr w:type="spellStart"/>
      <w:r>
        <w:rPr>
          <w:rFonts w:ascii="Arial" w:hAnsi="Arial" w:eastAsia="Arial" w:cs="Arial"/>
          <w:sz w:val="22"/>
          <w:szCs w:val="22"/>
        </w:rPr>
        <w:t>Rzewuska</w:t>
      </w:r>
      <w:proofErr w:type="spellEnd"/>
      <w:r>
        <w:rPr>
          <w:rFonts w:ascii="Arial" w:hAnsi="Arial" w:eastAsia="Arial" w:cs="Arial"/>
          <w:sz w:val="22"/>
          <w:szCs w:val="22"/>
        </w:rPr>
        <w:t xml:space="preserve"> Díaz et al., 2024). Challenges with limited digital access from the UK rheumatology survey resulted in decreased confidence and satisfaction with remote care</w:t>
      </w:r>
      <w:r w:rsidR="00AB5C76">
        <w:rPr>
          <w:rFonts w:ascii="Arial" w:hAnsi="Arial" w:eastAsia="Arial" w:cs="Arial"/>
          <w:sz w:val="22"/>
          <w:szCs w:val="22"/>
        </w:rPr>
        <w:t>,</w:t>
      </w:r>
      <w:r>
        <w:rPr>
          <w:rFonts w:ascii="Arial" w:hAnsi="Arial" w:eastAsia="Arial" w:cs="Arial"/>
          <w:sz w:val="22"/>
          <w:szCs w:val="22"/>
        </w:rPr>
        <w:t xml:space="preserve"> and equity is a concern since 19.7% of participants had no internet-enabled device with which to access remote care services (Hider et al., 2023). Adoption depends on the practitioner skills, suitability with the </w:t>
      </w:r>
      <w:r>
        <w:rPr>
          <w:rFonts w:ascii="Arial" w:hAnsi="Arial" w:eastAsia="Arial" w:cs="Arial"/>
          <w:sz w:val="22"/>
          <w:szCs w:val="22"/>
        </w:rPr>
        <w:lastRenderedPageBreak/>
        <w:t>workflow, and organisational support, which influences effectiveness based on the service design (Turnbull et al., 2024). Although video consultation in the context of pharmaceutical services might help with quicker access and satisfaction, the role of video consultations remains unclear with regard to subsequent workload areas (Parsons et al., 2023). Rural synthesis is needed</w:t>
      </w:r>
      <w:r w:rsidR="00AB5C76">
        <w:rPr>
          <w:rFonts w:ascii="Arial" w:hAnsi="Arial" w:eastAsia="Arial" w:cs="Arial"/>
          <w:sz w:val="22"/>
          <w:szCs w:val="22"/>
        </w:rPr>
        <w:t>,</w:t>
      </w:r>
      <w:r>
        <w:rPr>
          <w:rFonts w:ascii="Arial" w:hAnsi="Arial" w:eastAsia="Arial" w:cs="Arial"/>
          <w:sz w:val="22"/>
          <w:szCs w:val="22"/>
        </w:rPr>
        <w:t xml:space="preserve"> as these will be mixed up with increasing access and digital displacement of barriers.</w:t>
      </w:r>
    </w:p>
    <w:p w:rsidR="00CE11FF" w:rsidRDefault="009A7E80" w14:paraId="0000001E" w14:textId="77777777">
      <w:pPr>
        <w:pStyle w:val="Heading2"/>
        <w:jc w:val="both"/>
      </w:pPr>
      <w:r>
        <w:t>4) Methods:</w:t>
      </w:r>
    </w:p>
    <w:p w:rsidR="00CE11FF" w:rsidRDefault="009A7E80" w14:paraId="0000001F" w14:textId="2A6BF11F">
      <w:pPr>
        <w:spacing w:line="360" w:lineRule="auto"/>
        <w:jc w:val="both"/>
        <w:rPr>
          <w:rFonts w:ascii="Arial" w:hAnsi="Arial" w:eastAsia="Arial" w:cs="Arial"/>
          <w:sz w:val="22"/>
          <w:szCs w:val="22"/>
        </w:rPr>
      </w:pPr>
      <w:r>
        <w:rPr>
          <w:rFonts w:ascii="Arial" w:hAnsi="Arial" w:eastAsia="Arial" w:cs="Arial"/>
          <w:sz w:val="22"/>
          <w:szCs w:val="22"/>
        </w:rPr>
        <w:t>The databases of PubMed, CINAHL, Scopus and Google Scholar will be used to search for peer-reviewed studies (2022-2026) in the UK. Keywords used during the search will encompass the phrases 'telehealth', 'telemedicine', 'remote consultation', 'digital health', the NHS/devolved-nation terms and the phrase United Kingdom combined with 'rural' and 'remote'. Qualifying studies will be those that study populations from rural UK and comment on outcomes of access. Non-UK studies, opinion pieces, protocols and studies not having access findings will not be included. Screening and data charting will be done according to pre-determined criteria. Findings will be thematically collapsed and analy</w:t>
      </w:r>
      <w:r w:rsidR="00AB5C76">
        <w:rPr>
          <w:rFonts w:ascii="Arial" w:hAnsi="Arial" w:eastAsia="Arial" w:cs="Arial"/>
          <w:sz w:val="22"/>
          <w:szCs w:val="22"/>
        </w:rPr>
        <w:t>s</w:t>
      </w:r>
      <w:r>
        <w:rPr>
          <w:rFonts w:ascii="Arial" w:hAnsi="Arial" w:eastAsia="Arial" w:cs="Arial"/>
          <w:sz w:val="22"/>
          <w:szCs w:val="22"/>
        </w:rPr>
        <w:t>ed on themes that will relate to accessibility, acceptability, equity, implementation and the outcomes of the clinical services.</w:t>
      </w:r>
    </w:p>
    <w:p w:rsidR="00CE11FF" w:rsidRDefault="009A7E80" w14:paraId="00000020" w14:textId="77777777">
      <w:pPr>
        <w:pStyle w:val="Heading2"/>
        <w:jc w:val="both"/>
      </w:pPr>
      <w:r>
        <w:t xml:space="preserve">5) Ethical considerations: </w:t>
      </w:r>
    </w:p>
    <w:p w:rsidR="00CE11FF" w:rsidRDefault="009A7E80" w14:paraId="00000021" w14:textId="569A4CBC">
      <w:pPr>
        <w:spacing w:line="360" w:lineRule="auto"/>
        <w:jc w:val="both"/>
        <w:rPr>
          <w:rFonts w:ascii="Arial" w:hAnsi="Arial" w:eastAsia="Arial" w:cs="Arial"/>
          <w:sz w:val="22"/>
          <w:szCs w:val="22"/>
        </w:rPr>
      </w:pPr>
      <w:r>
        <w:rPr>
          <w:rFonts w:ascii="Arial" w:hAnsi="Arial" w:eastAsia="Arial" w:cs="Arial"/>
          <w:sz w:val="22"/>
          <w:szCs w:val="22"/>
        </w:rPr>
        <w:t>No recruiting of participants will be done. This will include proper referencing and attempts to fairly represent the outcome of other</w:t>
      </w:r>
      <w:r w:rsidR="00AB5C76">
        <w:rPr>
          <w:rFonts w:ascii="Arial" w:hAnsi="Arial" w:eastAsia="Arial" w:cs="Arial"/>
          <w:sz w:val="22"/>
          <w:szCs w:val="22"/>
        </w:rPr>
        <w:t>s’</w:t>
      </w:r>
      <w:r>
        <w:rPr>
          <w:rFonts w:ascii="Arial" w:hAnsi="Arial" w:eastAsia="Arial" w:cs="Arial"/>
          <w:sz w:val="22"/>
          <w:szCs w:val="22"/>
        </w:rPr>
        <w:t xml:space="preserve"> work, clear selection of the work to be published, inclusion of any information gleaned from other people's work which can be identified by the reader of the published work, and an awareness of publication bias.</w:t>
      </w:r>
    </w:p>
    <w:p w:rsidR="00CE11FF" w:rsidRDefault="00CE11FF" w14:paraId="00000022" w14:textId="77777777">
      <w:pPr>
        <w:rPr>
          <w:rFonts w:ascii="Arial" w:hAnsi="Arial" w:eastAsia="Arial" w:cs="Arial"/>
          <w:sz w:val="22"/>
          <w:szCs w:val="22"/>
        </w:rPr>
      </w:pPr>
    </w:p>
    <w:p w:rsidR="00CE11FF" w:rsidRDefault="00CE11FF" w14:paraId="00000023" w14:textId="77777777">
      <w:pPr>
        <w:rPr>
          <w:rFonts w:ascii="Arial" w:hAnsi="Arial" w:eastAsia="Arial" w:cs="Arial"/>
          <w:sz w:val="22"/>
          <w:szCs w:val="22"/>
        </w:rPr>
      </w:pPr>
    </w:p>
    <w:p w:rsidR="00CE11FF" w:rsidRDefault="00CE11FF" w14:paraId="00000024" w14:textId="77777777">
      <w:pPr>
        <w:spacing w:line="360" w:lineRule="auto"/>
        <w:rPr>
          <w:rFonts w:ascii="Arial" w:hAnsi="Arial" w:eastAsia="Arial" w:cs="Arial"/>
          <w:sz w:val="22"/>
          <w:szCs w:val="22"/>
        </w:rPr>
      </w:pPr>
    </w:p>
    <w:p w:rsidR="00CE11FF" w:rsidRDefault="00CE11FF" w14:paraId="00000025" w14:textId="77777777">
      <w:pPr>
        <w:spacing w:line="360" w:lineRule="auto"/>
        <w:rPr>
          <w:rFonts w:ascii="Arial" w:hAnsi="Arial" w:eastAsia="Arial" w:cs="Arial"/>
          <w:sz w:val="22"/>
          <w:szCs w:val="22"/>
        </w:rPr>
      </w:pPr>
    </w:p>
    <w:p w:rsidR="00CE11FF" w:rsidRDefault="00CE11FF" w14:paraId="00000026" w14:textId="77777777">
      <w:pPr>
        <w:spacing w:line="360" w:lineRule="auto"/>
        <w:rPr>
          <w:rFonts w:ascii="Arial" w:hAnsi="Arial" w:eastAsia="Arial" w:cs="Arial"/>
          <w:sz w:val="22"/>
          <w:szCs w:val="22"/>
        </w:rPr>
      </w:pPr>
    </w:p>
    <w:p w:rsidR="00CE11FF" w:rsidRDefault="00CE11FF" w14:paraId="00000027" w14:textId="77777777">
      <w:pPr>
        <w:spacing w:line="360" w:lineRule="auto"/>
        <w:rPr>
          <w:rFonts w:ascii="Arial" w:hAnsi="Arial" w:eastAsia="Arial" w:cs="Arial"/>
          <w:sz w:val="22"/>
          <w:szCs w:val="22"/>
        </w:rPr>
      </w:pPr>
    </w:p>
    <w:p w:rsidR="00CE11FF" w:rsidRDefault="009A7E80" w14:paraId="00000028" w14:textId="77777777">
      <w:pPr>
        <w:spacing w:line="360" w:lineRule="auto"/>
        <w:rPr>
          <w:rFonts w:ascii="Arial" w:hAnsi="Arial" w:eastAsia="Arial" w:cs="Arial"/>
          <w:sz w:val="22"/>
          <w:szCs w:val="22"/>
        </w:rPr>
      </w:pPr>
      <w:r>
        <w:br w:type="page"/>
      </w:r>
    </w:p>
    <w:p w:rsidR="00CE11FF" w:rsidRDefault="009A7E80" w14:paraId="00000029" w14:textId="77777777">
      <w:pPr>
        <w:pStyle w:val="Heading1"/>
      </w:pPr>
      <w:r>
        <w:lastRenderedPageBreak/>
        <w:t>References</w:t>
      </w:r>
    </w:p>
    <w:p w:rsidR="00AB5C76" w:rsidRDefault="00AB5C76" w14:paraId="656A35CD" w14:textId="77777777">
      <w:pPr>
        <w:spacing w:line="360" w:lineRule="auto"/>
        <w:jc w:val="both"/>
        <w:rPr>
          <w:rFonts w:ascii="Arial" w:hAnsi="Arial" w:eastAsia="Arial" w:cs="Arial"/>
          <w:sz w:val="22"/>
          <w:szCs w:val="22"/>
        </w:rPr>
      </w:pPr>
      <w:r>
        <w:rPr>
          <w:rFonts w:ascii="Arial" w:hAnsi="Arial" w:eastAsia="Arial" w:cs="Arial"/>
          <w:color w:val="222222"/>
          <w:sz w:val="22"/>
          <w:szCs w:val="22"/>
          <w:highlight w:val="white"/>
        </w:rPr>
        <w:t xml:space="preserve">Fonseca, M., MacKenna, B., </w:t>
      </w:r>
      <w:proofErr w:type="spellStart"/>
      <w:r>
        <w:rPr>
          <w:rFonts w:ascii="Arial" w:hAnsi="Arial" w:eastAsia="Arial" w:cs="Arial"/>
          <w:color w:val="222222"/>
          <w:sz w:val="22"/>
          <w:szCs w:val="22"/>
          <w:highlight w:val="white"/>
        </w:rPr>
        <w:t>Mehrkar</w:t>
      </w:r>
      <w:proofErr w:type="spellEnd"/>
      <w:r>
        <w:rPr>
          <w:rFonts w:ascii="Arial" w:hAnsi="Arial" w:eastAsia="Arial" w:cs="Arial"/>
          <w:color w:val="222222"/>
          <w:sz w:val="22"/>
          <w:szCs w:val="22"/>
          <w:highlight w:val="white"/>
        </w:rPr>
        <w:t xml:space="preserve">, A., Walters, C.E., Hickman, G., Pearson, J., Fisher, L., Inglesby, P., Bacon, S., Davy, S. and Hulme, W., 2024. The use of online consultation systems or remote consulting in England characterized through the primary care health records of 53 million people in the </w:t>
      </w:r>
      <w:proofErr w:type="spellStart"/>
      <w:r>
        <w:rPr>
          <w:rFonts w:ascii="Arial" w:hAnsi="Arial" w:eastAsia="Arial" w:cs="Arial"/>
          <w:color w:val="222222"/>
          <w:sz w:val="22"/>
          <w:szCs w:val="22"/>
          <w:highlight w:val="white"/>
        </w:rPr>
        <w:t>OpenSAFELY</w:t>
      </w:r>
      <w:proofErr w:type="spellEnd"/>
      <w:r>
        <w:rPr>
          <w:rFonts w:ascii="Arial" w:hAnsi="Arial" w:eastAsia="Arial" w:cs="Arial"/>
          <w:color w:val="222222"/>
          <w:sz w:val="22"/>
          <w:szCs w:val="22"/>
          <w:highlight w:val="white"/>
        </w:rPr>
        <w:t xml:space="preserve"> platform: retrospective cohort study. </w:t>
      </w:r>
      <w:r>
        <w:rPr>
          <w:rFonts w:ascii="Arial" w:hAnsi="Arial" w:eastAsia="Arial" w:cs="Arial"/>
          <w:i/>
          <w:iCs/>
          <w:color w:val="222222"/>
          <w:sz w:val="22"/>
          <w:szCs w:val="22"/>
          <w:highlight w:val="white"/>
        </w:rPr>
        <w:t>JMIR Public Health and Surveillance</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10</w:t>
      </w:r>
      <w:r>
        <w:rPr>
          <w:rFonts w:ascii="Arial" w:hAnsi="Arial" w:eastAsia="Arial" w:cs="Arial"/>
          <w:color w:val="222222"/>
          <w:sz w:val="22"/>
          <w:szCs w:val="22"/>
          <w:highlight w:val="white"/>
        </w:rPr>
        <w:t>(1), p.e46485.</w:t>
      </w:r>
      <w:r>
        <w:rPr>
          <w:rFonts w:ascii="Arial" w:hAnsi="Arial" w:eastAsia="Arial" w:cs="Arial"/>
          <w:sz w:val="22"/>
          <w:szCs w:val="22"/>
        </w:rPr>
        <w:t xml:space="preserve"> Available at: </w:t>
      </w:r>
      <w:hyperlink r:id="rId11">
        <w:r>
          <w:rPr>
            <w:rFonts w:ascii="Arial" w:hAnsi="Arial" w:eastAsia="Arial" w:cs="Arial"/>
            <w:color w:val="1155CC"/>
            <w:sz w:val="22"/>
            <w:szCs w:val="22"/>
            <w:u w:val="single"/>
          </w:rPr>
          <w:t>https://publichealth.jmir.org/2024/1/e46485/</w:t>
        </w:r>
      </w:hyperlink>
      <w:r>
        <w:rPr>
          <w:rFonts w:ascii="Arial" w:hAnsi="Arial" w:eastAsia="Arial" w:cs="Arial"/>
          <w:sz w:val="22"/>
          <w:szCs w:val="22"/>
        </w:rPr>
        <w:t xml:space="preserve">  [Accessed 21 July 2026]</w:t>
      </w:r>
    </w:p>
    <w:p w:rsidR="00AB5C76" w:rsidRDefault="00AB5C76" w14:paraId="369EF315" w14:textId="77777777">
      <w:pPr>
        <w:spacing w:line="360" w:lineRule="auto"/>
        <w:jc w:val="both"/>
        <w:rPr>
          <w:rFonts w:ascii="Arial" w:hAnsi="Arial" w:eastAsia="Arial" w:cs="Arial"/>
          <w:sz w:val="22"/>
          <w:szCs w:val="22"/>
        </w:rPr>
      </w:pPr>
      <w:r>
        <w:rPr>
          <w:rFonts w:ascii="Arial" w:hAnsi="Arial" w:eastAsia="Arial" w:cs="Arial"/>
          <w:color w:val="222222"/>
          <w:sz w:val="22"/>
          <w:szCs w:val="22"/>
          <w:highlight w:val="white"/>
        </w:rPr>
        <w:t xml:space="preserve">Hider, S., Muller, S., Gray, L., Manning, F., Brooks, M., Heining, D., Menon, A., Packham, J., Raghuvanshi, S., Roddy, E. and Ryan, S., 2023. Digital exclusion as a potential cause of inequalities in access to care: a survey in people with inflammatory rheumatic diseases. </w:t>
      </w:r>
      <w:r>
        <w:rPr>
          <w:rFonts w:ascii="Arial" w:hAnsi="Arial" w:eastAsia="Arial" w:cs="Arial"/>
          <w:i/>
          <w:iCs/>
          <w:color w:val="222222"/>
          <w:sz w:val="22"/>
          <w:szCs w:val="22"/>
          <w:highlight w:val="white"/>
        </w:rPr>
        <w:t>Rheumatology Advances in Practice</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7</w:t>
      </w:r>
      <w:r>
        <w:rPr>
          <w:rFonts w:ascii="Arial" w:hAnsi="Arial" w:eastAsia="Arial" w:cs="Arial"/>
          <w:color w:val="222222"/>
          <w:sz w:val="22"/>
          <w:szCs w:val="22"/>
          <w:highlight w:val="white"/>
        </w:rPr>
        <w:t>(1), p.rkac109.</w:t>
      </w:r>
      <w:r>
        <w:rPr>
          <w:rFonts w:ascii="Arial" w:hAnsi="Arial" w:eastAsia="Arial" w:cs="Arial"/>
          <w:sz w:val="22"/>
          <w:szCs w:val="22"/>
        </w:rPr>
        <w:t xml:space="preserve"> Available at:  </w:t>
      </w:r>
      <w:hyperlink r:id="rId12">
        <w:r>
          <w:rPr>
            <w:rFonts w:ascii="Arial" w:hAnsi="Arial" w:eastAsia="Arial" w:cs="Arial"/>
            <w:color w:val="1155CC"/>
            <w:sz w:val="22"/>
            <w:szCs w:val="22"/>
            <w:u w:val="single"/>
          </w:rPr>
          <w:t>https://academic.oup.com/rheumap/article/7/1/rkac109/6972783</w:t>
        </w:r>
      </w:hyperlink>
      <w:r>
        <w:rPr>
          <w:rFonts w:ascii="Arial" w:hAnsi="Arial" w:eastAsia="Arial" w:cs="Arial"/>
          <w:sz w:val="22"/>
          <w:szCs w:val="22"/>
        </w:rPr>
        <w:t xml:space="preserve"> [Accessed 21 July 2026]</w:t>
      </w:r>
    </w:p>
    <w:p w:rsidR="00AB5C76" w:rsidRDefault="00AB5C76" w14:paraId="0AE03EE7" w14:textId="77777777">
      <w:pPr>
        <w:spacing w:line="360" w:lineRule="auto"/>
        <w:jc w:val="both"/>
        <w:rPr>
          <w:rFonts w:ascii="Arial" w:hAnsi="Arial" w:eastAsia="Arial" w:cs="Arial"/>
          <w:sz w:val="22"/>
          <w:szCs w:val="22"/>
        </w:rPr>
      </w:pPr>
      <w:r>
        <w:rPr>
          <w:rFonts w:ascii="Arial" w:hAnsi="Arial" w:eastAsia="Arial" w:cs="Arial"/>
          <w:color w:val="222222"/>
          <w:sz w:val="22"/>
          <w:szCs w:val="22"/>
          <w:highlight w:val="white"/>
        </w:rPr>
        <w:t xml:space="preserve">Johnson, R., Bailey, R., Lyons, J., Pedrick-Case, R., Fry, R., Lyons, R.A. and </w:t>
      </w:r>
      <w:proofErr w:type="spellStart"/>
      <w:r>
        <w:rPr>
          <w:rFonts w:ascii="Arial" w:hAnsi="Arial" w:eastAsia="Arial" w:cs="Arial"/>
          <w:color w:val="222222"/>
          <w:sz w:val="22"/>
          <w:szCs w:val="22"/>
          <w:highlight w:val="white"/>
        </w:rPr>
        <w:t>Prytherch</w:t>
      </w:r>
      <w:proofErr w:type="spellEnd"/>
      <w:r>
        <w:rPr>
          <w:rFonts w:ascii="Arial" w:hAnsi="Arial" w:eastAsia="Arial" w:cs="Arial"/>
          <w:color w:val="222222"/>
          <w:sz w:val="22"/>
          <w:szCs w:val="22"/>
          <w:highlight w:val="white"/>
        </w:rPr>
        <w:t xml:space="preserve">, A., 2025. Assessing access to primary care in rural and urban Wales. </w:t>
      </w:r>
      <w:r>
        <w:rPr>
          <w:rFonts w:ascii="Arial" w:hAnsi="Arial" w:eastAsia="Arial" w:cs="Arial"/>
          <w:i/>
          <w:iCs/>
          <w:color w:val="222222"/>
          <w:sz w:val="22"/>
          <w:szCs w:val="22"/>
          <w:highlight w:val="white"/>
        </w:rPr>
        <w:t>International Journal of Population Data Science</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10</w:t>
      </w:r>
      <w:r>
        <w:rPr>
          <w:rFonts w:ascii="Arial" w:hAnsi="Arial" w:eastAsia="Arial" w:cs="Arial"/>
          <w:color w:val="222222"/>
          <w:sz w:val="22"/>
          <w:szCs w:val="22"/>
          <w:highlight w:val="white"/>
        </w:rPr>
        <w:t>(4).</w:t>
      </w:r>
      <w:r>
        <w:rPr>
          <w:rFonts w:ascii="Arial" w:hAnsi="Arial" w:eastAsia="Arial" w:cs="Arial"/>
          <w:sz w:val="22"/>
          <w:szCs w:val="22"/>
        </w:rPr>
        <w:t xml:space="preserve"> Available at: </w:t>
      </w:r>
      <w:hyperlink r:id="rId13">
        <w:r>
          <w:rPr>
            <w:rFonts w:ascii="Arial" w:hAnsi="Arial" w:eastAsia="Arial" w:cs="Arial"/>
            <w:color w:val="1155CC"/>
            <w:sz w:val="22"/>
            <w:szCs w:val="22"/>
            <w:u w:val="single"/>
          </w:rPr>
          <w:t>https://adrwales.org/wp-content/uploads/2025/11/Assessing-access-to-primary-care-in-rural-and-urban-Wales.pdf</w:t>
        </w:r>
      </w:hyperlink>
      <w:r>
        <w:rPr>
          <w:rFonts w:ascii="Arial" w:hAnsi="Arial" w:eastAsia="Arial" w:cs="Arial"/>
          <w:sz w:val="22"/>
          <w:szCs w:val="22"/>
        </w:rPr>
        <w:t xml:space="preserve"> [Accessed 21 July 2026]</w:t>
      </w:r>
    </w:p>
    <w:p w:rsidR="00AB5C76" w:rsidRDefault="00AB5C76" w14:paraId="57D9E854" w14:textId="77777777">
      <w:pPr>
        <w:spacing w:line="360" w:lineRule="auto"/>
        <w:jc w:val="both"/>
        <w:rPr>
          <w:rFonts w:ascii="Arial" w:hAnsi="Arial" w:eastAsia="Arial" w:cs="Arial"/>
          <w:sz w:val="22"/>
          <w:szCs w:val="22"/>
        </w:rPr>
      </w:pPr>
      <w:r>
        <w:rPr>
          <w:rFonts w:ascii="Arial" w:hAnsi="Arial" w:eastAsia="Arial" w:cs="Arial"/>
          <w:color w:val="222222"/>
          <w:sz w:val="22"/>
          <w:szCs w:val="22"/>
          <w:highlight w:val="white"/>
        </w:rPr>
        <w:t xml:space="preserve">Parsons, J., Rahman, S., Bryce, C. and Atherton, H., 2023. Use of a pharmacy-based GP video consultation service: a mixed methods study. </w:t>
      </w:r>
      <w:r>
        <w:rPr>
          <w:rFonts w:ascii="Arial" w:hAnsi="Arial" w:eastAsia="Arial" w:cs="Arial"/>
          <w:i/>
          <w:iCs/>
          <w:color w:val="222222"/>
          <w:sz w:val="22"/>
          <w:szCs w:val="22"/>
          <w:highlight w:val="white"/>
        </w:rPr>
        <w:t>Family Practice</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40</w:t>
      </w:r>
      <w:r>
        <w:rPr>
          <w:rFonts w:ascii="Arial" w:hAnsi="Arial" w:eastAsia="Arial" w:cs="Arial"/>
          <w:color w:val="222222"/>
          <w:sz w:val="22"/>
          <w:szCs w:val="22"/>
          <w:highlight w:val="white"/>
        </w:rPr>
        <w:t>(2), pp.241-247.</w:t>
      </w:r>
      <w:r>
        <w:rPr>
          <w:rFonts w:ascii="Arial" w:hAnsi="Arial" w:eastAsia="Arial" w:cs="Arial"/>
          <w:sz w:val="22"/>
          <w:szCs w:val="22"/>
        </w:rPr>
        <w:t xml:space="preserve"> Available at: </w:t>
      </w:r>
      <w:hyperlink r:id="rId14">
        <w:r>
          <w:rPr>
            <w:rFonts w:ascii="Arial" w:hAnsi="Arial" w:eastAsia="Arial" w:cs="Arial"/>
            <w:color w:val="1155CC"/>
            <w:sz w:val="22"/>
            <w:szCs w:val="22"/>
            <w:u w:val="single"/>
          </w:rPr>
          <w:t>https://academic.oup.com/fampra/article/40/2/241/6726165</w:t>
        </w:r>
      </w:hyperlink>
      <w:r>
        <w:rPr>
          <w:rFonts w:ascii="Arial" w:hAnsi="Arial" w:eastAsia="Arial" w:cs="Arial"/>
          <w:sz w:val="22"/>
          <w:szCs w:val="22"/>
        </w:rPr>
        <w:t xml:space="preserve"> [Accessed 21 July 2026].</w:t>
      </w:r>
    </w:p>
    <w:p w:rsidR="00AB5C76" w:rsidRDefault="00AB5C76" w14:paraId="5DB2B222" w14:textId="77777777">
      <w:pPr>
        <w:spacing w:line="360" w:lineRule="auto"/>
        <w:jc w:val="both"/>
        <w:rPr>
          <w:rFonts w:ascii="Arial" w:hAnsi="Arial" w:eastAsia="Arial" w:cs="Arial"/>
          <w:sz w:val="22"/>
          <w:szCs w:val="22"/>
        </w:rPr>
      </w:pPr>
      <w:proofErr w:type="spellStart"/>
      <w:r>
        <w:rPr>
          <w:rFonts w:ascii="Arial" w:hAnsi="Arial" w:eastAsia="Arial" w:cs="Arial"/>
          <w:color w:val="222222"/>
          <w:sz w:val="22"/>
          <w:szCs w:val="22"/>
          <w:highlight w:val="white"/>
        </w:rPr>
        <w:t>Rzewuska</w:t>
      </w:r>
      <w:proofErr w:type="spellEnd"/>
      <w:r>
        <w:rPr>
          <w:rFonts w:ascii="Arial" w:hAnsi="Arial" w:eastAsia="Arial" w:cs="Arial"/>
          <w:color w:val="222222"/>
          <w:sz w:val="22"/>
          <w:szCs w:val="22"/>
          <w:highlight w:val="white"/>
        </w:rPr>
        <w:t xml:space="preserve"> Díaz, M., </w:t>
      </w:r>
      <w:proofErr w:type="spellStart"/>
      <w:r>
        <w:rPr>
          <w:rFonts w:ascii="Arial" w:hAnsi="Arial" w:eastAsia="Arial" w:cs="Arial"/>
          <w:color w:val="222222"/>
          <w:sz w:val="22"/>
          <w:szCs w:val="22"/>
          <w:highlight w:val="white"/>
        </w:rPr>
        <w:t>Locock</w:t>
      </w:r>
      <w:proofErr w:type="spellEnd"/>
      <w:r>
        <w:rPr>
          <w:rFonts w:ascii="Arial" w:hAnsi="Arial" w:eastAsia="Arial" w:cs="Arial"/>
          <w:color w:val="222222"/>
          <w:sz w:val="22"/>
          <w:szCs w:val="22"/>
          <w:highlight w:val="white"/>
        </w:rPr>
        <w:t xml:space="preserve">, L., Keen, A., Melvin, M., Myhill, A. and Ramsay, C., 2024. Implementation of a web-based outpatient asynchronous consultation service: mixed methods study. </w:t>
      </w:r>
      <w:r>
        <w:rPr>
          <w:rFonts w:ascii="Arial" w:hAnsi="Arial" w:eastAsia="Arial" w:cs="Arial"/>
          <w:i/>
          <w:iCs/>
          <w:color w:val="222222"/>
          <w:sz w:val="22"/>
          <w:szCs w:val="22"/>
          <w:highlight w:val="white"/>
        </w:rPr>
        <w:t>Journal of Medical Internet Research</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26</w:t>
      </w:r>
      <w:r>
        <w:rPr>
          <w:rFonts w:ascii="Arial" w:hAnsi="Arial" w:eastAsia="Arial" w:cs="Arial"/>
          <w:color w:val="222222"/>
          <w:sz w:val="22"/>
          <w:szCs w:val="22"/>
          <w:highlight w:val="white"/>
        </w:rPr>
        <w:t>, p.e48092.</w:t>
      </w:r>
      <w:r>
        <w:rPr>
          <w:rFonts w:ascii="Arial" w:hAnsi="Arial" w:eastAsia="Arial" w:cs="Arial"/>
          <w:sz w:val="22"/>
          <w:szCs w:val="22"/>
        </w:rPr>
        <w:t xml:space="preserve"> Available at: </w:t>
      </w:r>
      <w:hyperlink r:id="rId15">
        <w:r>
          <w:rPr>
            <w:rFonts w:ascii="Arial" w:hAnsi="Arial" w:eastAsia="Arial" w:cs="Arial"/>
            <w:color w:val="1155CC"/>
            <w:sz w:val="22"/>
            <w:szCs w:val="22"/>
            <w:u w:val="single"/>
          </w:rPr>
          <w:t>https://www.jmir.org/2024/1/e48092/</w:t>
        </w:r>
      </w:hyperlink>
      <w:r>
        <w:rPr>
          <w:rFonts w:ascii="Arial" w:hAnsi="Arial" w:eastAsia="Arial" w:cs="Arial"/>
          <w:sz w:val="22"/>
          <w:szCs w:val="22"/>
        </w:rPr>
        <w:t xml:space="preserve"> [Accessed 21 July 2026]</w:t>
      </w:r>
    </w:p>
    <w:p w:rsidR="00AB5C76" w:rsidRDefault="00AB5C76" w14:paraId="2B68B777" w14:textId="77777777">
      <w:pPr>
        <w:spacing w:line="360" w:lineRule="auto"/>
        <w:jc w:val="both"/>
        <w:rPr>
          <w:rFonts w:ascii="Arial" w:hAnsi="Arial" w:eastAsia="Arial" w:cs="Arial"/>
          <w:sz w:val="22"/>
          <w:szCs w:val="22"/>
        </w:rPr>
      </w:pPr>
      <w:r>
        <w:rPr>
          <w:rFonts w:ascii="Arial" w:hAnsi="Arial" w:eastAsia="Arial" w:cs="Arial"/>
          <w:color w:val="222222"/>
          <w:sz w:val="22"/>
          <w:szCs w:val="22"/>
          <w:highlight w:val="white"/>
        </w:rPr>
        <w:t xml:space="preserve">Turnbull, S.L., Dack, C., Lei, J., Aksu, I., Grant, S., Lasseter, G., Silarova, B. and Ainsworth, B., 2024. Barriers and facilitators to use of digital health tools by healthcare practitioners and their patients, before and during the COVID-19 pandemic: a </w:t>
      </w:r>
      <w:proofErr w:type="spellStart"/>
      <w:r>
        <w:rPr>
          <w:rFonts w:ascii="Arial" w:hAnsi="Arial" w:eastAsia="Arial" w:cs="Arial"/>
          <w:color w:val="222222"/>
          <w:sz w:val="22"/>
          <w:szCs w:val="22"/>
          <w:highlight w:val="white"/>
        </w:rPr>
        <w:t>multimethods</w:t>
      </w:r>
      <w:proofErr w:type="spellEnd"/>
      <w:r>
        <w:rPr>
          <w:rFonts w:ascii="Arial" w:hAnsi="Arial" w:eastAsia="Arial" w:cs="Arial"/>
          <w:color w:val="222222"/>
          <w:sz w:val="22"/>
          <w:szCs w:val="22"/>
          <w:highlight w:val="white"/>
        </w:rPr>
        <w:t xml:space="preserve"> study. </w:t>
      </w:r>
      <w:r>
        <w:rPr>
          <w:rFonts w:ascii="Arial" w:hAnsi="Arial" w:eastAsia="Arial" w:cs="Arial"/>
          <w:i/>
          <w:iCs/>
          <w:color w:val="222222"/>
          <w:sz w:val="22"/>
          <w:szCs w:val="22"/>
          <w:highlight w:val="white"/>
        </w:rPr>
        <w:t>BMJ open</w:t>
      </w:r>
      <w:r>
        <w:rPr>
          <w:rFonts w:ascii="Arial" w:hAnsi="Arial" w:eastAsia="Arial" w:cs="Arial"/>
          <w:color w:val="222222"/>
          <w:sz w:val="22"/>
          <w:szCs w:val="22"/>
          <w:highlight w:val="white"/>
        </w:rPr>
        <w:t xml:space="preserve">, </w:t>
      </w:r>
      <w:r>
        <w:rPr>
          <w:rFonts w:ascii="Arial" w:hAnsi="Arial" w:eastAsia="Arial" w:cs="Arial"/>
          <w:i/>
          <w:iCs/>
          <w:color w:val="222222"/>
          <w:sz w:val="22"/>
          <w:szCs w:val="22"/>
          <w:highlight w:val="white"/>
        </w:rPr>
        <w:t>14</w:t>
      </w:r>
      <w:r>
        <w:rPr>
          <w:rFonts w:ascii="Arial" w:hAnsi="Arial" w:eastAsia="Arial" w:cs="Arial"/>
          <w:color w:val="222222"/>
          <w:sz w:val="22"/>
          <w:szCs w:val="22"/>
          <w:highlight w:val="white"/>
        </w:rPr>
        <w:t>(3), p.e080055.</w:t>
      </w:r>
      <w:r>
        <w:rPr>
          <w:rFonts w:ascii="Arial" w:hAnsi="Arial" w:eastAsia="Arial" w:cs="Arial"/>
          <w:sz w:val="22"/>
          <w:szCs w:val="22"/>
        </w:rPr>
        <w:t xml:space="preserve">  Available at:  </w:t>
      </w:r>
      <w:hyperlink r:id="rId16">
        <w:r>
          <w:rPr>
            <w:rFonts w:ascii="Arial" w:hAnsi="Arial" w:eastAsia="Arial" w:cs="Arial"/>
            <w:color w:val="1155CC"/>
            <w:sz w:val="22"/>
            <w:szCs w:val="22"/>
            <w:u w:val="single"/>
          </w:rPr>
          <w:t>https://bmjopen.bmj.com/content/14/3/e080055.abstract</w:t>
        </w:r>
      </w:hyperlink>
      <w:r>
        <w:rPr>
          <w:rFonts w:ascii="Arial" w:hAnsi="Arial" w:eastAsia="Arial" w:cs="Arial"/>
          <w:sz w:val="22"/>
          <w:szCs w:val="22"/>
        </w:rPr>
        <w:t xml:space="preserve"> [Accessed 21 July 2026].</w:t>
      </w:r>
    </w:p>
    <w:p w:rsidR="00CE11FF" w:rsidRDefault="00CE11FF" w14:paraId="00000030" w14:textId="77777777"/>
    <w:p w:rsidR="00CE11FF" w:rsidRDefault="00CE11FF" w14:paraId="00000031" w14:textId="77777777">
      <w:pPr>
        <w:spacing w:line="360" w:lineRule="auto"/>
        <w:rPr>
          <w:rFonts w:ascii="Arial" w:hAnsi="Arial" w:eastAsia="Arial" w:cs="Arial"/>
          <w:sz w:val="22"/>
          <w:szCs w:val="22"/>
        </w:rPr>
      </w:pPr>
    </w:p>
    <w:p w:rsidR="00CE11FF" w:rsidRDefault="00CE11FF" w14:paraId="00000032" w14:textId="77777777">
      <w:pPr>
        <w:spacing w:line="360" w:lineRule="auto"/>
        <w:rPr>
          <w:rFonts w:ascii="Arial" w:hAnsi="Arial" w:eastAsia="Arial" w:cs="Arial"/>
          <w:sz w:val="22"/>
          <w:szCs w:val="22"/>
        </w:rPr>
      </w:pPr>
    </w:p>
    <w:sectPr w:rsidR="00CE11FF">
      <w:footerReference w:type="default" r:id="rId17"/>
      <w:pgSz w:w="11906" w:h="16838" w:orient="portrait"/>
      <w:pgMar w:top="1440" w:right="1440" w:bottom="1440" w:left="1440"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15BD" w:rsidRDefault="00A915BD" w14:paraId="16C83506" w14:textId="77777777">
      <w:pPr>
        <w:spacing w:after="0" w:line="240" w:lineRule="auto"/>
      </w:pPr>
      <w:r>
        <w:separator/>
      </w:r>
    </w:p>
  </w:endnote>
  <w:endnote w:type="continuationSeparator" w:id="0">
    <w:p w:rsidR="00A915BD" w:rsidRDefault="00A915BD" w14:paraId="34526BD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6C44B4BC-245F-4602-9D35-90E777F381AF}" r:id="rId1"/>
  </w:font>
  <w:font w:name="Calibri">
    <w:panose1 w:val="020F0502020204030204"/>
    <w:charset w:val="00"/>
    <w:family w:val="swiss"/>
    <w:pitch w:val="variable"/>
    <w:sig w:usb0="E4002EFF" w:usb1="C200247B" w:usb2="00000009" w:usb3="00000000" w:csb0="000001FF" w:csb1="00000000"/>
    <w:embedRegular w:fontKey="{6647352D-B30A-4B04-917F-7D3450ECB82C}" r:id="rId2"/>
  </w:font>
  <w:font w:name="Cambria">
    <w:panose1 w:val="02040503050406030204"/>
    <w:charset w:val="00"/>
    <w:family w:val="roman"/>
    <w:pitch w:val="variable"/>
    <w:sig w:usb0="E00006FF" w:usb1="420024FF" w:usb2="02000000" w:usb3="00000000" w:csb0="0000019F" w:csb1="00000000"/>
    <w:embedRegular w:fontKey="{1E1EA69A-E2F2-4303-B832-819AFB2558BA}" r:id="rId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E11FF" w:rsidRDefault="009A7E80" w14:paraId="00000033" w14:textId="3E0CD93F">
    <w:pPr>
      <w:pBdr>
        <w:top w:val="nil"/>
        <w:left w:val="nil"/>
        <w:bottom w:val="nil"/>
        <w:right w:val="nil"/>
        <w:between w:val="nil"/>
      </w:pBdr>
      <w:tabs>
        <w:tab w:val="center" w:pos="4513"/>
        <w:tab w:val="right" w:pos="9026"/>
      </w:tabs>
      <w:spacing w:after="0" w:line="240" w:lineRule="auto"/>
      <w:jc w:val="center"/>
      <w:rPr>
        <w:rFonts w:ascii="Arial" w:hAnsi="Arial" w:eastAsia="Arial" w:cs="Arial"/>
        <w:color w:val="000000"/>
        <w:sz w:val="22"/>
        <w:szCs w:val="22"/>
      </w:rPr>
    </w:pPr>
    <w:r>
      <w:rPr>
        <w:rFonts w:ascii="Arial" w:hAnsi="Arial" w:eastAsia="Arial" w:cs="Arial"/>
        <w:color w:val="000000"/>
        <w:sz w:val="22"/>
        <w:szCs w:val="22"/>
      </w:rPr>
      <w:fldChar w:fldCharType="begin"/>
    </w:r>
    <w:r>
      <w:rPr>
        <w:rFonts w:ascii="Arial" w:hAnsi="Arial" w:eastAsia="Arial" w:cs="Arial"/>
        <w:color w:val="000000"/>
        <w:sz w:val="22"/>
        <w:szCs w:val="22"/>
      </w:rPr>
      <w:instrText>PAGE</w:instrText>
    </w:r>
    <w:r>
      <w:rPr>
        <w:rFonts w:ascii="Arial" w:hAnsi="Arial" w:eastAsia="Arial" w:cs="Arial"/>
        <w:color w:val="000000"/>
        <w:sz w:val="22"/>
        <w:szCs w:val="22"/>
      </w:rPr>
      <w:fldChar w:fldCharType="separate"/>
    </w:r>
    <w:r w:rsidR="00AB5C76">
      <w:rPr>
        <w:rFonts w:ascii="Arial" w:hAnsi="Arial" w:eastAsia="Arial" w:cs="Arial"/>
        <w:noProof/>
        <w:color w:val="000000"/>
        <w:sz w:val="22"/>
        <w:szCs w:val="22"/>
      </w:rPr>
      <w:t>2</w:t>
    </w:r>
    <w:r>
      <w:rPr>
        <w:rFonts w:ascii="Arial" w:hAnsi="Arial" w:eastAsia="Arial" w:cs="Arial"/>
        <w:color w:val="000000"/>
        <w:sz w:val="22"/>
        <w:szCs w:val="22"/>
      </w:rPr>
      <w:fldChar w:fldCharType="end"/>
    </w:r>
  </w:p>
  <w:p w:rsidR="00CE11FF" w:rsidRDefault="00CE11FF" w14:paraId="00000034" w14:textId="7777777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15BD" w:rsidRDefault="00A915BD" w14:paraId="1FC20801" w14:textId="77777777">
      <w:pPr>
        <w:spacing w:after="0" w:line="240" w:lineRule="auto"/>
      </w:pPr>
      <w:r>
        <w:separator/>
      </w:r>
    </w:p>
  </w:footnote>
  <w:footnote w:type="continuationSeparator" w:id="0">
    <w:p w:rsidR="00A915BD" w:rsidRDefault="00A915BD" w14:paraId="008A2D0C"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A1763"/>
    <w:multiLevelType w:val="multilevel"/>
    <w:tmpl w:val="A7CCD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8321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Q0MDO1MDMxNjQzMLBU0lEKTi0uzszPAykwrAUA4uFfViwAAAA="/>
  </w:docVars>
  <w:rsids>
    <w:rsidRoot w:val="00CE11FF"/>
    <w:rsid w:val="00977735"/>
    <w:rsid w:val="009807EA"/>
    <w:rsid w:val="00993644"/>
    <w:rsid w:val="009A7E80"/>
    <w:rsid w:val="00A915BD"/>
    <w:rsid w:val="00AB5C76"/>
    <w:rsid w:val="00CE11FF"/>
    <w:rsid w:val="00DE11B2"/>
    <w:rsid w:val="00E341F8"/>
    <w:rsid w:val="07A1D4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B8FA"/>
  <w15:docId w15:val="{464374E7-7D0D-4690-A298-4ABDF788A2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style>
  <w:style w:type="paragraph" w:styleId="Heading1">
    <w:name w:val="heading 1"/>
    <w:basedOn w:val="Normal"/>
    <w:next w:val="Normal"/>
    <w:pPr>
      <w:keepNext/>
      <w:keepLines/>
      <w:spacing w:before="240" w:after="0" w:line="360" w:lineRule="auto"/>
      <w:jc w:val="center"/>
      <w:outlineLvl w:val="0"/>
    </w:pPr>
    <w:rPr>
      <w:rFonts w:ascii="Arial" w:hAnsi="Arial" w:eastAsia="Arial" w:cs="Arial"/>
      <w:b/>
      <w:bCs/>
      <w:sz w:val="28"/>
      <w:szCs w:val="28"/>
    </w:rPr>
  </w:style>
  <w:style w:type="paragraph" w:styleId="Heading2">
    <w:name w:val="heading 2"/>
    <w:basedOn w:val="Normal"/>
    <w:next w:val="Normal"/>
    <w:pPr>
      <w:keepNext/>
      <w:keepLines/>
      <w:spacing w:before="40" w:after="0" w:line="360" w:lineRule="auto"/>
      <w:outlineLvl w:val="1"/>
    </w:pPr>
    <w:rPr>
      <w:rFonts w:ascii="Arial" w:hAnsi="Arial" w:eastAsia="Arial" w:cs="Arial"/>
      <w:b/>
      <w:bCs/>
      <w:i/>
      <w:iCs/>
    </w:rPr>
  </w:style>
  <w:style w:type="paragraph" w:styleId="Heading3">
    <w:name w:val="heading 3"/>
    <w:basedOn w:val="Normal"/>
    <w:next w:val="Normal"/>
    <w:pPr>
      <w:spacing w:line="240" w:lineRule="auto"/>
      <w:outlineLvl w:val="2"/>
    </w:pPr>
    <w:rPr>
      <w:rFonts w:ascii="Arial" w:hAnsi="Arial" w:eastAsia="Arial" w:cs="Arial"/>
      <w:b/>
      <w:bCs/>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hAnsi="Georgia" w:eastAsia="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drwales.org/wp-content/uploads/2025/11/Assessing-access-to-primary-care-in-rural-and-urban-Wales.pdf"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academic.oup.com/rheumap/article/7/1/rkac109/6972783" TargetMode="External"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yperlink" Target="https://bmjopen.bmj.com/content/14/3/e080055.abstract" TargetMode="Externa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publichealth.jmir.org/2024/1/e46485/" TargetMode="External" Id="rId11" /><Relationship Type="http://schemas.openxmlformats.org/officeDocument/2006/relationships/numbering" Target="numbering.xml" Id="rId5" /><Relationship Type="http://schemas.openxmlformats.org/officeDocument/2006/relationships/hyperlink" Target="https://www.jmir.org/2024/1/e48092/" TargetMode="Externa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academic.oup.com/fampra/article/40/2/241/6726165" TargetMode="External" Id="rId14"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ogDrK/Dxn/u+T74n+1fSaf6OAg==">CgMxLjA4AHIhMUdRNG1ISENKMjJVRzFwNFA5ZkVfNk9MZUhscWVlbnYx</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e5d1395e05318abf8b86ee56f632bb37">
  <xsd:schema xmlns:xsd="http://www.w3.org/2001/XMLSchema" xmlns:xs="http://www.w3.org/2001/XMLSchema" xmlns:p="http://schemas.microsoft.com/office/2006/metadata/properties" xmlns:ns3="bf244c3e-e0b4-4871-bb4e-fd032a14544d" targetNamespace="http://schemas.microsoft.com/office/2006/metadata/properties" ma:root="true" ma:fieldsID="e4f4de0541128d54a7dea7d90b9c86a5"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987B21E-CC2B-40F7-81EF-F6EEED129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58412D8-E704-4C0A-8994-C3B13CD43126}">
  <ds:schemaRefs>
    <ds:schemaRef ds:uri="http://schemas.microsoft.com/sharepoint/v3/contenttype/forms"/>
  </ds:schemaRefs>
</ds:datastoreItem>
</file>

<file path=customXml/itemProps4.xml><?xml version="1.0" encoding="utf-8"?>
<ds:datastoreItem xmlns:ds="http://schemas.openxmlformats.org/officeDocument/2006/customXml" ds:itemID="{216E1A69-74E5-433D-9D7E-598A81C7781C}">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Ashura San-Sellus (2412818)</lastModifiedBy>
  <revision>3</revision>
  <dcterms:created xsi:type="dcterms:W3CDTF">2026-07-22T17:17:00.0000000Z</dcterms:created>
  <dcterms:modified xsi:type="dcterms:W3CDTF">2026-07-23T12:28:57.8743717Z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