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9B208" w14:textId="77777777" w:rsidR="00C83547" w:rsidRDefault="00C83547">
      <w:pPr>
        <w:spacing w:after="360" w:line="360" w:lineRule="auto"/>
        <w:jc w:val="center"/>
        <w:rPr>
          <w:b/>
          <w:bCs/>
        </w:rPr>
      </w:pPr>
    </w:p>
    <w:p w14:paraId="70E7589E" w14:textId="77777777" w:rsidR="0048585F" w:rsidRDefault="00C83547" w:rsidP="0048585F">
      <w:pPr>
        <w:spacing w:after="360" w:line="360" w:lineRule="auto"/>
        <w:jc w:val="center"/>
        <w:rPr>
          <w:b/>
          <w:bCs/>
        </w:rPr>
      </w:pPr>
      <w:r>
        <w:rPr>
          <w:b/>
          <w:bCs/>
        </w:rPr>
        <w:t xml:space="preserve">Nikola </w:t>
      </w:r>
      <w:proofErr w:type="spellStart"/>
      <w:r>
        <w:rPr>
          <w:b/>
          <w:bCs/>
        </w:rPr>
        <w:t>Sugarova</w:t>
      </w:r>
      <w:proofErr w:type="spellEnd"/>
    </w:p>
    <w:p w14:paraId="735F3FC7" w14:textId="55A9DF46" w:rsidR="00C83547" w:rsidRDefault="0048585F" w:rsidP="0048585F">
      <w:pPr>
        <w:spacing w:after="360" w:line="360" w:lineRule="auto"/>
        <w:jc w:val="center"/>
        <w:rPr>
          <w:b/>
          <w:bCs/>
        </w:rPr>
      </w:pPr>
      <w:r>
        <w:rPr>
          <w:b/>
          <w:bCs/>
        </w:rPr>
        <w:t>Student no-</w:t>
      </w:r>
      <w:r w:rsidR="001B76C9">
        <w:rPr>
          <w:b/>
          <w:bCs/>
        </w:rPr>
        <w:t>2219936</w:t>
      </w:r>
    </w:p>
    <w:p w14:paraId="018D4476" w14:textId="7D1B28B1" w:rsidR="0048585F" w:rsidRDefault="0048585F" w:rsidP="0048585F">
      <w:pPr>
        <w:spacing w:after="360" w:line="360" w:lineRule="auto"/>
        <w:jc w:val="center"/>
        <w:rPr>
          <w:b/>
          <w:bCs/>
        </w:rPr>
      </w:pPr>
      <w:r>
        <w:rPr>
          <w:b/>
          <w:bCs/>
        </w:rPr>
        <w:t>27/07/26</w:t>
      </w:r>
    </w:p>
    <w:p w14:paraId="71B0C545" w14:textId="616F18FD" w:rsidR="0048585F" w:rsidRDefault="00BD0D8B" w:rsidP="0048585F">
      <w:pPr>
        <w:spacing w:after="360" w:line="360" w:lineRule="auto"/>
        <w:jc w:val="center"/>
        <w:rPr>
          <w:b/>
          <w:bCs/>
        </w:rPr>
      </w:pPr>
      <w:r>
        <w:rPr>
          <w:b/>
          <w:bCs/>
        </w:rPr>
        <w:t>Question.12</w:t>
      </w:r>
    </w:p>
    <w:p w14:paraId="57A0D1C1" w14:textId="11742E62" w:rsidR="002632E1" w:rsidRDefault="00F30D81">
      <w:pPr>
        <w:spacing w:after="360" w:line="360" w:lineRule="auto"/>
        <w:jc w:val="center"/>
      </w:pPr>
      <w:r>
        <w:rPr>
          <w:b/>
          <w:bCs/>
        </w:rPr>
        <w:t>What is “Ultimate Concern” and is Tillich Right that it is the Best Definition of Religion?</w:t>
      </w:r>
    </w:p>
    <w:p w14:paraId="4F9BC4DC" w14:textId="77777777" w:rsidR="002632E1" w:rsidRDefault="00F30D81">
      <w:pPr>
        <w:spacing w:line="480" w:lineRule="auto"/>
        <w:jc w:val="both"/>
      </w:pPr>
      <w:r>
        <w:t xml:space="preserve">Paul Tillich was one of the most influential twentieth-century theologians in the study of religion, and one of his best-known ideas is ‘ultimate concern’. In </w:t>
      </w:r>
      <w:r>
        <w:rPr>
          <w:i/>
          <w:iCs/>
        </w:rPr>
        <w:t>Dynamics of Faith</w:t>
      </w:r>
      <w:r>
        <w:t xml:space="preserve">, Tillich famously states that ‘faith is the state of being ultimately concerned’, and he uses the same basic idea in </w:t>
      </w:r>
      <w:r>
        <w:rPr>
          <w:i/>
          <w:iCs/>
        </w:rPr>
        <w:t>Systematic Theology</w:t>
      </w:r>
      <w:r>
        <w:t xml:space="preserve"> to explain religion more generally.</w:t>
      </w:r>
      <w:r>
        <w:rPr>
          <w:rStyle w:val="FootnoteReference"/>
        </w:rPr>
        <w:footnoteReference w:id="1"/>
      </w:r>
      <w:r>
        <w:t xml:space="preserve"> His definition is attractive because it does not define religion simply as belief in God, ritual practice, moral behaviour, or belonging to a religious institution. Instead, Tillich argues that religion concerns whatever matters to a person in an unconditional way. This essay will first explain what Tillich means by ‘ultimate concern’, including its subjective and objective sides, and then consider whether it is the best definition of religion. I will argue that Tillich’s idea is useful because it shows how serious and total religious commitment can be, but that it is not fully successful as a general definition because it is too broad and relies too heavily on Tillich’s own theological assumptions.</w:t>
      </w:r>
    </w:p>
    <w:p w14:paraId="25DC0D68" w14:textId="284C47AC" w:rsidR="002632E1" w:rsidRPr="006C0C38" w:rsidRDefault="00F30D81">
      <w:pPr>
        <w:pStyle w:val="Heading2"/>
        <w:spacing w:before="240" w:after="120" w:line="480" w:lineRule="auto"/>
        <w:rPr>
          <w:color w:val="000000" w:themeColor="text1"/>
        </w:rPr>
      </w:pPr>
      <w:r w:rsidRPr="006C0C38">
        <w:rPr>
          <w:b/>
          <w:bCs/>
          <w:color w:val="000000" w:themeColor="text1"/>
          <w:highlight w:val="lightGray"/>
        </w:rPr>
        <w:t>The Meaning of “Ultimate Concern</w:t>
      </w:r>
    </w:p>
    <w:p w14:paraId="153C478A" w14:textId="4DC57EC3" w:rsidR="00F30D81" w:rsidRDefault="00AF61C1" w:rsidP="00FE2EF1">
      <w:pPr>
        <w:spacing w:line="480" w:lineRule="auto"/>
        <w:ind w:firstLine="720"/>
        <w:jc w:val="both"/>
        <w:rPr>
          <w:kern w:val="2"/>
          <w14:ligatures w14:val="standardContextual"/>
        </w:rPr>
      </w:pPr>
      <w:r>
        <w:t>Tillich’s phrase should be understood in relation to his wider existential and theological thought. “Ultimate concern” is partly his way of restating the biblical command to love God with all one’s heart, soul and mind. To be ultimately concerned means to be taken hold of by something that matters more than anything else. It is not just an ordinary interest or preference, but something that makes an unconditional claim on a person. Tillich contrasts this with “preliminary” concerns, such as health, success, knowledge or national identity. These things may matter deeply, but they are still limited. A concern becomes religious, for Tillich, when it demands the whole self.</w:t>
      </w:r>
      <w:r w:rsidR="00FE2EF1">
        <w:rPr>
          <w:kern w:val="2"/>
          <w14:ligatures w14:val="standardContextual"/>
        </w:rPr>
        <w:t xml:space="preserve"> </w:t>
      </w:r>
      <w:r w:rsidR="00B05F09">
        <w:t>The idea has two sides. Subjectively, ultimate concern refers to the person’s act of being concerned: the faith by which someone believes. Objectively, it refers to the object of that concern: what the person is ultimately concerned about. These two sides depend on each other, because there cannot be ultimate concern without a person who is concerned and something that is treated as ultimate. Tillich also argues that true ultimate concern can only be directed towards what is genuinely ultimate, which he describes as being-itself or the ground of being. If a person treats something finite, such as wealth, nation or success, as ultimate, then Tillich calls this idolatry.</w:t>
      </w:r>
      <w:r w:rsidR="00FE2EF1">
        <w:rPr>
          <w:kern w:val="2"/>
          <w14:ligatures w14:val="standardContextual"/>
        </w:rPr>
        <w:t xml:space="preserve"> </w:t>
      </w:r>
      <w:r w:rsidR="0089783B">
        <w:t>This means that Tillich can define faith broadly while still judging between true and false forms of faith. Every ultimate concern promises complete fulfilment and demands complete surrender. However, only what is truly ultimate can fulfil this promise. If a finite thing is treated as infinite, it eventually fails the person who depends on it. For example, a person who makes money or political power their ultimate concern may find that these things cannot provide lasting meaning. In this way, Tillich’s definition includes many forms of commitment, but it also allows him to criticise idolatrous forms of faith.</w:t>
      </w:r>
      <w:r w:rsidR="00FE2EF1">
        <w:rPr>
          <w:kern w:val="2"/>
          <w14:ligatures w14:val="standardContextual"/>
        </w:rPr>
        <w:t xml:space="preserve"> </w:t>
      </w:r>
      <w:r w:rsidR="007A71EA">
        <w:t>Tillich also connects ultimate concern with his view that religion is the “depth dimension” of human life. Religion is not just one separate activity alongside art, morality or politics. Rather, it is the depth within these areas when they point beyond ordinary concerns to something unconditional. This is one reason why Tillich’s idea is powerful: it helps explain why secular things such as politics, art or culture can sometimes function in a religious way. However, this is also where the main problem begins, because if religion can appear anywhere there is ultimate concern, it becomes difficult to say what is not religious.</w:t>
      </w:r>
    </w:p>
    <w:p w14:paraId="449126FD" w14:textId="77777777" w:rsidR="001B6356" w:rsidRDefault="001B6356" w:rsidP="00FE2EF1">
      <w:pPr>
        <w:spacing w:line="480" w:lineRule="auto"/>
        <w:jc w:val="both"/>
        <w:rPr>
          <w:kern w:val="2"/>
          <w14:ligatures w14:val="standardContextual"/>
        </w:rPr>
      </w:pPr>
      <w:r>
        <w:t>It is also important that Tillich is not using the word ‘concern’ in a casual psychological sense. He is not saying simply that religion is whatever someone happens to care about most at a particular moment. An ultimate concern has a depth and authority that reorganises other concerns around itself. It involves the whole person: reason, will, feeling, imagination, and action. This is why Tillich thinks faith cannot be reduced either to intellectual belief or to emotion. Faith includes belief and feeling, but it is more basic than both because it is the centred act of the whole self.</w:t>
      </w:r>
      <w:r>
        <w:rPr>
          <w:rStyle w:val="FootnoteReference"/>
        </w:rPr>
        <w:footnoteReference w:id="2"/>
      </w:r>
      <w:r>
        <w:t xml:space="preserve"> This point gives Tillich’s definition a distinctive strength: it avoids the narrow view that faith means believing propositions without evidence, while also avoiding the view that religion is only a matter of private feeling.</w:t>
      </w:r>
    </w:p>
    <w:p w14:paraId="0F91980C" w14:textId="77777777" w:rsidR="002632E1" w:rsidRPr="00FE2EF1" w:rsidRDefault="00F30D81">
      <w:pPr>
        <w:pStyle w:val="Heading2"/>
        <w:spacing w:before="240" w:after="120" w:line="480" w:lineRule="auto"/>
        <w:rPr>
          <w:color w:val="000000" w:themeColor="text1"/>
        </w:rPr>
      </w:pPr>
      <w:r w:rsidRPr="00FE2EF1">
        <w:rPr>
          <w:b/>
          <w:bCs/>
          <w:color w:val="000000" w:themeColor="text1"/>
        </w:rPr>
        <w:t>The Case for Ultimate Concern as a Definition</w:t>
      </w:r>
    </w:p>
    <w:p w14:paraId="5F82B98F" w14:textId="77777777" w:rsidR="00F30D81" w:rsidRDefault="00DC03E1" w:rsidP="00FE2EF1">
      <w:pPr>
        <w:spacing w:line="480" w:lineRule="auto"/>
        <w:jc w:val="both"/>
        <w:rPr>
          <w:kern w:val="2"/>
          <w14:ligatures w14:val="standardContextual"/>
        </w:rPr>
      </w:pPr>
      <w:r>
        <w:t>There are several reasons why Tillich’s definition is appealing. First, it captures the seriousness of religion better than some other definitions. For example, defining religion simply as “belief in supernatural beings”, as Edward Tylor does, focuses mainly on belief and does not fully capture the commitment, passion and personal involvement of religious faith. Tillich’s definition focuses instead on the way religion grips the whole person. This makes it closer to how many believers experience their faith: not just as a set of ideas, but as something that shapes their whole life.</w:t>
      </w:r>
      <w:r>
        <w:rPr>
          <w:rStyle w:val="FootnoteReference"/>
        </w:rPr>
        <w:footnoteReference w:id="3"/>
      </w:r>
    </w:p>
    <w:p w14:paraId="2C973772" w14:textId="3ACAAE28" w:rsidR="001B6356" w:rsidRDefault="00A85A87" w:rsidP="00EB53F3">
      <w:pPr>
        <w:spacing w:line="480" w:lineRule="auto"/>
        <w:jc w:val="both"/>
        <w:rPr>
          <w:kern w:val="2"/>
          <w14:ligatures w14:val="standardContextual"/>
        </w:rPr>
      </w:pPr>
      <w:r>
        <w:t>Second, the definition is inclusive. Definitions that make belief in God central can struggle to include traditions such as Theravada Buddhism, Jainism or some forms of Confucianism, where a creator God is not the focus. Tillich’s idea avoids this problem because it defines religion by a person’s ultimate orientation rather than by belief in a particular kind of divine being. A Buddhist concern with liberation, for example, can be understood as an ultimate concern even if it is not focused on a personal God. In this sense, Tillich’s definition is broader and more flexible than many traditional definitions.</w:t>
      </w:r>
      <w:r w:rsidR="00EB53F3">
        <w:rPr>
          <w:kern w:val="2"/>
          <w14:ligatures w14:val="standardContextual"/>
        </w:rPr>
        <w:t xml:space="preserve"> </w:t>
      </w:r>
      <w:r w:rsidR="00EA4169">
        <w:t xml:space="preserve">Third, Tillich’s definition is useful for analysing modern culture. Because ultimate concern can be directed towards finite things, Tillich can describe nationalism, consumerism or the pursuit of success as “quasi-religions”. These are not religions in the ordinary sense, but they can function like religion because they demand loyalty, sacrifice and identity. </w:t>
      </w:r>
      <w:proofErr w:type="spellStart"/>
      <w:r w:rsidR="00EA4169">
        <w:t>Th</w:t>
      </w:r>
      <w:proofErr w:type="spellEnd"/>
      <w:r w:rsidR="00F04089" w:rsidRPr="00F04089">
        <w:t xml:space="preserve"> </w:t>
      </w:r>
      <w:r w:rsidR="00F04089">
        <w:t xml:space="preserve">commitments can have a religious intensity, and why people may devote themselves to political causes, money or achievement in ways </w:t>
      </w:r>
      <w:r w:rsidR="00EA4169">
        <w:t>is gives Tillich’s theory real explanatory power. It helps show why apparently secular that resemble religious devotion.</w:t>
      </w:r>
      <w:r w:rsidR="00EB53F3">
        <w:rPr>
          <w:kern w:val="2"/>
          <w14:ligatures w14:val="standardContextual"/>
        </w:rPr>
        <w:t xml:space="preserve"> </w:t>
      </w:r>
      <w:r w:rsidR="001B6356">
        <w:t>A further advantage is that Tillich’s definition makes sense of the link between religion and ultimate meaning. Many religious traditions answer questions about suffering, death, guilt, hope, and the purpose of life. A purely institutional definition can miss this existential dimension, while a purely doctrinal definition can make religion sound like a set of abstract claims. Tillich’s approach brings out why religion matters so deeply to believers: it relates to the question of what finally gives life meaning. This is particularly persuasive when applied to people whose faith shapes their identity, relationships, ethics, and attitude to death. In such cases, religion is not an optional hobby but the framework through which the whole of life is interpreted.</w:t>
      </w:r>
    </w:p>
    <w:p w14:paraId="4036D7E5" w14:textId="77777777" w:rsidR="002632E1" w:rsidRPr="006C0A79" w:rsidRDefault="00F30D81">
      <w:pPr>
        <w:pStyle w:val="Heading2"/>
        <w:spacing w:before="240" w:after="120" w:line="480" w:lineRule="auto"/>
        <w:rPr>
          <w:color w:val="000000" w:themeColor="text1"/>
        </w:rPr>
      </w:pPr>
      <w:r w:rsidRPr="006C0A79">
        <w:rPr>
          <w:b/>
          <w:bCs/>
          <w:color w:val="000000" w:themeColor="text1"/>
        </w:rPr>
        <w:t>Difficulties and Objections</w:t>
      </w:r>
    </w:p>
    <w:p w14:paraId="4473927E" w14:textId="3AAEC8EA" w:rsidR="001B6356" w:rsidRDefault="00B445B2" w:rsidP="006C0A79">
      <w:pPr>
        <w:spacing w:line="480" w:lineRule="auto"/>
        <w:jc w:val="both"/>
        <w:rPr>
          <w:kern w:val="2"/>
          <w14:ligatures w14:val="standardContextual"/>
        </w:rPr>
      </w:pPr>
      <w:r>
        <w:t>However, the strengths of Tillich’s definition also create serious problems. The first problem is that it may be too broad. If every ultimate concern counts as religious, then a committed atheist, a political extremist or a person obsessed with wealth could all be described as religious. This seems odd, especially if those people would reject the label themselves. William Rowe raises a similar criticism when he argues that if “God” simply means the object of ultimate concern, then almost everyone has a god. This makes the claim too easy and risks emptying the word “God” of its usual religious meaning.</w:t>
      </w:r>
      <w:r>
        <w:rPr>
          <w:rStyle w:val="FootnoteReference"/>
        </w:rPr>
        <w:footnoteReference w:id="4"/>
      </w:r>
      <w:r w:rsidR="00EB53F3">
        <w:rPr>
          <w:kern w:val="2"/>
          <w14:ligatures w14:val="standardContextual"/>
        </w:rPr>
        <w:t xml:space="preserve"> </w:t>
      </w:r>
      <w:r w:rsidR="00D636AA">
        <w:t>Tillich would respond that these examples are cases of idolatry rather than genuine ultimate concern, because their objects are finite. Yet this response creates another difficulty. In order to distinguish true ultimate concern from false ultimate concern, Tillich has to appeal to his own idea of being-itself. This means that his definition is not as neutral as it first appears. If it is used only functionally, it includes too much. But if it is limited by the idea that only being-itself is truly ultimate, then it depends on Tillich’s own theology. This makes it less suitable as a general definition for the academic study of religion.</w:t>
      </w:r>
      <w:r w:rsidR="00EB53F3">
        <w:rPr>
          <w:kern w:val="2"/>
          <w14:ligatures w14:val="standardContextual"/>
        </w:rPr>
        <w:t xml:space="preserve"> </w:t>
      </w:r>
      <w:r w:rsidR="00304FE4">
        <w:t>A second criticism comes from scholars of religious studies such as Timothy Fitzgerald. Fitzgerald argues that broad definitions of religion often reflect Western and Christian assumptions, even when they claim to be universal. Tillich’s definition may be an example of this because it focuses strongly on inner faith, personal commitment and individual concern. These are important in liberal Protestant Christianity, but they may not describe all religious traditions equally well. In some religions, practice, law, community and ritual may be more central than an individual’s inner state. Therefore, describing all religion as “ultimate concern” may distort some traditions by forcing them into a Protestant-looking framework.</w:t>
      </w:r>
      <w:r w:rsidR="00304FE4">
        <w:rPr>
          <w:rStyle w:val="FootnoteReference"/>
        </w:rPr>
        <w:footnoteReference w:id="5"/>
      </w:r>
      <w:r w:rsidR="00EB53F3">
        <w:rPr>
          <w:kern w:val="2"/>
          <w14:ligatures w14:val="standardContextual"/>
        </w:rPr>
        <w:t xml:space="preserve"> </w:t>
      </w:r>
      <w:r w:rsidR="001F5E4D">
        <w:t>A third criticism is linked to George Lindbeck’s view of religion. Lindbeck argues that religions are not simply different expressions of the same basic experience. Instead, each religion shapes the experiences of its followers through its own language, practices and rules. This challenges Tillich because it suggests that there may not be one general experience called “ultimate concern” underneath all religions. A Christian concern with salvation and a Buddhist concern with liberation may not simply be two versions of the same thing. They are formed within different traditions and may have different meanings.</w:t>
      </w:r>
      <w:r w:rsidR="001F5E4D">
        <w:rPr>
          <w:rStyle w:val="FootnoteReference"/>
        </w:rPr>
        <w:footnoteReference w:id="6"/>
      </w:r>
      <w:r w:rsidR="00EB53F3">
        <w:rPr>
          <w:kern w:val="2"/>
          <w14:ligatures w14:val="standardContextual"/>
        </w:rPr>
        <w:t xml:space="preserve"> </w:t>
      </w:r>
      <w:r w:rsidR="0062309F">
        <w:t>Supporters of Tillich can reply that some of these criticisms misunderstand him. Adrian Thatcher argues that ultimate concern was never meant to be a completely neutral definition. Robert Scharlemann also points out that Tillich is not just talking about a strong feeling or preference, but about the structure of human existence in relation to its ultimate ground. These points help defend Tillich from the simplistic criticism that he just means “whatever matters most to someone”. Even so, they also show the main limitation of his view. If ultimate concern is really a theological and ontological idea, then it cannot easily work as the best neutral definition of religion for comparative study.</w:t>
      </w:r>
      <w:r w:rsidR="0062309F">
        <w:rPr>
          <w:rStyle w:val="FootnoteReference"/>
        </w:rPr>
        <w:footnoteReference w:id="7"/>
      </w:r>
      <w:r w:rsidR="0062309F">
        <w:rPr>
          <w:rStyle w:val="FootnoteReference"/>
        </w:rPr>
        <w:footnoteReference w:id="8"/>
      </w:r>
      <w:r w:rsidR="00EB53F3">
        <w:rPr>
          <w:kern w:val="2"/>
          <w14:ligatures w14:val="standardContextual"/>
        </w:rPr>
        <w:t xml:space="preserve"> </w:t>
      </w:r>
      <w:r w:rsidR="001B6356">
        <w:t>There is also a methodological problem. A definition of religion used in academic religious studies needs to be able to describe traditions fairly without deciding in advance which concerns are genuinely ultimate. Tillich’s definition can work descriptively if it says that religions are systems of ultimate orientation, but it becomes theological when it claims that only the ground of can be the true object of ultimate concern. This creates a tension between Tillich the scholar of religion and Tillich the Christian theologian. As a theologian, he is entitled to judge finite absolutes as idolatrous; as a general theorist of religion, however, that judgement may look less like a neutral definition and more like a Christian reinterpretation of other commitments.</w:t>
      </w:r>
    </w:p>
    <w:p w14:paraId="20C7C95C" w14:textId="77777777" w:rsidR="002632E1" w:rsidRPr="006C0A79" w:rsidRDefault="00F30D81">
      <w:pPr>
        <w:pStyle w:val="Heading2"/>
        <w:spacing w:before="240" w:after="120" w:line="480" w:lineRule="auto"/>
        <w:rPr>
          <w:color w:val="000000" w:themeColor="text1"/>
        </w:rPr>
      </w:pPr>
      <w:r w:rsidRPr="006C0A79">
        <w:rPr>
          <w:b/>
          <w:bCs/>
          <w:color w:val="000000" w:themeColor="text1"/>
        </w:rPr>
        <w:t>Assessment</w:t>
      </w:r>
    </w:p>
    <w:p w14:paraId="2B84A33E" w14:textId="77777777" w:rsidR="002632E1" w:rsidRDefault="00D60958" w:rsidP="006C0A79">
      <w:pPr>
        <w:spacing w:line="480" w:lineRule="auto"/>
        <w:jc w:val="both"/>
      </w:pPr>
      <w:r>
        <w:t>The answer therefore depends on what a definition of religion is meant to do. If the aim is to identify religion from the outside and separate it clearly from politics, art or economics, then Tillich’s definition is not very successful. It does not give a clear boundary between religious and non-religious phenomena. It is also shaped by Tillich’s own theological view of being-itself. For this reason, as a descriptive definition for religious studies, ultimate concern is too broad and too dependent on a particular theological background.</w:t>
      </w:r>
    </w:p>
    <w:p w14:paraId="4978DF53" w14:textId="4041AE55" w:rsidR="002632E1" w:rsidRPr="006C0A79" w:rsidRDefault="00D52A04" w:rsidP="006C0A79">
      <w:pPr>
        <w:spacing w:line="480" w:lineRule="auto"/>
        <w:jc w:val="both"/>
        <w:rPr>
          <w:kern w:val="2"/>
          <w14:ligatures w14:val="standardContextual"/>
        </w:rPr>
      </w:pPr>
      <w:r>
        <w:t>However, if the aim is to explain what religious faith feels like from within, Tillich’s idea is much stronger. It shows that religion is not merely about doctrines or rituals, but about what claims the whole person. It also helps expose secular forms of devotion that behave like religion, such as nationalism or consumerism. Wesley Wildman is therefore right to suggest that Tillich is most convincing when his idea is read as a normative account of what religion is at its deepest, rather than as a neutral classification tool. Tillich is especially helpful as a theologian of faith, even if he is less successful as a scholar defining religion from the outside.</w:t>
      </w:r>
      <w:r w:rsidR="006C0A79">
        <w:rPr>
          <w:kern w:val="2"/>
          <w14:ligatures w14:val="standardContextual"/>
        </w:rPr>
        <w:t xml:space="preserve"> </w:t>
      </w:r>
      <w:r w:rsidR="001B6356">
        <w:t>For this reason, Tillich’s definition may be best understood as a functional and theological insight rather than a complete definition. It is functional because it asks what religion does in a person’s life: how it orders values, demands loyalty, and provides meaning. It is theological because Tillich ultimately measures all concerns against the truly ultimate. The problem is not that either approach is useless, but that they do different jobs. A functional definition is useful for comparing religion with secular ideologies, while a theological definition is useful for evaluating authentic and distorted faith. Tillich’s theory becomes problematic only when these two tasks are treated as if they were the same.</w:t>
      </w:r>
      <w:r w:rsidR="006C0A79">
        <w:rPr>
          <w:kern w:val="2"/>
          <w14:ligatures w14:val="standardContextual"/>
        </w:rPr>
        <w:t xml:space="preserve"> </w:t>
      </w:r>
      <w:r w:rsidR="005173F2">
        <w:t>My judgement is therefore that Tillich is not right if he means that ultimate concern is the best overall definition of religion. It is too wide, because it includes many secular commitments, and too theological, because it depends on his idea of being-itself. A better approach for the study of religion may be a plural or family-resemblance definition, which accepts that religions share overlapping features rather than one single essence. Still, Tillich’s theory remains valuable. It identifies something important about religion: the way it can claim a person completely and give ultimate meaning to life. Ultimate concern may not be the best definition of religion, but it is a powerful description of religious commitment.</w:t>
      </w:r>
    </w:p>
    <w:p w14:paraId="3D1C44C0" w14:textId="77777777" w:rsidR="002632E1" w:rsidRPr="006C0A79" w:rsidRDefault="00F30D81">
      <w:pPr>
        <w:pStyle w:val="Heading2"/>
        <w:spacing w:before="240" w:after="120" w:line="480" w:lineRule="auto"/>
        <w:rPr>
          <w:color w:val="000000" w:themeColor="text1"/>
        </w:rPr>
      </w:pPr>
      <w:r w:rsidRPr="006C0A79">
        <w:rPr>
          <w:b/>
          <w:bCs/>
          <w:color w:val="000000" w:themeColor="text1"/>
        </w:rPr>
        <w:t>Conclusion</w:t>
      </w:r>
    </w:p>
    <w:p w14:paraId="00864C2D" w14:textId="77777777" w:rsidR="002632E1" w:rsidRDefault="00F30D81" w:rsidP="006C0A79">
      <w:pPr>
        <w:spacing w:line="480" w:lineRule="auto"/>
        <w:jc w:val="both"/>
      </w:pPr>
      <w:r>
        <w:t>For Tillich, ultimate concern means being grasped by something that matters unconditionally. It has both a subjective side, the act of being concerned, and an objective side, the object that is treated as ultimate. The idea has several strengths: it captures the seriousness of faith, includes non-theistic traditions, and helps explain secular ‘quasi-religions’. However, it also has major weaknesses. It is too broad to separate religion clearly from other deep commitments, and when Tillich tries to solve this by appealing to being-itself, his definition becomes dependent on his own theology. Therefore, Tillich does not provide the best general definition of religion. Instead, he gives a valuable theological account of what religious commitment is like from within. His concept remains important because it shows that religion is not merely an external social label but a matter of ultimate meaning, loyalty, and transformation. Nevertheless, the study of religion still needs definitions that attend to ritual, tradition, community, doctrine, and historical context as well as inner commitment.</w:t>
      </w:r>
    </w:p>
    <w:p w14:paraId="3B250655" w14:textId="77777777" w:rsidR="002632E1" w:rsidRPr="006C0A79" w:rsidRDefault="00F30D81">
      <w:pPr>
        <w:pStyle w:val="Heading2"/>
        <w:spacing w:before="360" w:after="180" w:line="480" w:lineRule="auto"/>
        <w:rPr>
          <w:color w:val="000000" w:themeColor="text1"/>
        </w:rPr>
      </w:pPr>
      <w:r w:rsidRPr="006C0A79">
        <w:rPr>
          <w:b/>
          <w:bCs/>
          <w:color w:val="000000" w:themeColor="text1"/>
        </w:rPr>
        <w:t>Bibliography</w:t>
      </w:r>
    </w:p>
    <w:p w14:paraId="1670B643" w14:textId="77777777" w:rsidR="002632E1" w:rsidRDefault="00F30D81">
      <w:pPr>
        <w:spacing w:after="120" w:line="360" w:lineRule="auto"/>
        <w:ind w:left="720" w:hanging="720"/>
      </w:pPr>
      <w:r>
        <w:t xml:space="preserve">Cobb, Kelton, </w:t>
      </w:r>
      <w:r>
        <w:rPr>
          <w:i/>
          <w:iCs/>
        </w:rPr>
        <w:t>The Blackwell Guide to Theology and Popular Culture</w:t>
      </w:r>
      <w:r>
        <w:t xml:space="preserve"> (Oxford: Blackwell, 2005)</w:t>
      </w:r>
    </w:p>
    <w:p w14:paraId="7D0CDCF0" w14:textId="77777777" w:rsidR="002632E1" w:rsidRDefault="00F30D81">
      <w:pPr>
        <w:spacing w:after="120" w:line="360" w:lineRule="auto"/>
        <w:ind w:left="720" w:hanging="720"/>
      </w:pPr>
      <w:r>
        <w:t xml:space="preserve">Fitzgerald, Timothy, </w:t>
      </w:r>
      <w:r>
        <w:rPr>
          <w:i/>
          <w:iCs/>
        </w:rPr>
        <w:t>The Ideology of Religious Studies</w:t>
      </w:r>
      <w:r>
        <w:t xml:space="preserve"> (New York: Oxford University Press, 2000)</w:t>
      </w:r>
    </w:p>
    <w:p w14:paraId="7184D0A8" w14:textId="77777777" w:rsidR="002632E1" w:rsidRDefault="00F30D81">
      <w:pPr>
        <w:spacing w:after="120" w:line="360" w:lineRule="auto"/>
        <w:ind w:left="720" w:hanging="720"/>
      </w:pPr>
      <w:r>
        <w:t xml:space="preserve">Lindbeck, George, </w:t>
      </w:r>
      <w:r>
        <w:rPr>
          <w:i/>
          <w:iCs/>
        </w:rPr>
        <w:t>The Nature of Doctrine: Religion and Theology in a Postliberal Age</w:t>
      </w:r>
      <w:r>
        <w:t xml:space="preserve"> (Philadelphia: Westminster Press, 1984)</w:t>
      </w:r>
    </w:p>
    <w:p w14:paraId="0F45A569" w14:textId="77777777" w:rsidR="002632E1" w:rsidRDefault="00F30D81">
      <w:pPr>
        <w:spacing w:after="120" w:line="360" w:lineRule="auto"/>
        <w:ind w:left="720" w:hanging="720"/>
      </w:pPr>
      <w:r>
        <w:t xml:space="preserve">Rowe, William L., ‘The Meaning of “God” in Tillich’s Theology’, </w:t>
      </w:r>
      <w:r>
        <w:rPr>
          <w:i/>
          <w:iCs/>
        </w:rPr>
        <w:t>Journal of Religion</w:t>
      </w:r>
      <w:r>
        <w:t>, 42.4 (1962), 274–86</w:t>
      </w:r>
    </w:p>
    <w:p w14:paraId="7DE761AA" w14:textId="77777777" w:rsidR="002632E1" w:rsidRDefault="00F30D81">
      <w:pPr>
        <w:spacing w:after="120" w:line="360" w:lineRule="auto"/>
        <w:ind w:left="720" w:hanging="720"/>
      </w:pPr>
      <w:r>
        <w:t xml:space="preserve">Scharlemann, Robert P., </w:t>
      </w:r>
      <w:r>
        <w:rPr>
          <w:i/>
          <w:iCs/>
        </w:rPr>
        <w:t>The Reason of Following: Christology and the Ecstatic I</w:t>
      </w:r>
      <w:r>
        <w:t xml:space="preserve"> (Chicago: University of Chicago Press, 1991)</w:t>
      </w:r>
    </w:p>
    <w:p w14:paraId="309AC3A0" w14:textId="77777777" w:rsidR="002632E1" w:rsidRDefault="00F30D81">
      <w:pPr>
        <w:spacing w:after="120" w:line="360" w:lineRule="auto"/>
        <w:ind w:left="720" w:hanging="720"/>
      </w:pPr>
      <w:r>
        <w:t xml:space="preserve">Smart, Ninian, </w:t>
      </w:r>
      <w:r>
        <w:rPr>
          <w:i/>
          <w:iCs/>
        </w:rPr>
        <w:t>The Religious Experience of Mankind</w:t>
      </w:r>
      <w:r>
        <w:t>, 3rd edn (New York: Scribner, 1984)</w:t>
      </w:r>
    </w:p>
    <w:p w14:paraId="3C4F972F" w14:textId="77777777" w:rsidR="002632E1" w:rsidRDefault="00F30D81">
      <w:pPr>
        <w:spacing w:after="120" w:line="360" w:lineRule="auto"/>
        <w:ind w:left="720" w:hanging="720"/>
      </w:pPr>
      <w:r>
        <w:t xml:space="preserve">Smith, John E., ‘The Impact of Tillich’s Interpretation of Religion’, in </w:t>
      </w:r>
      <w:r>
        <w:rPr>
          <w:i/>
          <w:iCs/>
        </w:rPr>
        <w:t>The Thought of Paul Tillich</w:t>
      </w:r>
      <w:r>
        <w:t>, ed. by James Luther Adams, Wilhelm Pauck, and Roger Lincoln Shinn (San Francisco: Harper &amp; Row, 1985), pp. 245–62</w:t>
      </w:r>
    </w:p>
    <w:p w14:paraId="5467B98B" w14:textId="77777777" w:rsidR="002632E1" w:rsidRDefault="00F30D81">
      <w:pPr>
        <w:spacing w:after="120" w:line="360" w:lineRule="auto"/>
        <w:ind w:left="720" w:hanging="720"/>
      </w:pPr>
      <w:r>
        <w:t xml:space="preserve">Thatcher, Adrian, ‘The Meaning of Ultimate Concern’, </w:t>
      </w:r>
      <w:r>
        <w:rPr>
          <w:i/>
          <w:iCs/>
        </w:rPr>
        <w:t>Religious Studies</w:t>
      </w:r>
      <w:r>
        <w:t>, 21.4 (1985), 511–25</w:t>
      </w:r>
    </w:p>
    <w:p w14:paraId="2A45F0AD" w14:textId="77777777" w:rsidR="002632E1" w:rsidRDefault="00F30D81">
      <w:pPr>
        <w:spacing w:after="120" w:line="360" w:lineRule="auto"/>
        <w:ind w:left="720" w:hanging="720"/>
      </w:pPr>
      <w:r>
        <w:t xml:space="preserve">Tillich, Paul, </w:t>
      </w:r>
      <w:r>
        <w:rPr>
          <w:i/>
          <w:iCs/>
        </w:rPr>
        <w:t>Dynamics of Faith</w:t>
      </w:r>
      <w:r>
        <w:t xml:space="preserve"> (New York: Harper &amp; Row, 1957)</w:t>
      </w:r>
    </w:p>
    <w:p w14:paraId="582ED4E5" w14:textId="77777777" w:rsidR="002632E1" w:rsidRDefault="00F30D81">
      <w:pPr>
        <w:spacing w:after="120" w:line="360" w:lineRule="auto"/>
        <w:ind w:left="720" w:hanging="720"/>
      </w:pPr>
      <w:r>
        <w:t xml:space="preserve">Tillich, Paul, </w:t>
      </w:r>
      <w:r>
        <w:rPr>
          <w:i/>
          <w:iCs/>
        </w:rPr>
        <w:t>Systematic Theology</w:t>
      </w:r>
      <w:r>
        <w:t>, 3 vols (Chicago: University of Chicago Press, 1951–1963)</w:t>
      </w:r>
    </w:p>
    <w:p w14:paraId="17AA29F0" w14:textId="77777777" w:rsidR="002632E1" w:rsidRDefault="00F30D81">
      <w:pPr>
        <w:spacing w:after="120" w:line="360" w:lineRule="auto"/>
        <w:ind w:left="720" w:hanging="720"/>
      </w:pPr>
      <w:r>
        <w:t xml:space="preserve">Tillich, Paul, </w:t>
      </w:r>
      <w:r>
        <w:rPr>
          <w:i/>
          <w:iCs/>
        </w:rPr>
        <w:t>Theology of Culture</w:t>
      </w:r>
      <w:r>
        <w:t>, ed. by Robert C. Kimball (New York: Oxford University Press, 1959)</w:t>
      </w:r>
    </w:p>
    <w:p w14:paraId="7617A05F" w14:textId="77777777" w:rsidR="00757CC0" w:rsidRDefault="00C93B9C">
      <w:pPr>
        <w:spacing w:after="120" w:line="360" w:lineRule="auto"/>
        <w:ind w:left="720" w:hanging="720"/>
      </w:pPr>
      <w:r>
        <w:t xml:space="preserve">Tylor, Edward B., </w:t>
      </w:r>
      <w:r>
        <w:rPr>
          <w:i/>
          <w:iCs/>
        </w:rPr>
        <w:t>Primitive Culture</w:t>
      </w:r>
      <w:r>
        <w:t>, 2 vols (London: John Murray, 1871)</w:t>
      </w:r>
    </w:p>
    <w:p w14:paraId="03704198" w14:textId="77777777" w:rsidR="002632E1" w:rsidRDefault="00F30D81">
      <w:pPr>
        <w:spacing w:after="120" w:line="360" w:lineRule="auto"/>
        <w:ind w:left="720" w:hanging="720"/>
      </w:pPr>
      <w:r>
        <w:t xml:space="preserve">Wildman, Wesley, </w:t>
      </w:r>
      <w:r>
        <w:rPr>
          <w:i/>
          <w:iCs/>
        </w:rPr>
        <w:t>Religious Philosophy as Multidisciplinary Comparative Inquiry</w:t>
      </w:r>
      <w:r>
        <w:t xml:space="preserve"> (Albany: State University of New York Press, 2010)</w:t>
      </w:r>
    </w:p>
    <w:sectPr w:rsidR="002632E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77AE9" w14:textId="77777777" w:rsidR="00C93B9C" w:rsidRDefault="00C93B9C">
      <w:r>
        <w:separator/>
      </w:r>
    </w:p>
  </w:endnote>
  <w:endnote w:type="continuationSeparator" w:id="0">
    <w:p w14:paraId="37C29EF5" w14:textId="77777777" w:rsidR="00C93B9C" w:rsidRDefault="00C9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9BECF" w14:textId="77777777" w:rsidR="00C93B9C" w:rsidRDefault="00C93B9C">
      <w:r>
        <w:separator/>
      </w:r>
    </w:p>
  </w:footnote>
  <w:footnote w:type="continuationSeparator" w:id="0">
    <w:p w14:paraId="2EE1DA3F" w14:textId="77777777" w:rsidR="00C93B9C" w:rsidRDefault="00C93B9C">
      <w:r>
        <w:continuationSeparator/>
      </w:r>
    </w:p>
  </w:footnote>
  <w:footnote w:id="1">
    <w:p w14:paraId="48779124" w14:textId="77777777" w:rsidR="00757CC0" w:rsidRDefault="00C93B9C">
      <w:pPr>
        <w:pStyle w:val="FootnoteText"/>
      </w:pPr>
      <w:r>
        <w:rPr>
          <w:rStyle w:val="FootnoteReference"/>
        </w:rPr>
        <w:footnoteRef/>
      </w:r>
      <w:r>
        <w:t xml:space="preserve"> Paul Tillich, </w:t>
      </w:r>
      <w:r>
        <w:rPr>
          <w:i/>
          <w:iCs/>
        </w:rPr>
        <w:t>Dynamics of Faith</w:t>
      </w:r>
      <w:r>
        <w:t xml:space="preserve"> (New York: Harper &amp; Row, 1957), p. 1. See also Paul Tillich, </w:t>
      </w:r>
      <w:r>
        <w:rPr>
          <w:i/>
          <w:iCs/>
        </w:rPr>
        <w:t>Systematic Theology</w:t>
      </w:r>
      <w:r>
        <w:t>, 3 vols (Chicago: University of Chicago Press, 1951–1963), I, pp. 11–15.</w:t>
      </w:r>
    </w:p>
  </w:footnote>
  <w:footnote w:id="2">
    <w:p w14:paraId="2E07FAE7" w14:textId="77777777" w:rsidR="00757CC0" w:rsidRDefault="00C93B9C">
      <w:pPr>
        <w:pStyle w:val="FootnoteText"/>
      </w:pPr>
      <w:r>
        <w:rPr>
          <w:rStyle w:val="FootnoteReference"/>
        </w:rPr>
        <w:footnoteRef/>
      </w:r>
      <w:r>
        <w:t xml:space="preserve"> Tillich, </w:t>
      </w:r>
      <w:r>
        <w:rPr>
          <w:i/>
          <w:iCs/>
        </w:rPr>
        <w:t>Dynamics of Faith</w:t>
      </w:r>
      <w:r>
        <w:t>, pp. 4–12.</w:t>
      </w:r>
    </w:p>
  </w:footnote>
  <w:footnote w:id="3">
    <w:p w14:paraId="03314E2F" w14:textId="77777777" w:rsidR="00757CC0" w:rsidRDefault="00C93B9C">
      <w:pPr>
        <w:pStyle w:val="FootnoteText"/>
      </w:pPr>
      <w:r>
        <w:rPr>
          <w:rStyle w:val="FootnoteReference"/>
        </w:rPr>
        <w:footnoteRef/>
      </w:r>
      <w:r>
        <w:t xml:space="preserve"> Edward B. Tylor, </w:t>
      </w:r>
      <w:r>
        <w:rPr>
          <w:i/>
          <w:iCs/>
        </w:rPr>
        <w:t>Primitive Culture</w:t>
      </w:r>
      <w:r>
        <w:t>, 2 vols (London: John Murray, 1871), I, p. 424, where religion is defined minimally as “the belief in Spiritual Beings”.</w:t>
      </w:r>
    </w:p>
  </w:footnote>
  <w:footnote w:id="4">
    <w:p w14:paraId="15910185" w14:textId="77777777" w:rsidR="00757CC0" w:rsidRDefault="00C93B9C">
      <w:pPr>
        <w:pStyle w:val="FootnoteText"/>
      </w:pPr>
      <w:r>
        <w:rPr>
          <w:rStyle w:val="FootnoteReference"/>
        </w:rPr>
        <w:footnoteRef/>
      </w:r>
      <w:r>
        <w:t xml:space="preserve"> William L. Rowe, ‘The Meaning of “God” in Tillich’s Theology’, </w:t>
      </w:r>
      <w:r>
        <w:rPr>
          <w:i/>
          <w:iCs/>
        </w:rPr>
        <w:t>Journal of Religion</w:t>
      </w:r>
      <w:r>
        <w:t>, 42.4 (1962), 274–86 (pp. 279–82).</w:t>
      </w:r>
    </w:p>
  </w:footnote>
  <w:footnote w:id="5">
    <w:p w14:paraId="76F417BE" w14:textId="77777777" w:rsidR="00757CC0" w:rsidRDefault="00C93B9C">
      <w:pPr>
        <w:pStyle w:val="FootnoteText"/>
      </w:pPr>
      <w:r>
        <w:rPr>
          <w:rStyle w:val="FootnoteReference"/>
        </w:rPr>
        <w:footnoteRef/>
      </w:r>
      <w:r>
        <w:t xml:space="preserve"> Timothy Fitzgerald, </w:t>
      </w:r>
      <w:r>
        <w:rPr>
          <w:i/>
          <w:iCs/>
        </w:rPr>
        <w:t>The Ideology of Religious Studies</w:t>
      </w:r>
      <w:r>
        <w:t xml:space="preserve"> (New York: Oxford University Press, 2000), pp. 3–8, 17–32.</w:t>
      </w:r>
    </w:p>
  </w:footnote>
  <w:footnote w:id="6">
    <w:p w14:paraId="0D3FCF5C" w14:textId="77777777" w:rsidR="00757CC0" w:rsidRDefault="00C93B9C">
      <w:pPr>
        <w:pStyle w:val="FootnoteText"/>
      </w:pPr>
      <w:r>
        <w:rPr>
          <w:rStyle w:val="FootnoteReference"/>
        </w:rPr>
        <w:footnoteRef/>
      </w:r>
      <w:r>
        <w:t xml:space="preserve"> George A. Lindbeck, </w:t>
      </w:r>
      <w:r>
        <w:rPr>
          <w:i/>
          <w:iCs/>
        </w:rPr>
        <w:t>The Nature of Doctrine: Religion and Theology in a Postliberal Age</w:t>
      </w:r>
      <w:r>
        <w:t xml:space="preserve"> (Philadelphia: Westminster Press, 1984), pp. 30–45.</w:t>
      </w:r>
    </w:p>
  </w:footnote>
  <w:footnote w:id="7">
    <w:p w14:paraId="6402AF4C" w14:textId="77777777" w:rsidR="00757CC0" w:rsidRDefault="00C93B9C">
      <w:pPr>
        <w:pStyle w:val="FootnoteText"/>
      </w:pPr>
      <w:r>
        <w:rPr>
          <w:rStyle w:val="FootnoteReference"/>
        </w:rPr>
        <w:footnoteRef/>
      </w:r>
      <w:r>
        <w:t xml:space="preserve"> Robert P. Scharlemann, </w:t>
      </w:r>
      <w:r>
        <w:rPr>
          <w:i/>
          <w:iCs/>
        </w:rPr>
        <w:t>The Reason of Following: Christology and the Ecstatic I</w:t>
      </w:r>
      <w:r>
        <w:t xml:space="preserve"> (Chicago: University of Chicago Press, 1991), pp. 41–48.</w:t>
      </w:r>
    </w:p>
  </w:footnote>
  <w:footnote w:id="8">
    <w:p w14:paraId="560BDD43" w14:textId="77777777" w:rsidR="00757CC0" w:rsidRDefault="00C93B9C">
      <w:pPr>
        <w:pStyle w:val="FootnoteText"/>
      </w:pPr>
      <w:r>
        <w:rPr>
          <w:rStyle w:val="FootnoteReference"/>
        </w:rPr>
        <w:footnoteRef/>
      </w:r>
      <w:r>
        <w:t xml:space="preserve"> Adrian Thatcher, ‘The Meaning of Ultimate Concern’, </w:t>
      </w:r>
      <w:r>
        <w:rPr>
          <w:i/>
          <w:iCs/>
        </w:rPr>
        <w:t>Religious Studies</w:t>
      </w:r>
      <w:r>
        <w:t>, 21.4 (1985), 511–25 (pp. 513–16).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16B06"/>
    <w:multiLevelType w:val="hybridMultilevel"/>
    <w:tmpl w:val="C45EF210"/>
    <w:lvl w:ilvl="0" w:tplc="D624A688">
      <w:start w:val="1"/>
      <w:numFmt w:val="bullet"/>
      <w:lvlText w:val="●"/>
      <w:lvlJc w:val="left"/>
      <w:pPr>
        <w:ind w:left="720" w:hanging="360"/>
      </w:pPr>
    </w:lvl>
    <w:lvl w:ilvl="1" w:tplc="1F3C88EA">
      <w:start w:val="1"/>
      <w:numFmt w:val="bullet"/>
      <w:lvlText w:val="○"/>
      <w:lvlJc w:val="left"/>
      <w:pPr>
        <w:ind w:left="1440" w:hanging="360"/>
      </w:pPr>
    </w:lvl>
    <w:lvl w:ilvl="2" w:tplc="1500EE26">
      <w:start w:val="1"/>
      <w:numFmt w:val="bullet"/>
      <w:lvlText w:val="■"/>
      <w:lvlJc w:val="left"/>
      <w:pPr>
        <w:ind w:left="2160" w:hanging="360"/>
      </w:pPr>
    </w:lvl>
    <w:lvl w:ilvl="3" w:tplc="F0B03916">
      <w:start w:val="1"/>
      <w:numFmt w:val="bullet"/>
      <w:lvlText w:val="●"/>
      <w:lvlJc w:val="left"/>
      <w:pPr>
        <w:ind w:left="2880" w:hanging="360"/>
      </w:pPr>
    </w:lvl>
    <w:lvl w:ilvl="4" w:tplc="85BACD40">
      <w:start w:val="1"/>
      <w:numFmt w:val="bullet"/>
      <w:lvlText w:val="○"/>
      <w:lvlJc w:val="left"/>
      <w:pPr>
        <w:ind w:left="3600" w:hanging="360"/>
      </w:pPr>
    </w:lvl>
    <w:lvl w:ilvl="5" w:tplc="9F8653D8">
      <w:start w:val="1"/>
      <w:numFmt w:val="bullet"/>
      <w:lvlText w:val="■"/>
      <w:lvlJc w:val="left"/>
      <w:pPr>
        <w:ind w:left="4320" w:hanging="360"/>
      </w:pPr>
    </w:lvl>
    <w:lvl w:ilvl="6" w:tplc="1D780BFA">
      <w:start w:val="1"/>
      <w:numFmt w:val="bullet"/>
      <w:lvlText w:val="●"/>
      <w:lvlJc w:val="left"/>
      <w:pPr>
        <w:ind w:left="5040" w:hanging="360"/>
      </w:pPr>
    </w:lvl>
    <w:lvl w:ilvl="7" w:tplc="EC225A16">
      <w:start w:val="1"/>
      <w:numFmt w:val="bullet"/>
      <w:lvlText w:val="●"/>
      <w:lvlJc w:val="left"/>
      <w:pPr>
        <w:ind w:left="5760" w:hanging="360"/>
      </w:pPr>
    </w:lvl>
    <w:lvl w:ilvl="8" w:tplc="89B21A38">
      <w:start w:val="1"/>
      <w:numFmt w:val="bullet"/>
      <w:lvlText w:val="●"/>
      <w:lvlJc w:val="left"/>
      <w:pPr>
        <w:ind w:left="6480" w:hanging="360"/>
      </w:pPr>
    </w:lvl>
  </w:abstractNum>
  <w:num w:numId="1" w16cid:durableId="16648207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displayBackgroundShap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2E1"/>
    <w:rsid w:val="00195F6A"/>
    <w:rsid w:val="001B3086"/>
    <w:rsid w:val="001B6356"/>
    <w:rsid w:val="001B76C9"/>
    <w:rsid w:val="001F5E4D"/>
    <w:rsid w:val="00256DF2"/>
    <w:rsid w:val="002632E1"/>
    <w:rsid w:val="00304FE4"/>
    <w:rsid w:val="0048585F"/>
    <w:rsid w:val="005173F2"/>
    <w:rsid w:val="00543514"/>
    <w:rsid w:val="005A503F"/>
    <w:rsid w:val="005E4E11"/>
    <w:rsid w:val="0062309F"/>
    <w:rsid w:val="006577A5"/>
    <w:rsid w:val="006C0A79"/>
    <w:rsid w:val="006C0C38"/>
    <w:rsid w:val="006C4C51"/>
    <w:rsid w:val="00757CC0"/>
    <w:rsid w:val="007A71EA"/>
    <w:rsid w:val="008031B0"/>
    <w:rsid w:val="008566F6"/>
    <w:rsid w:val="0089783B"/>
    <w:rsid w:val="0095623D"/>
    <w:rsid w:val="00956250"/>
    <w:rsid w:val="00A85A87"/>
    <w:rsid w:val="00AF61C1"/>
    <w:rsid w:val="00B05F09"/>
    <w:rsid w:val="00B445B2"/>
    <w:rsid w:val="00BD0D8B"/>
    <w:rsid w:val="00C27967"/>
    <w:rsid w:val="00C83547"/>
    <w:rsid w:val="00C93B9C"/>
    <w:rsid w:val="00CD6D9A"/>
    <w:rsid w:val="00D52A04"/>
    <w:rsid w:val="00D60958"/>
    <w:rsid w:val="00D636AA"/>
    <w:rsid w:val="00DC03E1"/>
    <w:rsid w:val="00DD6813"/>
    <w:rsid w:val="00EA4169"/>
    <w:rsid w:val="00EB53F3"/>
    <w:rsid w:val="00F04089"/>
    <w:rsid w:val="00F30D81"/>
    <w:rsid w:val="00FE2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4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95623D"/>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95623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5623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5623D"/>
    <w:pPr>
      <w:tabs>
        <w:tab w:val="center" w:pos="4513"/>
        <w:tab w:val="right" w:pos="9026"/>
      </w:tabs>
    </w:pPr>
  </w:style>
  <w:style w:type="character" w:customStyle="1" w:styleId="HeaderChar">
    <w:name w:val="Header Char"/>
    <w:basedOn w:val="DefaultParagraphFont"/>
    <w:link w:val="Header"/>
    <w:uiPriority w:val="99"/>
    <w:rsid w:val="0095623D"/>
  </w:style>
  <w:style w:type="paragraph" w:styleId="Footer">
    <w:name w:val="footer"/>
    <w:basedOn w:val="Normal"/>
    <w:link w:val="FooterChar"/>
    <w:uiPriority w:val="99"/>
    <w:unhideWhenUsed/>
    <w:rsid w:val="0095623D"/>
    <w:pPr>
      <w:tabs>
        <w:tab w:val="center" w:pos="4513"/>
        <w:tab w:val="right" w:pos="9026"/>
      </w:tabs>
    </w:pPr>
  </w:style>
  <w:style w:type="character" w:customStyle="1" w:styleId="FooterChar">
    <w:name w:val="Footer Char"/>
    <w:basedOn w:val="DefaultParagraphFont"/>
    <w:link w:val="Footer"/>
    <w:uiPriority w:val="99"/>
    <w:rsid w:val="0095623D"/>
  </w:style>
  <w:style w:type="character" w:styleId="BookTitle">
    <w:name w:val="Book Title"/>
    <w:basedOn w:val="DefaultParagraphFont"/>
    <w:uiPriority w:val="33"/>
    <w:qFormat/>
    <w:rsid w:val="0095623D"/>
    <w:rPr>
      <w:b/>
      <w:bCs/>
      <w:i/>
      <w:iCs/>
      <w:spacing w:val="5"/>
    </w:rPr>
  </w:style>
  <w:style w:type="paragraph" w:styleId="Caption">
    <w:name w:val="caption"/>
    <w:basedOn w:val="Normal"/>
    <w:next w:val="Normal"/>
    <w:uiPriority w:val="35"/>
    <w:semiHidden/>
    <w:unhideWhenUsed/>
    <w:qFormat/>
    <w:rsid w:val="0095623D"/>
    <w:pPr>
      <w:spacing w:after="200"/>
    </w:pPr>
    <w:rPr>
      <w:i/>
      <w:iCs/>
      <w:color w:val="0E2841" w:themeColor="text2"/>
      <w:sz w:val="18"/>
      <w:szCs w:val="18"/>
    </w:rPr>
  </w:style>
  <w:style w:type="character" w:styleId="Emphasis">
    <w:name w:val="Emphasis"/>
    <w:basedOn w:val="DefaultParagraphFont"/>
    <w:uiPriority w:val="20"/>
    <w:qFormat/>
    <w:rsid w:val="0095623D"/>
    <w:rPr>
      <w:i/>
      <w:iCs/>
    </w:rPr>
  </w:style>
  <w:style w:type="character" w:customStyle="1" w:styleId="Heading7Char">
    <w:name w:val="Heading 7 Char"/>
    <w:basedOn w:val="DefaultParagraphFont"/>
    <w:link w:val="Heading7"/>
    <w:uiPriority w:val="9"/>
    <w:semiHidden/>
    <w:rsid w:val="0095623D"/>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95623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5623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95623D"/>
    <w:rPr>
      <w:i/>
      <w:iCs/>
      <w:color w:val="156082" w:themeColor="accent1"/>
    </w:rPr>
  </w:style>
  <w:style w:type="paragraph" w:styleId="IntenseQuote">
    <w:name w:val="Intense Quote"/>
    <w:basedOn w:val="Normal"/>
    <w:next w:val="Normal"/>
    <w:link w:val="IntenseQuoteChar"/>
    <w:uiPriority w:val="30"/>
    <w:qFormat/>
    <w:rsid w:val="0095623D"/>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95623D"/>
    <w:rPr>
      <w:i/>
      <w:iCs/>
      <w:color w:val="156082" w:themeColor="accent1"/>
    </w:rPr>
  </w:style>
  <w:style w:type="character" w:styleId="IntenseReference">
    <w:name w:val="Intense Reference"/>
    <w:basedOn w:val="DefaultParagraphFont"/>
    <w:uiPriority w:val="32"/>
    <w:qFormat/>
    <w:rsid w:val="0095623D"/>
    <w:rPr>
      <w:b/>
      <w:bCs/>
      <w:smallCaps/>
      <w:color w:val="156082" w:themeColor="accent1"/>
      <w:spacing w:val="5"/>
    </w:rPr>
  </w:style>
  <w:style w:type="paragraph" w:styleId="NoSpacing">
    <w:name w:val="No Spacing"/>
    <w:uiPriority w:val="1"/>
    <w:qFormat/>
    <w:rsid w:val="0095623D"/>
  </w:style>
  <w:style w:type="paragraph" w:styleId="Quote">
    <w:name w:val="Quote"/>
    <w:basedOn w:val="Normal"/>
    <w:next w:val="Normal"/>
    <w:link w:val="QuoteChar"/>
    <w:uiPriority w:val="29"/>
    <w:qFormat/>
    <w:rsid w:val="0095623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5623D"/>
    <w:rPr>
      <w:i/>
      <w:iCs/>
      <w:color w:val="404040" w:themeColor="text1" w:themeTint="BF"/>
    </w:rPr>
  </w:style>
  <w:style w:type="character" w:styleId="Strong">
    <w:name w:val="Strong"/>
    <w:basedOn w:val="DefaultParagraphFont"/>
    <w:uiPriority w:val="22"/>
    <w:qFormat/>
    <w:rsid w:val="0095623D"/>
    <w:rPr>
      <w:b/>
      <w:bCs/>
    </w:rPr>
  </w:style>
  <w:style w:type="paragraph" w:styleId="Subtitle">
    <w:name w:val="Subtitle"/>
    <w:basedOn w:val="Normal"/>
    <w:next w:val="Normal"/>
    <w:link w:val="SubtitleChar"/>
    <w:uiPriority w:val="11"/>
    <w:qFormat/>
    <w:rsid w:val="0095623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5623D"/>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95623D"/>
    <w:rPr>
      <w:i/>
      <w:iCs/>
      <w:color w:val="404040" w:themeColor="text1" w:themeTint="BF"/>
    </w:rPr>
  </w:style>
  <w:style w:type="character" w:styleId="SubtleReference">
    <w:name w:val="Subtle Reference"/>
    <w:basedOn w:val="DefaultParagraphFont"/>
    <w:uiPriority w:val="31"/>
    <w:qFormat/>
    <w:rsid w:val="0095623D"/>
    <w:rPr>
      <w:smallCaps/>
      <w:color w:val="5A5A5A" w:themeColor="text1" w:themeTint="A5"/>
    </w:rPr>
  </w:style>
  <w:style w:type="paragraph" w:styleId="TOCHeading">
    <w:name w:val="TOC Heading"/>
    <w:basedOn w:val="Heading1"/>
    <w:next w:val="Normal"/>
    <w:uiPriority w:val="39"/>
    <w:semiHidden/>
    <w:unhideWhenUsed/>
    <w:qFormat/>
    <w:rsid w:val="0095623D"/>
    <w:pPr>
      <w:keepNext/>
      <w:keepLines/>
      <w:spacing w:before="240"/>
      <w:outlineLvl w:val="9"/>
    </w:pPr>
    <w:rPr>
      <w:rFonts w:asciiTheme="majorHAnsi" w:eastAsiaTheme="majorEastAsia" w:hAnsiTheme="majorHAnsi" w:cstheme="majorBidi"/>
      <w:color w:val="0F4761" w:themeColor="accent1" w:themeShade="BF"/>
    </w:rPr>
  </w:style>
  <w:style w:type="character" w:customStyle="1" w:styleId="Heading2Char">
    <w:name w:val="Heading 2 Char"/>
    <w:basedOn w:val="DefaultParagraphFont"/>
    <w:link w:val="Heading2"/>
    <w:uiPriority w:val="9"/>
    <w:rsid w:val="008031B0"/>
    <w:rPr>
      <w:color w:val="2E74B5"/>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2477</Words>
  <Characters>14123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2026-07-25T11:30:00Z</dcterms:created>
  <dcterms:modified xsi:type="dcterms:W3CDTF">2026-07-25T11:30:00Z</dcterms:modified>
</cp:coreProperties>
</file>