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7EC82E85" w14:textId="77777777" w:rsidR="00DB1F15" w:rsidRDefault="00DB1F15" w:rsidP="00DB1F15">
      <w:pPr>
        <w:rPr>
          <w:rFonts w:asciiTheme="minorHAnsi" w:hAnsiTheme="minorHAnsi" w:cstheme="minorHAnsi"/>
          <w:b/>
          <w:bCs/>
          <w:sz w:val="36"/>
          <w:szCs w:val="36"/>
        </w:rPr>
      </w:pPr>
      <w:r>
        <w:rPr>
          <w:rFonts w:asciiTheme="minorHAnsi" w:hAnsiTheme="minorHAnsi" w:cstheme="minorHAnsi"/>
          <w:b/>
          <w:bCs/>
          <w:sz w:val="36"/>
          <w:szCs w:val="36"/>
        </w:rPr>
        <w:t>Contents</w:t>
      </w:r>
    </w:p>
    <w:p w14:paraId="5B6EB7B6" w14:textId="0E982B77" w:rsidR="004A7A1F" w:rsidRDefault="004A7A1F" w:rsidP="00DB1F15">
      <w:pPr>
        <w:rPr>
          <w:rFonts w:asciiTheme="minorHAnsi" w:hAnsiTheme="minorHAnsi" w:cstheme="minorHAnsi"/>
          <w:b/>
          <w:bCs/>
          <w:sz w:val="36"/>
          <w:szCs w:val="36"/>
        </w:rPr>
      </w:pPr>
      <w:r w:rsidRPr="003502A0">
        <w:rPr>
          <w:rFonts w:asciiTheme="minorHAnsi" w:hAnsiTheme="minorHAnsi" w:cstheme="minorHAnsi"/>
          <w:b/>
          <w:bCs/>
          <w:sz w:val="36"/>
          <w:szCs w:val="36"/>
        </w:rPr>
        <w:t>Evidence Based Practice and its importance in Decision Making – Report</w:t>
      </w:r>
    </w:p>
    <w:p w14:paraId="683BC7A1" w14:textId="1F5C3F0E" w:rsidR="002D20AA" w:rsidRPr="003502A0" w:rsidRDefault="002D20AA" w:rsidP="00DB1F15">
      <w:pPr>
        <w:rPr>
          <w:rFonts w:asciiTheme="minorHAnsi" w:hAnsiTheme="minorHAnsi" w:cstheme="minorHAnsi"/>
          <w:b/>
          <w:bCs/>
          <w:sz w:val="36"/>
          <w:szCs w:val="36"/>
        </w:rPr>
      </w:pPr>
      <w:r>
        <w:rPr>
          <w:rFonts w:asciiTheme="minorHAnsi" w:hAnsiTheme="minorHAnsi" w:cstheme="minorHAnsi"/>
          <w:b/>
          <w:bCs/>
          <w:sz w:val="36"/>
          <w:szCs w:val="36"/>
        </w:rPr>
        <w:t>Task 2 – Qualitative and quantitative analysis of data</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p w14:paraId="2220B048" w14:textId="30C98F81" w:rsidR="00D2465A" w:rsidRDefault="002F05AF" w:rsidP="00E56D1F">
      <w:pPr>
        <w:jc w:val="center"/>
        <w:rPr>
          <w:rFonts w:asciiTheme="minorHAnsi" w:hAnsiTheme="minorHAnsi" w:cstheme="minorHAnsi"/>
          <w:b/>
          <w:bCs/>
          <w:sz w:val="36"/>
          <w:szCs w:val="36"/>
        </w:rPr>
      </w:pPr>
      <w:r>
        <w:rPr>
          <w:rFonts w:asciiTheme="minorHAnsi" w:hAnsiTheme="minorHAnsi" w:cstheme="minorHAnsi"/>
          <w:b/>
          <w:bCs/>
          <w:sz w:val="36"/>
          <w:szCs w:val="36"/>
        </w:rPr>
        <w:t xml:space="preserve">Word Count: </w:t>
      </w:r>
      <w:r w:rsidR="00D2465A">
        <w:rPr>
          <w:rFonts w:asciiTheme="minorHAnsi" w:hAnsiTheme="minorHAnsi" w:cstheme="minorHAnsi"/>
          <w:b/>
          <w:bCs/>
          <w:sz w:val="36"/>
          <w:szCs w:val="36"/>
        </w:rPr>
        <w:t>Report – 3091</w:t>
      </w:r>
    </w:p>
    <w:p w14:paraId="6CD5CFFC" w14:textId="294249CF" w:rsidR="002F05AF" w:rsidRDefault="00D2465A" w:rsidP="00E56D1F">
      <w:pPr>
        <w:jc w:val="center"/>
        <w:rPr>
          <w:rFonts w:asciiTheme="minorHAnsi" w:hAnsiTheme="minorHAnsi" w:cstheme="minorHAnsi"/>
          <w:b/>
          <w:bCs/>
          <w:sz w:val="36"/>
          <w:szCs w:val="36"/>
        </w:rPr>
      </w:pPr>
      <w:r>
        <w:rPr>
          <w:rFonts w:asciiTheme="minorHAnsi" w:hAnsiTheme="minorHAnsi" w:cstheme="minorHAnsi"/>
          <w:b/>
          <w:bCs/>
          <w:sz w:val="36"/>
          <w:szCs w:val="36"/>
        </w:rPr>
        <w:t xml:space="preserve">      </w:t>
      </w:r>
      <w:r w:rsidR="00E57AA7">
        <w:rPr>
          <w:rFonts w:asciiTheme="minorHAnsi" w:hAnsiTheme="minorHAnsi" w:cstheme="minorHAnsi"/>
          <w:b/>
          <w:bCs/>
          <w:sz w:val="36"/>
          <w:szCs w:val="36"/>
        </w:rPr>
        <w:t xml:space="preserve">                    Task 2  -  1068</w:t>
      </w:r>
    </w:p>
    <w:p w14:paraId="7FC2D8D1" w14:textId="77777777" w:rsidR="00E56D1F" w:rsidRDefault="00E56D1F" w:rsidP="00E56D1F">
      <w:pPr>
        <w:jc w:val="center"/>
        <w:rPr>
          <w:rFonts w:asciiTheme="minorHAnsi" w:hAnsiTheme="minorHAnsi" w:cstheme="minorHAnsi"/>
          <w:b/>
          <w:bCs/>
          <w:sz w:val="36"/>
          <w:szCs w:val="36"/>
        </w:rPr>
      </w:pPr>
    </w:p>
    <w:p w14:paraId="60EA98CD" w14:textId="77777777" w:rsidR="00E56D1F" w:rsidRDefault="00E56D1F" w:rsidP="00E56D1F">
      <w:pPr>
        <w:jc w:val="center"/>
        <w:rPr>
          <w:rFonts w:asciiTheme="minorHAnsi" w:hAnsiTheme="minorHAnsi" w:cstheme="minorHAnsi"/>
          <w:b/>
          <w:bCs/>
          <w:sz w:val="36"/>
          <w:szCs w:val="36"/>
        </w:rPr>
      </w:pPr>
    </w:p>
    <w:p w14:paraId="08CF807D" w14:textId="77777777" w:rsidR="00E56D1F" w:rsidRDefault="00E56D1F" w:rsidP="00E56D1F">
      <w:pPr>
        <w:jc w:val="center"/>
        <w:rPr>
          <w:rFonts w:asciiTheme="minorHAnsi" w:hAnsiTheme="minorHAnsi" w:cstheme="minorHAnsi"/>
          <w:b/>
          <w:bCs/>
          <w:sz w:val="36"/>
          <w:szCs w:val="36"/>
        </w:rPr>
      </w:pPr>
    </w:p>
    <w:p w14:paraId="3BEC110D" w14:textId="77777777" w:rsidR="00E56D1F" w:rsidRDefault="00E56D1F" w:rsidP="00E56D1F">
      <w:pPr>
        <w:jc w:val="center"/>
        <w:rPr>
          <w:rFonts w:asciiTheme="minorHAnsi" w:hAnsiTheme="minorHAnsi" w:cstheme="minorHAnsi"/>
          <w:b/>
          <w:bCs/>
          <w:sz w:val="36"/>
          <w:szCs w:val="36"/>
        </w:rPr>
      </w:pPr>
    </w:p>
    <w:p w14:paraId="26185655" w14:textId="4DACE76C" w:rsidR="00E56D1F" w:rsidRPr="00E56D1F" w:rsidRDefault="00E56D1F" w:rsidP="00E56D1F">
      <w:pPr>
        <w:rPr>
          <w:rFonts w:asciiTheme="minorHAnsi" w:hAnsiTheme="minorHAnsi" w:cstheme="minorHAnsi"/>
          <w:b/>
          <w:bCs/>
          <w:sz w:val="28"/>
          <w:szCs w:val="28"/>
        </w:rPr>
      </w:pPr>
      <w:r>
        <w:rPr>
          <w:rFonts w:asciiTheme="minorHAnsi" w:hAnsiTheme="minorHAnsi" w:cstheme="minorHAnsi"/>
          <w:b/>
          <w:bCs/>
          <w:sz w:val="28"/>
          <w:szCs w:val="28"/>
        </w:rPr>
        <w:t>Submission Date: 03 December 2023</w:t>
      </w:r>
    </w:p>
    <w:p w14:paraId="73186C32" w14:textId="5FDB081C" w:rsidR="00DC47B4" w:rsidRDefault="002F05AF" w:rsidP="00CE4D0D">
      <w:pPr>
        <w:rPr>
          <w:rFonts w:asciiTheme="minorHAnsi" w:hAnsiTheme="minorHAnsi" w:cstheme="minorHAnsi"/>
          <w:b/>
          <w:bCs/>
          <w:u w:val="single"/>
        </w:rPr>
      </w:pPr>
      <w:r>
        <w:rPr>
          <w:rFonts w:asciiTheme="minorHAnsi" w:hAnsiTheme="minorHAnsi" w:cstheme="minorHAnsi"/>
          <w:b/>
          <w:bCs/>
          <w:u w:val="single"/>
        </w:rPr>
        <w:lastRenderedPageBreak/>
        <w:t>Introduction</w:t>
      </w:r>
    </w:p>
    <w:p w14:paraId="2CB14827" w14:textId="78B4BDBC" w:rsidR="00CE4D0D" w:rsidRPr="005C453D" w:rsidRDefault="00CE4D0D" w:rsidP="00183E6D">
      <w:pPr>
        <w:spacing w:before="240" w:after="240"/>
        <w:rPr>
          <w:rFonts w:asciiTheme="minorHAnsi" w:hAnsiTheme="minorHAnsi" w:cstheme="minorHAnsi"/>
        </w:rPr>
      </w:pPr>
      <w:r w:rsidRPr="005C453D">
        <w:rPr>
          <w:rFonts w:asciiTheme="minorHAnsi" w:hAnsiTheme="minorHAnsi" w:cstheme="minorHAnsi"/>
        </w:rPr>
        <w:t>This report aims to offer the senior management team a thorough insight into evidence-based practice (EBP) and its significance in enhancing critical thinking and decision-making within the organi</w:t>
      </w:r>
      <w:r w:rsidR="00CF08A0" w:rsidRPr="005C453D">
        <w:rPr>
          <w:rFonts w:asciiTheme="minorHAnsi" w:hAnsiTheme="minorHAnsi" w:cstheme="minorHAnsi"/>
        </w:rPr>
        <w:t>s</w:t>
      </w:r>
      <w:r w:rsidRPr="005C453D">
        <w:rPr>
          <w:rFonts w:asciiTheme="minorHAnsi" w:hAnsiTheme="minorHAnsi" w:cstheme="minorHAnsi"/>
        </w:rPr>
        <w:t xml:space="preserve">ation. </w:t>
      </w:r>
    </w:p>
    <w:p w14:paraId="2829D49D" w14:textId="05DE662D" w:rsidR="00CE4D0D" w:rsidRPr="005C453D" w:rsidRDefault="00CE4D0D" w:rsidP="00183E6D">
      <w:pPr>
        <w:spacing w:before="240" w:after="240"/>
        <w:rPr>
          <w:rFonts w:asciiTheme="minorHAnsi" w:hAnsiTheme="minorHAnsi" w:cstheme="minorHAnsi"/>
          <w:b/>
          <w:bCs/>
        </w:rPr>
      </w:pPr>
      <w:r w:rsidRPr="005C453D">
        <w:rPr>
          <w:rFonts w:asciiTheme="minorHAnsi" w:hAnsiTheme="minorHAnsi" w:cstheme="minorHAnsi"/>
          <w:b/>
          <w:bCs/>
        </w:rPr>
        <w:t>Evidence Based Practice</w:t>
      </w:r>
      <w:r w:rsidR="007A546B" w:rsidRPr="005C453D">
        <w:rPr>
          <w:rFonts w:asciiTheme="minorHAnsi" w:hAnsiTheme="minorHAnsi" w:cstheme="minorHAnsi"/>
          <w:b/>
          <w:bCs/>
        </w:rPr>
        <w:t xml:space="preserve"> (AC 1.1)</w:t>
      </w:r>
    </w:p>
    <w:p w14:paraId="67CE59B5" w14:textId="037C9511" w:rsidR="00CE4D0D" w:rsidRPr="005C453D" w:rsidRDefault="00CE4D0D" w:rsidP="00183E6D">
      <w:pPr>
        <w:spacing w:before="240" w:after="240"/>
        <w:rPr>
          <w:rFonts w:asciiTheme="minorHAnsi" w:hAnsiTheme="minorHAnsi" w:cstheme="minorHAnsi"/>
        </w:rPr>
      </w:pPr>
      <w:r w:rsidRPr="005C453D">
        <w:rPr>
          <w:rFonts w:asciiTheme="minorHAnsi" w:hAnsiTheme="minorHAnsi" w:cstheme="minorHAnsi"/>
        </w:rPr>
        <w:t xml:space="preserve">Evidence Based Practice (EBP) </w:t>
      </w:r>
      <w:r w:rsidR="00E56D6C" w:rsidRPr="005C453D">
        <w:rPr>
          <w:rFonts w:asciiTheme="minorHAnsi" w:hAnsiTheme="minorHAnsi" w:cstheme="minorHAnsi"/>
        </w:rPr>
        <w:t>developed</w:t>
      </w:r>
      <w:r w:rsidRPr="005C453D">
        <w:rPr>
          <w:rFonts w:asciiTheme="minorHAnsi" w:hAnsiTheme="minorHAnsi" w:cstheme="minorHAnsi"/>
        </w:rPr>
        <w:t xml:space="preserve"> to bridge the gap between theory and practice in the nursing discipline (Mackey and </w:t>
      </w:r>
      <w:proofErr w:type="spellStart"/>
      <w:r w:rsidRPr="005C453D">
        <w:rPr>
          <w:rFonts w:asciiTheme="minorHAnsi" w:hAnsiTheme="minorHAnsi" w:cstheme="minorHAnsi"/>
        </w:rPr>
        <w:t>Bassendowski</w:t>
      </w:r>
      <w:proofErr w:type="spellEnd"/>
      <w:r w:rsidRPr="005C453D">
        <w:rPr>
          <w:rFonts w:asciiTheme="minorHAnsi" w:hAnsiTheme="minorHAnsi" w:cstheme="minorHAnsi"/>
        </w:rPr>
        <w:t xml:space="preserve">, 2017). Since the mid-90s, this concept has been slowly adapted by other disciplines such as human resources, psychology, mental health, education, social work, and policing to enhance their practices (Briner, 2017). EBP entails a diligent process of actively seeking and gathering relevant, high-quality evidence (conscientious), rigorously evaluating this evidence to </w:t>
      </w:r>
      <w:r w:rsidR="00363082" w:rsidRPr="005C453D">
        <w:rPr>
          <w:rFonts w:asciiTheme="minorHAnsi" w:hAnsiTheme="minorHAnsi" w:cstheme="minorHAnsi"/>
        </w:rPr>
        <w:t>take</w:t>
      </w:r>
      <w:r w:rsidRPr="005C453D">
        <w:rPr>
          <w:rFonts w:asciiTheme="minorHAnsi" w:hAnsiTheme="minorHAnsi" w:cstheme="minorHAnsi"/>
        </w:rPr>
        <w:t xml:space="preserve"> well-informed assessments (judicious), and explicitly </w:t>
      </w:r>
      <w:r w:rsidR="005E7237" w:rsidRPr="005C453D">
        <w:rPr>
          <w:rFonts w:asciiTheme="minorHAnsi" w:hAnsiTheme="minorHAnsi" w:cstheme="minorHAnsi"/>
        </w:rPr>
        <w:t>stating</w:t>
      </w:r>
      <w:r w:rsidRPr="005C453D">
        <w:rPr>
          <w:rFonts w:asciiTheme="minorHAnsi" w:hAnsiTheme="minorHAnsi" w:cstheme="minorHAnsi"/>
        </w:rPr>
        <w:t xml:space="preserve"> how the evidence was </w:t>
      </w:r>
      <w:r w:rsidR="005E7237" w:rsidRPr="005C453D">
        <w:rPr>
          <w:rFonts w:asciiTheme="minorHAnsi" w:hAnsiTheme="minorHAnsi" w:cstheme="minorHAnsi"/>
        </w:rPr>
        <w:t>used</w:t>
      </w:r>
      <w:r w:rsidRPr="005C453D">
        <w:rPr>
          <w:rFonts w:asciiTheme="minorHAnsi" w:hAnsiTheme="minorHAnsi" w:cstheme="minorHAnsi"/>
        </w:rPr>
        <w:t xml:space="preserve"> </w:t>
      </w:r>
      <w:r w:rsidR="005E7237" w:rsidRPr="005C453D">
        <w:rPr>
          <w:rFonts w:asciiTheme="minorHAnsi" w:hAnsiTheme="minorHAnsi" w:cstheme="minorHAnsi"/>
        </w:rPr>
        <w:t>in making</w:t>
      </w:r>
      <w:r w:rsidRPr="005C453D">
        <w:rPr>
          <w:rFonts w:asciiTheme="minorHAnsi" w:hAnsiTheme="minorHAnsi" w:cstheme="minorHAnsi"/>
        </w:rPr>
        <w:t xml:space="preserve"> decisions (Briner, 201</w:t>
      </w:r>
      <w:r w:rsidR="00A12F3E" w:rsidRPr="005C453D">
        <w:rPr>
          <w:rFonts w:asciiTheme="minorHAnsi" w:hAnsiTheme="minorHAnsi" w:cstheme="minorHAnsi"/>
        </w:rPr>
        <w:t>8</w:t>
      </w:r>
      <w:r w:rsidRPr="005C453D">
        <w:rPr>
          <w:rFonts w:asciiTheme="minorHAnsi" w:hAnsiTheme="minorHAnsi" w:cstheme="minorHAnsi"/>
        </w:rPr>
        <w:t>).</w:t>
      </w:r>
    </w:p>
    <w:p w14:paraId="08F4ABFD" w14:textId="5486614C" w:rsidR="00F3718A" w:rsidRPr="005C453D" w:rsidRDefault="00F3718A" w:rsidP="00183E6D">
      <w:pPr>
        <w:spacing w:before="240" w:after="240"/>
        <w:rPr>
          <w:rFonts w:asciiTheme="minorHAnsi" w:hAnsiTheme="minorHAnsi" w:cstheme="minorHAnsi"/>
        </w:rPr>
      </w:pPr>
      <w:r w:rsidRPr="005C453D">
        <w:rPr>
          <w:rFonts w:asciiTheme="minorHAnsi" w:hAnsiTheme="minorHAnsi" w:cstheme="minorHAnsi"/>
        </w:rPr>
        <w:t xml:space="preserve">Generally, in Human Resource Management (HRM), decisions are often made based on some form of evidence, but the quality of the evidence is frequently overlooked (Briner, 2018). This oversight can result in decisions being made on </w:t>
      </w:r>
      <w:r w:rsidR="00B41753" w:rsidRPr="005C453D">
        <w:rPr>
          <w:rFonts w:asciiTheme="minorHAnsi" w:hAnsiTheme="minorHAnsi" w:cstheme="minorHAnsi"/>
        </w:rPr>
        <w:t>hunches</w:t>
      </w:r>
      <w:r w:rsidR="00566469" w:rsidRPr="005C453D">
        <w:rPr>
          <w:rFonts w:asciiTheme="minorHAnsi" w:hAnsiTheme="minorHAnsi" w:cstheme="minorHAnsi"/>
        </w:rPr>
        <w:t xml:space="preserve">, biases, </w:t>
      </w:r>
      <w:r w:rsidR="004F1AAC" w:rsidRPr="005C453D">
        <w:rPr>
          <w:rFonts w:asciiTheme="minorHAnsi" w:hAnsiTheme="minorHAnsi" w:cstheme="minorHAnsi"/>
        </w:rPr>
        <w:t>heuristics,</w:t>
      </w:r>
      <w:r w:rsidR="00B41753" w:rsidRPr="005C453D">
        <w:rPr>
          <w:rFonts w:asciiTheme="minorHAnsi" w:hAnsiTheme="minorHAnsi" w:cstheme="minorHAnsi"/>
        </w:rPr>
        <w:t xml:space="preserve"> and personal preferences</w:t>
      </w:r>
      <w:r w:rsidRPr="005C453D">
        <w:rPr>
          <w:rFonts w:asciiTheme="minorHAnsi" w:hAnsiTheme="minorHAnsi" w:cstheme="minorHAnsi"/>
        </w:rPr>
        <w:t>, leading to poor outcomes (</w:t>
      </w:r>
      <w:r w:rsidR="00E105F3" w:rsidRPr="005C453D">
        <w:rPr>
          <w:rFonts w:asciiTheme="minorHAnsi" w:hAnsiTheme="minorHAnsi" w:cstheme="minorHAnsi"/>
        </w:rPr>
        <w:t>CIPD, 2023</w:t>
      </w:r>
      <w:r w:rsidR="000F0201" w:rsidRPr="005C453D">
        <w:rPr>
          <w:rFonts w:asciiTheme="minorHAnsi" w:hAnsiTheme="minorHAnsi" w:cstheme="minorHAnsi"/>
        </w:rPr>
        <w:t>b</w:t>
      </w:r>
      <w:r w:rsidR="00E105F3" w:rsidRPr="005C453D">
        <w:rPr>
          <w:rFonts w:asciiTheme="minorHAnsi" w:hAnsiTheme="minorHAnsi" w:cstheme="minorHAnsi"/>
        </w:rPr>
        <w:t xml:space="preserve">; </w:t>
      </w:r>
      <w:r w:rsidRPr="005C453D">
        <w:rPr>
          <w:rFonts w:asciiTheme="minorHAnsi" w:hAnsiTheme="minorHAnsi" w:cstheme="minorHAnsi"/>
        </w:rPr>
        <w:t>Barends and Rousseau, 2018). Incorporating the following four types of evidence</w:t>
      </w:r>
      <w:r w:rsidR="00FB7970" w:rsidRPr="005C453D">
        <w:rPr>
          <w:rFonts w:asciiTheme="minorHAnsi" w:hAnsiTheme="minorHAnsi" w:cstheme="minorHAnsi"/>
        </w:rPr>
        <w:t>,</w:t>
      </w:r>
      <w:r w:rsidR="00E328AA" w:rsidRPr="005C453D">
        <w:rPr>
          <w:rFonts w:asciiTheme="minorHAnsi" w:hAnsiTheme="minorHAnsi" w:cstheme="minorHAnsi"/>
        </w:rPr>
        <w:t xml:space="preserve"> such as</w:t>
      </w:r>
      <w:r w:rsidR="00FB7970" w:rsidRPr="005C453D">
        <w:rPr>
          <w:rFonts w:asciiTheme="minorHAnsi" w:hAnsiTheme="minorHAnsi" w:cstheme="minorHAnsi"/>
        </w:rPr>
        <w:t xml:space="preserve"> </w:t>
      </w:r>
      <w:r w:rsidRPr="005C453D">
        <w:rPr>
          <w:rFonts w:asciiTheme="minorHAnsi" w:hAnsiTheme="minorHAnsi" w:cstheme="minorHAnsi"/>
        </w:rPr>
        <w:t>scientific insights (research findings), organi</w:t>
      </w:r>
      <w:r w:rsidR="00161758" w:rsidRPr="005C453D">
        <w:rPr>
          <w:rFonts w:asciiTheme="minorHAnsi" w:hAnsiTheme="minorHAnsi" w:cstheme="minorHAnsi"/>
        </w:rPr>
        <w:t>s</w:t>
      </w:r>
      <w:r w:rsidRPr="005C453D">
        <w:rPr>
          <w:rFonts w:asciiTheme="minorHAnsi" w:hAnsiTheme="minorHAnsi" w:cstheme="minorHAnsi"/>
        </w:rPr>
        <w:t xml:space="preserve">ational data, practitioner experiences, and stakeholder perspectives in HRM ensures </w:t>
      </w:r>
      <w:r w:rsidR="00161758" w:rsidRPr="005C453D">
        <w:rPr>
          <w:rFonts w:asciiTheme="minorHAnsi" w:hAnsiTheme="minorHAnsi" w:cstheme="minorHAnsi"/>
        </w:rPr>
        <w:t>to follow the</w:t>
      </w:r>
      <w:r w:rsidRPr="005C453D">
        <w:rPr>
          <w:rFonts w:asciiTheme="minorHAnsi" w:hAnsiTheme="minorHAnsi" w:cstheme="minorHAnsi"/>
        </w:rPr>
        <w:t xml:space="preserve"> foundational principles of EBP (Briner, 2018).</w:t>
      </w:r>
    </w:p>
    <w:p w14:paraId="1ACD6F98" w14:textId="23F9D4A2" w:rsidR="00CE4D0D" w:rsidRPr="005C453D" w:rsidRDefault="00CE4D0D" w:rsidP="00183E6D">
      <w:pPr>
        <w:spacing w:before="240" w:after="240"/>
        <w:rPr>
          <w:rFonts w:asciiTheme="minorHAnsi" w:hAnsiTheme="minorHAnsi" w:cstheme="minorHAnsi"/>
        </w:rPr>
      </w:pPr>
      <w:r w:rsidRPr="005C453D">
        <w:rPr>
          <w:rFonts w:asciiTheme="minorHAnsi" w:hAnsiTheme="minorHAnsi" w:cstheme="minorHAnsi"/>
        </w:rPr>
        <w:t>EBP forces the HR professionals to explore two fundamental questions effectively</w:t>
      </w:r>
      <w:r w:rsidR="00D9157E" w:rsidRPr="005C453D">
        <w:rPr>
          <w:rFonts w:asciiTheme="minorHAnsi" w:hAnsiTheme="minorHAnsi" w:cstheme="minorHAnsi"/>
        </w:rPr>
        <w:t>;</w:t>
      </w:r>
      <w:r w:rsidRPr="005C453D">
        <w:rPr>
          <w:rFonts w:asciiTheme="minorHAnsi" w:hAnsiTheme="minorHAnsi" w:cstheme="minorHAnsi"/>
        </w:rPr>
        <w:t xml:space="preserve"> what are the important problems for the organi</w:t>
      </w:r>
      <w:r w:rsidR="00220966" w:rsidRPr="005C453D">
        <w:rPr>
          <w:rFonts w:asciiTheme="minorHAnsi" w:hAnsiTheme="minorHAnsi" w:cstheme="minorHAnsi"/>
        </w:rPr>
        <w:t>s</w:t>
      </w:r>
      <w:r w:rsidRPr="005C453D">
        <w:rPr>
          <w:rFonts w:asciiTheme="minorHAnsi" w:hAnsiTheme="minorHAnsi" w:cstheme="minorHAnsi"/>
        </w:rPr>
        <w:t xml:space="preserve">ation and which solutions or interventions are likely to help (Briner, 2013). In response to that, HR professionals critically evaluate the evidence and make </w:t>
      </w:r>
      <w:r w:rsidR="00316309" w:rsidRPr="005C453D">
        <w:rPr>
          <w:rFonts w:asciiTheme="minorHAnsi" w:hAnsiTheme="minorHAnsi" w:cstheme="minorHAnsi"/>
        </w:rPr>
        <w:t>good</w:t>
      </w:r>
      <w:r w:rsidRPr="005C453D">
        <w:rPr>
          <w:rFonts w:asciiTheme="minorHAnsi" w:hAnsiTheme="minorHAnsi" w:cstheme="minorHAnsi"/>
        </w:rPr>
        <w:t xml:space="preserve"> decisions. In addition, it enables professionals to develop new knowledge and understanding based on reliable sources, allowing them to make ethically sound decisions for a given issue (Claes et al., 2015).</w:t>
      </w:r>
    </w:p>
    <w:p w14:paraId="563EE752" w14:textId="0C8949E3" w:rsidR="00CE4D0D" w:rsidRPr="005C453D" w:rsidRDefault="00CE4D0D" w:rsidP="00183E6D">
      <w:pPr>
        <w:spacing w:before="240" w:after="240"/>
        <w:rPr>
          <w:rFonts w:asciiTheme="minorHAnsi" w:hAnsiTheme="minorHAnsi" w:cstheme="minorHAnsi"/>
        </w:rPr>
      </w:pPr>
      <w:r w:rsidRPr="005C453D">
        <w:rPr>
          <w:rFonts w:asciiTheme="minorHAnsi" w:hAnsiTheme="minorHAnsi" w:cstheme="minorHAnsi"/>
        </w:rPr>
        <w:t xml:space="preserve">There are several EBP models used in the organisational domain, one of them is evidence-based </w:t>
      </w:r>
      <w:r w:rsidR="00531A44" w:rsidRPr="005C453D">
        <w:rPr>
          <w:rFonts w:asciiTheme="minorHAnsi" w:hAnsiTheme="minorHAnsi" w:cstheme="minorHAnsi"/>
        </w:rPr>
        <w:t>decision making proposed by CIPD (2023</w:t>
      </w:r>
      <w:r w:rsidR="00AA3C11" w:rsidRPr="005C453D">
        <w:rPr>
          <w:rFonts w:asciiTheme="minorHAnsi" w:hAnsiTheme="minorHAnsi" w:cstheme="minorHAnsi"/>
        </w:rPr>
        <w:t>c</w:t>
      </w:r>
      <w:r w:rsidR="00531A44" w:rsidRPr="005C453D">
        <w:rPr>
          <w:rFonts w:asciiTheme="minorHAnsi" w:hAnsiTheme="minorHAnsi" w:cstheme="minorHAnsi"/>
        </w:rPr>
        <w:t>)</w:t>
      </w:r>
      <w:r w:rsidRPr="005C453D">
        <w:rPr>
          <w:rFonts w:asciiTheme="minorHAnsi" w:hAnsiTheme="minorHAnsi" w:cstheme="minorHAnsi"/>
        </w:rPr>
        <w:t xml:space="preserve">. </w:t>
      </w:r>
      <w:r w:rsidR="00FA478E" w:rsidRPr="005C453D">
        <w:rPr>
          <w:rFonts w:asciiTheme="minorHAnsi" w:hAnsiTheme="minorHAnsi" w:cstheme="minorHAnsi"/>
        </w:rPr>
        <w:t>This model</w:t>
      </w:r>
      <w:r w:rsidR="00D55C21" w:rsidRPr="005C453D">
        <w:rPr>
          <w:rFonts w:asciiTheme="minorHAnsi" w:hAnsiTheme="minorHAnsi" w:cstheme="minorHAnsi"/>
        </w:rPr>
        <w:t xml:space="preserve"> follows</w:t>
      </w:r>
      <w:r w:rsidR="00962A7D" w:rsidRPr="005C453D">
        <w:rPr>
          <w:rFonts w:asciiTheme="minorHAnsi" w:hAnsiTheme="minorHAnsi" w:cstheme="minorHAnsi"/>
        </w:rPr>
        <w:t xml:space="preserve"> </w:t>
      </w:r>
      <w:r w:rsidR="00AF6FA5" w:rsidRPr="005C453D">
        <w:rPr>
          <w:rFonts w:asciiTheme="minorHAnsi" w:hAnsiTheme="minorHAnsi" w:cstheme="minorHAnsi"/>
        </w:rPr>
        <w:t xml:space="preserve">A </w:t>
      </w:r>
      <w:r w:rsidRPr="005C453D">
        <w:rPr>
          <w:rFonts w:asciiTheme="minorHAnsi" w:hAnsiTheme="minorHAnsi" w:cstheme="minorHAnsi"/>
        </w:rPr>
        <w:t>systematic six-step approach</w:t>
      </w:r>
      <w:r w:rsidR="008C69AB" w:rsidRPr="005C453D">
        <w:rPr>
          <w:rFonts w:asciiTheme="minorHAnsi" w:hAnsiTheme="minorHAnsi" w:cstheme="minorHAnsi"/>
        </w:rPr>
        <w:t xml:space="preserve"> for making decisions effectively</w:t>
      </w:r>
      <w:r w:rsidR="003B7C83" w:rsidRPr="005C453D">
        <w:rPr>
          <w:rFonts w:asciiTheme="minorHAnsi" w:hAnsiTheme="minorHAnsi" w:cstheme="minorHAnsi"/>
        </w:rPr>
        <w:t>. They are,</w:t>
      </w:r>
      <w:r w:rsidRPr="005C453D">
        <w:rPr>
          <w:rFonts w:asciiTheme="minorHAnsi" w:hAnsiTheme="minorHAnsi" w:cstheme="minorHAnsi"/>
        </w:rPr>
        <w:t xml:space="preserve"> identifying an issue, conducting a </w:t>
      </w:r>
      <w:r w:rsidRPr="005C453D">
        <w:rPr>
          <w:rFonts w:asciiTheme="minorHAnsi" w:hAnsiTheme="minorHAnsi" w:cstheme="minorHAnsi"/>
        </w:rPr>
        <w:lastRenderedPageBreak/>
        <w:t>thorough search for evidence from various sources, critically evaluating its relevance and reliability, synthesi</w:t>
      </w:r>
      <w:r w:rsidR="00161C97" w:rsidRPr="005C453D">
        <w:rPr>
          <w:rFonts w:asciiTheme="minorHAnsi" w:hAnsiTheme="minorHAnsi" w:cstheme="minorHAnsi"/>
        </w:rPr>
        <w:t>s</w:t>
      </w:r>
      <w:r w:rsidRPr="005C453D">
        <w:rPr>
          <w:rFonts w:asciiTheme="minorHAnsi" w:hAnsiTheme="minorHAnsi" w:cstheme="minorHAnsi"/>
        </w:rPr>
        <w:t>ing the evidence collaboratively, integrating it into the decision-making process, and ultimately assessing the outcomes to enhance the probability of a positive result</w:t>
      </w:r>
      <w:r w:rsidR="00AF6FA5" w:rsidRPr="005C453D">
        <w:rPr>
          <w:rFonts w:asciiTheme="minorHAnsi" w:hAnsiTheme="minorHAnsi" w:cstheme="minorHAnsi"/>
        </w:rPr>
        <w:t>.</w:t>
      </w:r>
      <w:r w:rsidRPr="005C453D">
        <w:rPr>
          <w:rFonts w:asciiTheme="minorHAnsi" w:hAnsiTheme="minorHAnsi" w:cstheme="minorHAnsi"/>
        </w:rPr>
        <w:t xml:space="preserve"> For example, research used to shed light and propose ways in attracting the right candidates to the right </w:t>
      </w:r>
      <w:r w:rsidR="00B2540B" w:rsidRPr="005C453D">
        <w:rPr>
          <w:rFonts w:asciiTheme="minorHAnsi" w:hAnsiTheme="minorHAnsi" w:cstheme="minorHAnsi"/>
        </w:rPr>
        <w:t>jobs and</w:t>
      </w:r>
      <w:r w:rsidRPr="005C453D">
        <w:rPr>
          <w:rFonts w:asciiTheme="minorHAnsi" w:hAnsiTheme="minorHAnsi" w:cstheme="minorHAnsi"/>
        </w:rPr>
        <w:t xml:space="preserve"> offer helpful suggestions to HR professionals to overcome biases and errors of judgement (CIPD, 2015).</w:t>
      </w:r>
    </w:p>
    <w:p w14:paraId="71A8446F" w14:textId="76D25196" w:rsidR="00CE4D0D" w:rsidRPr="005C453D" w:rsidRDefault="00CE4D0D" w:rsidP="00183E6D">
      <w:pPr>
        <w:spacing w:before="240" w:after="240"/>
        <w:rPr>
          <w:rFonts w:asciiTheme="minorHAnsi" w:hAnsiTheme="minorHAnsi" w:cstheme="minorHAnsi"/>
        </w:rPr>
      </w:pPr>
      <w:r w:rsidRPr="005C453D">
        <w:rPr>
          <w:rFonts w:asciiTheme="minorHAnsi" w:hAnsiTheme="minorHAnsi" w:cstheme="minorHAnsi"/>
        </w:rPr>
        <w:t>However, there are barriers to evidence-based management, such as a lack of trained management practitioners in organi</w:t>
      </w:r>
      <w:r w:rsidR="004E3017" w:rsidRPr="005C453D">
        <w:rPr>
          <w:rFonts w:asciiTheme="minorHAnsi" w:hAnsiTheme="minorHAnsi" w:cstheme="minorHAnsi"/>
        </w:rPr>
        <w:t>s</w:t>
      </w:r>
      <w:r w:rsidRPr="005C453D">
        <w:rPr>
          <w:rFonts w:asciiTheme="minorHAnsi" w:hAnsiTheme="minorHAnsi" w:cstheme="minorHAnsi"/>
        </w:rPr>
        <w:t>ations to critically evaluate the trustworthiness and relevance of the available evidence. Moreover, obtaining crucial organi</w:t>
      </w:r>
      <w:r w:rsidR="006B4429" w:rsidRPr="005C453D">
        <w:rPr>
          <w:rFonts w:asciiTheme="minorHAnsi" w:hAnsiTheme="minorHAnsi" w:cstheme="minorHAnsi"/>
        </w:rPr>
        <w:t>s</w:t>
      </w:r>
      <w:r w:rsidRPr="005C453D">
        <w:rPr>
          <w:rFonts w:asciiTheme="minorHAnsi" w:hAnsiTheme="minorHAnsi" w:cstheme="minorHAnsi"/>
        </w:rPr>
        <w:t>ational information might be challenging, and the existing evidence may lack quality (Barends and Rousseau, 2018). Although scientific evidence, such as research findings, may inform about current practices and trends, at times it may be incomprehensible or irrelevant for organi</w:t>
      </w:r>
      <w:r w:rsidR="006B4429" w:rsidRPr="005C453D">
        <w:rPr>
          <w:rFonts w:asciiTheme="minorHAnsi" w:hAnsiTheme="minorHAnsi" w:cstheme="minorHAnsi"/>
        </w:rPr>
        <w:t>s</w:t>
      </w:r>
      <w:r w:rsidRPr="005C453D">
        <w:rPr>
          <w:rFonts w:asciiTheme="minorHAnsi" w:hAnsiTheme="minorHAnsi" w:cstheme="minorHAnsi"/>
        </w:rPr>
        <w:t xml:space="preserve">ations. For example, </w:t>
      </w:r>
      <w:r w:rsidR="00FF3EC6" w:rsidRPr="005C453D">
        <w:rPr>
          <w:rFonts w:asciiTheme="minorHAnsi" w:hAnsiTheme="minorHAnsi" w:cstheme="minorHAnsi"/>
        </w:rPr>
        <w:t xml:space="preserve">modern day </w:t>
      </w:r>
      <w:r w:rsidRPr="005C453D">
        <w:rPr>
          <w:rFonts w:asciiTheme="minorHAnsi" w:hAnsiTheme="minorHAnsi" w:cstheme="minorHAnsi"/>
        </w:rPr>
        <w:t xml:space="preserve">organisations </w:t>
      </w:r>
      <w:r w:rsidR="00B73755" w:rsidRPr="005C453D">
        <w:rPr>
          <w:rFonts w:asciiTheme="minorHAnsi" w:hAnsiTheme="minorHAnsi" w:cstheme="minorHAnsi"/>
        </w:rPr>
        <w:t xml:space="preserve">are </w:t>
      </w:r>
      <w:r w:rsidR="00D7327E" w:rsidRPr="005C453D">
        <w:rPr>
          <w:rFonts w:asciiTheme="minorHAnsi" w:hAnsiTheme="minorHAnsi" w:cstheme="minorHAnsi"/>
        </w:rPr>
        <w:t>managing</w:t>
      </w:r>
      <w:r w:rsidR="00B73755" w:rsidRPr="005C453D">
        <w:rPr>
          <w:rFonts w:asciiTheme="minorHAnsi" w:hAnsiTheme="minorHAnsi" w:cstheme="minorHAnsi"/>
        </w:rPr>
        <w:t xml:space="preserve"> a diverse workforce</w:t>
      </w:r>
      <w:r w:rsidR="001D25BA" w:rsidRPr="005C453D">
        <w:rPr>
          <w:rFonts w:asciiTheme="minorHAnsi" w:hAnsiTheme="minorHAnsi" w:cstheme="minorHAnsi"/>
        </w:rPr>
        <w:t xml:space="preserve">, hence, interesting </w:t>
      </w:r>
      <w:r w:rsidR="00FC3124" w:rsidRPr="005C453D">
        <w:rPr>
          <w:rFonts w:asciiTheme="minorHAnsi" w:hAnsiTheme="minorHAnsi" w:cstheme="minorHAnsi"/>
        </w:rPr>
        <w:t>in creating</w:t>
      </w:r>
      <w:r w:rsidR="00A66B66" w:rsidRPr="005C453D">
        <w:rPr>
          <w:rFonts w:asciiTheme="minorHAnsi" w:hAnsiTheme="minorHAnsi" w:cstheme="minorHAnsi"/>
        </w:rPr>
        <w:t xml:space="preserve"> a </w:t>
      </w:r>
      <w:r w:rsidRPr="005C453D">
        <w:rPr>
          <w:rFonts w:asciiTheme="minorHAnsi" w:hAnsiTheme="minorHAnsi" w:cstheme="minorHAnsi"/>
        </w:rPr>
        <w:t>psychological</w:t>
      </w:r>
      <w:r w:rsidR="00A66B66" w:rsidRPr="005C453D">
        <w:rPr>
          <w:rFonts w:asciiTheme="minorHAnsi" w:hAnsiTheme="minorHAnsi" w:cstheme="minorHAnsi"/>
        </w:rPr>
        <w:t xml:space="preserve">ly </w:t>
      </w:r>
      <w:r w:rsidRPr="005C453D">
        <w:rPr>
          <w:rFonts w:asciiTheme="minorHAnsi" w:hAnsiTheme="minorHAnsi" w:cstheme="minorHAnsi"/>
        </w:rPr>
        <w:t>safe</w:t>
      </w:r>
      <w:r w:rsidR="00A66B66" w:rsidRPr="005C453D">
        <w:rPr>
          <w:rFonts w:asciiTheme="minorHAnsi" w:hAnsiTheme="minorHAnsi" w:cstheme="minorHAnsi"/>
        </w:rPr>
        <w:t xml:space="preserve"> workplace </w:t>
      </w:r>
      <w:r w:rsidR="001D25BA" w:rsidRPr="005C453D">
        <w:rPr>
          <w:rFonts w:asciiTheme="minorHAnsi" w:hAnsiTheme="minorHAnsi" w:cstheme="minorHAnsi"/>
        </w:rPr>
        <w:t>for them</w:t>
      </w:r>
      <w:r w:rsidR="00D7327E" w:rsidRPr="005C453D">
        <w:rPr>
          <w:rFonts w:asciiTheme="minorHAnsi" w:hAnsiTheme="minorHAnsi" w:cstheme="minorHAnsi"/>
        </w:rPr>
        <w:t xml:space="preserve"> (Opara et al., 2020)</w:t>
      </w:r>
      <w:r w:rsidR="00A66B66" w:rsidRPr="005C453D">
        <w:rPr>
          <w:rFonts w:asciiTheme="minorHAnsi" w:hAnsiTheme="minorHAnsi" w:cstheme="minorHAnsi"/>
        </w:rPr>
        <w:t xml:space="preserve">. </w:t>
      </w:r>
      <w:r w:rsidRPr="005C453D">
        <w:rPr>
          <w:rFonts w:asciiTheme="minorHAnsi" w:hAnsiTheme="minorHAnsi" w:cstheme="minorHAnsi"/>
        </w:rPr>
        <w:t>Although, there is plenty of research findings available</w:t>
      </w:r>
      <w:r w:rsidR="006156EF" w:rsidRPr="005C453D">
        <w:rPr>
          <w:rFonts w:asciiTheme="minorHAnsi" w:hAnsiTheme="minorHAnsi" w:cstheme="minorHAnsi"/>
        </w:rPr>
        <w:t xml:space="preserve"> on psychological safety</w:t>
      </w:r>
      <w:r w:rsidRPr="005C453D">
        <w:rPr>
          <w:rFonts w:asciiTheme="minorHAnsi" w:hAnsiTheme="minorHAnsi" w:cstheme="minorHAnsi"/>
        </w:rPr>
        <w:t xml:space="preserve">, </w:t>
      </w:r>
      <w:r w:rsidR="0008680D" w:rsidRPr="005C453D">
        <w:rPr>
          <w:rFonts w:asciiTheme="minorHAnsi" w:hAnsiTheme="minorHAnsi" w:cstheme="minorHAnsi"/>
        </w:rPr>
        <w:t>they seldom focus</w:t>
      </w:r>
      <w:r w:rsidRPr="005C453D">
        <w:rPr>
          <w:rFonts w:asciiTheme="minorHAnsi" w:hAnsiTheme="minorHAnsi" w:cstheme="minorHAnsi"/>
        </w:rPr>
        <w:t xml:space="preserve"> on minority groups</w:t>
      </w:r>
      <w:r w:rsidR="006156EF" w:rsidRPr="005C453D">
        <w:rPr>
          <w:rFonts w:asciiTheme="minorHAnsi" w:hAnsiTheme="minorHAnsi" w:cstheme="minorHAnsi"/>
        </w:rPr>
        <w:t xml:space="preserve">’ psychological safety in </w:t>
      </w:r>
      <w:r w:rsidR="0035607A" w:rsidRPr="005C453D">
        <w:rPr>
          <w:rFonts w:asciiTheme="minorHAnsi" w:hAnsiTheme="minorHAnsi" w:cstheme="minorHAnsi"/>
        </w:rPr>
        <w:t xml:space="preserve">their </w:t>
      </w:r>
      <w:r w:rsidR="006156EF" w:rsidRPr="005C453D">
        <w:rPr>
          <w:rFonts w:asciiTheme="minorHAnsi" w:hAnsiTheme="minorHAnsi" w:cstheme="minorHAnsi"/>
        </w:rPr>
        <w:t>workplace</w:t>
      </w:r>
      <w:r w:rsidR="0035607A" w:rsidRPr="005C453D">
        <w:rPr>
          <w:rFonts w:asciiTheme="minorHAnsi" w:hAnsiTheme="minorHAnsi" w:cstheme="minorHAnsi"/>
        </w:rPr>
        <w:t>s</w:t>
      </w:r>
      <w:r w:rsidRPr="005C453D">
        <w:rPr>
          <w:rFonts w:asciiTheme="minorHAnsi" w:hAnsiTheme="minorHAnsi" w:cstheme="minorHAnsi"/>
        </w:rPr>
        <w:t xml:space="preserve"> (Opara et al., 2020). Hence, </w:t>
      </w:r>
      <w:r w:rsidR="00931E6F" w:rsidRPr="005C453D">
        <w:rPr>
          <w:rFonts w:asciiTheme="minorHAnsi" w:hAnsiTheme="minorHAnsi" w:cstheme="minorHAnsi"/>
        </w:rPr>
        <w:t>research findings</w:t>
      </w:r>
      <w:r w:rsidRPr="005C453D">
        <w:rPr>
          <w:rFonts w:asciiTheme="minorHAnsi" w:hAnsiTheme="minorHAnsi" w:cstheme="minorHAnsi"/>
        </w:rPr>
        <w:t xml:space="preserve"> only offer an incomplete solution </w:t>
      </w:r>
      <w:r w:rsidR="00931E6F" w:rsidRPr="005C453D">
        <w:rPr>
          <w:rFonts w:asciiTheme="minorHAnsi" w:hAnsiTheme="minorHAnsi" w:cstheme="minorHAnsi"/>
        </w:rPr>
        <w:t xml:space="preserve">to the organisations </w:t>
      </w:r>
      <w:r w:rsidRPr="005C453D">
        <w:rPr>
          <w:rFonts w:asciiTheme="minorHAnsi" w:hAnsiTheme="minorHAnsi" w:cstheme="minorHAnsi"/>
        </w:rPr>
        <w:t>for facilitating a psychologically safe workplac</w:t>
      </w:r>
      <w:r w:rsidR="00B61C6E" w:rsidRPr="005C453D">
        <w:rPr>
          <w:rFonts w:asciiTheme="minorHAnsi" w:hAnsiTheme="minorHAnsi" w:cstheme="minorHAnsi"/>
        </w:rPr>
        <w:t>e</w:t>
      </w:r>
      <w:r w:rsidRPr="005C453D">
        <w:rPr>
          <w:rFonts w:asciiTheme="minorHAnsi" w:hAnsiTheme="minorHAnsi" w:cstheme="minorHAnsi"/>
        </w:rPr>
        <w:t>.</w:t>
      </w:r>
    </w:p>
    <w:p w14:paraId="1EC7B6DD" w14:textId="32CFA5F8" w:rsidR="007B16CA" w:rsidRPr="005C453D" w:rsidRDefault="007B16CA" w:rsidP="00183E6D">
      <w:pPr>
        <w:spacing w:before="240" w:after="240"/>
        <w:rPr>
          <w:rFonts w:asciiTheme="minorHAnsi" w:hAnsiTheme="minorHAnsi" w:cstheme="minorHAnsi"/>
          <w:b/>
          <w:bCs/>
          <w:u w:val="single"/>
        </w:rPr>
      </w:pPr>
      <w:r w:rsidRPr="005C453D">
        <w:rPr>
          <w:rFonts w:asciiTheme="minorHAnsi" w:hAnsiTheme="minorHAnsi" w:cstheme="minorHAnsi"/>
          <w:b/>
          <w:bCs/>
          <w:u w:val="single"/>
        </w:rPr>
        <w:t>Analysis tool and Analysis Method</w:t>
      </w:r>
      <w:r w:rsidR="007A546B" w:rsidRPr="005C453D">
        <w:rPr>
          <w:rFonts w:asciiTheme="minorHAnsi" w:hAnsiTheme="minorHAnsi" w:cstheme="minorHAnsi"/>
          <w:b/>
          <w:bCs/>
          <w:u w:val="single"/>
        </w:rPr>
        <w:t xml:space="preserve"> (AC1.2)</w:t>
      </w:r>
    </w:p>
    <w:p w14:paraId="50A774E9" w14:textId="77777777" w:rsidR="0073031E" w:rsidRPr="005C453D" w:rsidRDefault="0073031E" w:rsidP="00183E6D">
      <w:pPr>
        <w:spacing w:before="240" w:after="240"/>
        <w:rPr>
          <w:rFonts w:asciiTheme="minorHAnsi" w:hAnsiTheme="minorHAnsi" w:cstheme="minorHAnsi"/>
          <w:u w:val="single"/>
        </w:rPr>
      </w:pPr>
      <w:r w:rsidRPr="005C453D">
        <w:rPr>
          <w:rFonts w:asciiTheme="minorHAnsi" w:hAnsiTheme="minorHAnsi" w:cstheme="minorHAnsi"/>
          <w:u w:val="single"/>
        </w:rPr>
        <w:t>PESTLE Analysis</w:t>
      </w:r>
    </w:p>
    <w:p w14:paraId="433CE590" w14:textId="0108B259" w:rsidR="0073031E" w:rsidRPr="005C453D" w:rsidRDefault="0073031E" w:rsidP="00183E6D">
      <w:pPr>
        <w:spacing w:before="240" w:after="240"/>
        <w:rPr>
          <w:rFonts w:asciiTheme="minorHAnsi" w:hAnsiTheme="minorHAnsi" w:cstheme="minorHAnsi"/>
        </w:rPr>
      </w:pPr>
      <w:r w:rsidRPr="005C453D">
        <w:rPr>
          <w:rFonts w:asciiTheme="minorHAnsi" w:hAnsiTheme="minorHAnsi" w:cstheme="minorHAnsi"/>
        </w:rPr>
        <w:t xml:space="preserve">PESTLE analysis is a management tool that stands for Political, Economic, Social, Technological, Legal, and Environmental factors. </w:t>
      </w:r>
      <w:r w:rsidR="00660128" w:rsidRPr="005C453D">
        <w:rPr>
          <w:rFonts w:asciiTheme="minorHAnsi" w:hAnsiTheme="minorHAnsi" w:cstheme="minorHAnsi"/>
        </w:rPr>
        <w:t>This analysis</w:t>
      </w:r>
      <w:r w:rsidRPr="005C453D">
        <w:rPr>
          <w:rFonts w:asciiTheme="minorHAnsi" w:hAnsiTheme="minorHAnsi" w:cstheme="minorHAnsi"/>
        </w:rPr>
        <w:t xml:space="preserve"> helps organi</w:t>
      </w:r>
      <w:r w:rsidR="00145957" w:rsidRPr="005C453D">
        <w:rPr>
          <w:rFonts w:asciiTheme="minorHAnsi" w:hAnsiTheme="minorHAnsi" w:cstheme="minorHAnsi"/>
        </w:rPr>
        <w:t>s</w:t>
      </w:r>
      <w:r w:rsidRPr="005C453D">
        <w:rPr>
          <w:rFonts w:asciiTheme="minorHAnsi" w:hAnsiTheme="minorHAnsi" w:cstheme="minorHAnsi"/>
        </w:rPr>
        <w:t xml:space="preserve">ations </w:t>
      </w:r>
      <w:r w:rsidR="00145957" w:rsidRPr="005C453D">
        <w:rPr>
          <w:rFonts w:asciiTheme="minorHAnsi" w:hAnsiTheme="minorHAnsi" w:cstheme="minorHAnsi"/>
        </w:rPr>
        <w:t xml:space="preserve">to </w:t>
      </w:r>
      <w:r w:rsidRPr="005C453D">
        <w:rPr>
          <w:rFonts w:asciiTheme="minorHAnsi" w:hAnsiTheme="minorHAnsi" w:cstheme="minorHAnsi"/>
        </w:rPr>
        <w:t>understand the factors outside the organi</w:t>
      </w:r>
      <w:r w:rsidR="00145957" w:rsidRPr="005C453D">
        <w:rPr>
          <w:rFonts w:asciiTheme="minorHAnsi" w:hAnsiTheme="minorHAnsi" w:cstheme="minorHAnsi"/>
        </w:rPr>
        <w:t>s</w:t>
      </w:r>
      <w:r w:rsidRPr="005C453D">
        <w:rPr>
          <w:rFonts w:asciiTheme="minorHAnsi" w:hAnsiTheme="minorHAnsi" w:cstheme="minorHAnsi"/>
        </w:rPr>
        <w:t>ational environment (Buye, 2021)</w:t>
      </w:r>
      <w:r w:rsidR="009326F5" w:rsidRPr="005C453D">
        <w:rPr>
          <w:rFonts w:asciiTheme="minorHAnsi" w:hAnsiTheme="minorHAnsi" w:cstheme="minorHAnsi"/>
        </w:rPr>
        <w:t xml:space="preserve">; </w:t>
      </w:r>
      <w:r w:rsidRPr="005C453D">
        <w:rPr>
          <w:rFonts w:asciiTheme="minorHAnsi" w:hAnsiTheme="minorHAnsi" w:cstheme="minorHAnsi"/>
        </w:rPr>
        <w:t>enables them to evaluate the key factors that affect the business directly and indirectly (</w:t>
      </w:r>
      <w:r w:rsidR="00DF4E9B" w:rsidRPr="005C453D">
        <w:rPr>
          <w:rFonts w:asciiTheme="minorHAnsi" w:hAnsiTheme="minorHAnsi" w:cstheme="minorHAnsi"/>
        </w:rPr>
        <w:t>CIPD</w:t>
      </w:r>
      <w:r w:rsidRPr="005C453D">
        <w:rPr>
          <w:rFonts w:asciiTheme="minorHAnsi" w:hAnsiTheme="minorHAnsi" w:cstheme="minorHAnsi"/>
        </w:rPr>
        <w:t>, 20</w:t>
      </w:r>
      <w:r w:rsidR="00DF4E9B" w:rsidRPr="005C453D">
        <w:rPr>
          <w:rFonts w:asciiTheme="minorHAnsi" w:hAnsiTheme="minorHAnsi" w:cstheme="minorHAnsi"/>
        </w:rPr>
        <w:t>23</w:t>
      </w:r>
      <w:r w:rsidR="00771D52" w:rsidRPr="005C453D">
        <w:rPr>
          <w:rFonts w:asciiTheme="minorHAnsi" w:hAnsiTheme="minorHAnsi" w:cstheme="minorHAnsi"/>
        </w:rPr>
        <w:t>a</w:t>
      </w:r>
      <w:r w:rsidRPr="005C453D">
        <w:rPr>
          <w:rFonts w:asciiTheme="minorHAnsi" w:hAnsiTheme="minorHAnsi" w:cstheme="minorHAnsi"/>
        </w:rPr>
        <w:t xml:space="preserve">) and deal with them effectively. For example, when PESTLE </w:t>
      </w:r>
      <w:r w:rsidR="001C6D8D" w:rsidRPr="005C453D">
        <w:rPr>
          <w:rFonts w:asciiTheme="minorHAnsi" w:hAnsiTheme="minorHAnsi" w:cstheme="minorHAnsi"/>
        </w:rPr>
        <w:t xml:space="preserve">analysis </w:t>
      </w:r>
      <w:r w:rsidRPr="005C453D">
        <w:rPr>
          <w:rFonts w:asciiTheme="minorHAnsi" w:hAnsiTheme="minorHAnsi" w:cstheme="minorHAnsi"/>
        </w:rPr>
        <w:t xml:space="preserve">is used in business planning, </w:t>
      </w:r>
      <w:r w:rsidR="001C6D8D" w:rsidRPr="005C453D">
        <w:rPr>
          <w:rFonts w:asciiTheme="minorHAnsi" w:hAnsiTheme="minorHAnsi" w:cstheme="minorHAnsi"/>
        </w:rPr>
        <w:t>the outcome</w:t>
      </w:r>
      <w:r w:rsidRPr="005C453D">
        <w:rPr>
          <w:rFonts w:asciiTheme="minorHAnsi" w:hAnsiTheme="minorHAnsi" w:cstheme="minorHAnsi"/>
        </w:rPr>
        <w:t xml:space="preserve"> </w:t>
      </w:r>
      <w:r w:rsidR="008E55E7" w:rsidRPr="005C453D">
        <w:rPr>
          <w:rFonts w:asciiTheme="minorHAnsi" w:hAnsiTheme="minorHAnsi" w:cstheme="minorHAnsi"/>
        </w:rPr>
        <w:t xml:space="preserve">informs </w:t>
      </w:r>
      <w:r w:rsidR="00580363" w:rsidRPr="005C453D">
        <w:rPr>
          <w:rFonts w:asciiTheme="minorHAnsi" w:hAnsiTheme="minorHAnsi" w:cstheme="minorHAnsi"/>
        </w:rPr>
        <w:t>the</w:t>
      </w:r>
      <w:r w:rsidR="00C10383" w:rsidRPr="005C453D">
        <w:rPr>
          <w:rFonts w:asciiTheme="minorHAnsi" w:hAnsiTheme="minorHAnsi" w:cstheme="minorHAnsi"/>
        </w:rPr>
        <w:t xml:space="preserve"> direction,</w:t>
      </w:r>
      <w:r w:rsidRPr="005C453D">
        <w:rPr>
          <w:rFonts w:asciiTheme="minorHAnsi" w:hAnsiTheme="minorHAnsi" w:cstheme="minorHAnsi"/>
        </w:rPr>
        <w:t xml:space="preserve"> growth targets, and risks</w:t>
      </w:r>
      <w:r w:rsidR="00C10383" w:rsidRPr="005C453D">
        <w:rPr>
          <w:rFonts w:asciiTheme="minorHAnsi" w:hAnsiTheme="minorHAnsi" w:cstheme="minorHAnsi"/>
        </w:rPr>
        <w:t xml:space="preserve"> of the business</w:t>
      </w:r>
      <w:r w:rsidRPr="005C453D">
        <w:rPr>
          <w:rFonts w:asciiTheme="minorHAnsi" w:hAnsiTheme="minorHAnsi" w:cstheme="minorHAnsi"/>
        </w:rPr>
        <w:t xml:space="preserve"> (CIPD</w:t>
      </w:r>
      <w:r w:rsidR="00552BCF" w:rsidRPr="005C453D">
        <w:rPr>
          <w:rFonts w:asciiTheme="minorHAnsi" w:hAnsiTheme="minorHAnsi" w:cstheme="minorHAnsi"/>
        </w:rPr>
        <w:t>, 2023</w:t>
      </w:r>
      <w:r w:rsidR="005D2315" w:rsidRPr="005C453D">
        <w:rPr>
          <w:rFonts w:asciiTheme="minorHAnsi" w:hAnsiTheme="minorHAnsi" w:cstheme="minorHAnsi"/>
        </w:rPr>
        <w:t>a</w:t>
      </w:r>
      <w:r w:rsidRPr="005C453D">
        <w:rPr>
          <w:rFonts w:asciiTheme="minorHAnsi" w:hAnsiTheme="minorHAnsi" w:cstheme="minorHAnsi"/>
        </w:rPr>
        <w:t xml:space="preserve">), so that they can plan solutions by identifying and understanding long-term trends. </w:t>
      </w:r>
      <w:r w:rsidR="000D25E1" w:rsidRPr="005C453D">
        <w:rPr>
          <w:rFonts w:asciiTheme="minorHAnsi" w:hAnsiTheme="minorHAnsi" w:cstheme="minorHAnsi"/>
        </w:rPr>
        <w:t>PESTLE</w:t>
      </w:r>
      <w:r w:rsidRPr="005C453D">
        <w:rPr>
          <w:rFonts w:asciiTheme="minorHAnsi" w:hAnsiTheme="minorHAnsi" w:cstheme="minorHAnsi"/>
        </w:rPr>
        <w:t xml:space="preserve"> is used in a range of organi</w:t>
      </w:r>
      <w:r w:rsidR="00A65346" w:rsidRPr="005C453D">
        <w:rPr>
          <w:rFonts w:asciiTheme="minorHAnsi" w:hAnsiTheme="minorHAnsi" w:cstheme="minorHAnsi"/>
        </w:rPr>
        <w:t>s</w:t>
      </w:r>
      <w:r w:rsidRPr="005C453D">
        <w:rPr>
          <w:rFonts w:asciiTheme="minorHAnsi" w:hAnsiTheme="minorHAnsi" w:cstheme="minorHAnsi"/>
        </w:rPr>
        <w:t>ational domains such as organi</w:t>
      </w:r>
      <w:r w:rsidR="00A65346" w:rsidRPr="005C453D">
        <w:rPr>
          <w:rFonts w:asciiTheme="minorHAnsi" w:hAnsiTheme="minorHAnsi" w:cstheme="minorHAnsi"/>
        </w:rPr>
        <w:t>s</w:t>
      </w:r>
      <w:r w:rsidRPr="005C453D">
        <w:rPr>
          <w:rFonts w:asciiTheme="minorHAnsi" w:hAnsiTheme="minorHAnsi" w:cstheme="minorHAnsi"/>
        </w:rPr>
        <w:t>ational change, people strategies, workforce planning, etc. (CIPD</w:t>
      </w:r>
      <w:r w:rsidR="00913B98" w:rsidRPr="005C453D">
        <w:rPr>
          <w:rFonts w:asciiTheme="minorHAnsi" w:hAnsiTheme="minorHAnsi" w:cstheme="minorHAnsi"/>
        </w:rPr>
        <w:t>, 2023a</w:t>
      </w:r>
      <w:r w:rsidRPr="005C453D">
        <w:rPr>
          <w:rFonts w:asciiTheme="minorHAnsi" w:hAnsiTheme="minorHAnsi" w:cstheme="minorHAnsi"/>
        </w:rPr>
        <w:t>). Although it provides a simple framework to use, which may have the risk of oversimplifying the data.</w:t>
      </w:r>
    </w:p>
    <w:p w14:paraId="123FAAC5" w14:textId="77777777" w:rsidR="0073031E" w:rsidRPr="005C453D" w:rsidRDefault="0073031E" w:rsidP="00183E6D">
      <w:pPr>
        <w:spacing w:before="240" w:after="240"/>
        <w:rPr>
          <w:rFonts w:asciiTheme="minorHAnsi" w:hAnsiTheme="minorHAnsi" w:cstheme="minorHAnsi"/>
          <w:u w:val="single"/>
        </w:rPr>
      </w:pPr>
      <w:r w:rsidRPr="005C453D">
        <w:rPr>
          <w:rFonts w:asciiTheme="minorHAnsi" w:hAnsiTheme="minorHAnsi" w:cstheme="minorHAnsi"/>
          <w:u w:val="single"/>
        </w:rPr>
        <w:lastRenderedPageBreak/>
        <w:t>Interviews</w:t>
      </w:r>
    </w:p>
    <w:p w14:paraId="2E3F2929" w14:textId="50AE5959" w:rsidR="001A6FD8" w:rsidRPr="005C453D" w:rsidRDefault="0073031E" w:rsidP="00183E6D">
      <w:pPr>
        <w:spacing w:before="240" w:after="240"/>
        <w:rPr>
          <w:rFonts w:asciiTheme="minorHAnsi" w:hAnsiTheme="minorHAnsi" w:cstheme="minorHAnsi"/>
        </w:rPr>
      </w:pPr>
      <w:r w:rsidRPr="005C453D">
        <w:rPr>
          <w:rFonts w:asciiTheme="minorHAnsi" w:hAnsiTheme="minorHAnsi" w:cstheme="minorHAnsi"/>
        </w:rPr>
        <w:t>There are a range of analysis methods used in organi</w:t>
      </w:r>
      <w:r w:rsidR="000568C8" w:rsidRPr="005C453D">
        <w:rPr>
          <w:rFonts w:asciiTheme="minorHAnsi" w:hAnsiTheme="minorHAnsi" w:cstheme="minorHAnsi"/>
        </w:rPr>
        <w:t>s</w:t>
      </w:r>
      <w:r w:rsidRPr="005C453D">
        <w:rPr>
          <w:rFonts w:asciiTheme="minorHAnsi" w:hAnsiTheme="minorHAnsi" w:cstheme="minorHAnsi"/>
        </w:rPr>
        <w:t>ations such as interviews, observations, job analysis, surveys, focus groups, etc. (</w:t>
      </w:r>
      <w:r w:rsidR="00CF2C0B" w:rsidRPr="005C453D">
        <w:rPr>
          <w:rFonts w:asciiTheme="minorHAnsi" w:hAnsiTheme="minorHAnsi" w:cstheme="minorHAnsi"/>
        </w:rPr>
        <w:t xml:space="preserve">Taylor et al., </w:t>
      </w:r>
      <w:r w:rsidR="00996937" w:rsidRPr="005C453D">
        <w:rPr>
          <w:rFonts w:asciiTheme="minorHAnsi" w:hAnsiTheme="minorHAnsi" w:cstheme="minorHAnsi"/>
        </w:rPr>
        <w:t>2022</w:t>
      </w:r>
      <w:r w:rsidRPr="005C453D">
        <w:rPr>
          <w:rFonts w:asciiTheme="minorHAnsi" w:hAnsiTheme="minorHAnsi" w:cstheme="minorHAnsi"/>
        </w:rPr>
        <w:t xml:space="preserve">). Different methods offer different advantages </w:t>
      </w:r>
      <w:r w:rsidR="007B32E8" w:rsidRPr="005C453D">
        <w:rPr>
          <w:rFonts w:asciiTheme="minorHAnsi" w:hAnsiTheme="minorHAnsi" w:cstheme="minorHAnsi"/>
        </w:rPr>
        <w:t>and have</w:t>
      </w:r>
      <w:r w:rsidRPr="005C453D">
        <w:rPr>
          <w:rFonts w:asciiTheme="minorHAnsi" w:hAnsiTheme="minorHAnsi" w:cstheme="minorHAnsi"/>
        </w:rPr>
        <w:t xml:space="preserve"> limitations. For example, interviews are widely used as a method for gathering data </w:t>
      </w:r>
      <w:r w:rsidR="00996937" w:rsidRPr="005C453D">
        <w:rPr>
          <w:rFonts w:asciiTheme="minorHAnsi" w:hAnsiTheme="minorHAnsi" w:cstheme="minorHAnsi"/>
        </w:rPr>
        <w:t>(Taylor et al., 2022)</w:t>
      </w:r>
      <w:r w:rsidRPr="005C453D">
        <w:rPr>
          <w:rFonts w:asciiTheme="minorHAnsi" w:hAnsiTheme="minorHAnsi" w:cstheme="minorHAnsi"/>
        </w:rPr>
        <w:t xml:space="preserve">. This method is useful when the researcher needs to explore experiences, views, and motivations of individuals on specific issues (Gill et al., 2008). </w:t>
      </w:r>
      <w:r w:rsidR="00D82DC2" w:rsidRPr="005C453D">
        <w:rPr>
          <w:rFonts w:asciiTheme="minorHAnsi" w:hAnsiTheme="minorHAnsi" w:cstheme="minorHAnsi"/>
        </w:rPr>
        <w:t>The data generated via this method helps the</w:t>
      </w:r>
      <w:r w:rsidRPr="005C453D">
        <w:rPr>
          <w:rFonts w:asciiTheme="minorHAnsi" w:hAnsiTheme="minorHAnsi" w:cstheme="minorHAnsi"/>
        </w:rPr>
        <w:t xml:space="preserve"> organi</w:t>
      </w:r>
      <w:r w:rsidR="00F25B1B" w:rsidRPr="005C453D">
        <w:rPr>
          <w:rFonts w:asciiTheme="minorHAnsi" w:hAnsiTheme="minorHAnsi" w:cstheme="minorHAnsi"/>
        </w:rPr>
        <w:t>s</w:t>
      </w:r>
      <w:r w:rsidRPr="005C453D">
        <w:rPr>
          <w:rFonts w:asciiTheme="minorHAnsi" w:hAnsiTheme="minorHAnsi" w:cstheme="minorHAnsi"/>
        </w:rPr>
        <w:t>ation</w:t>
      </w:r>
      <w:r w:rsidR="00D82DC2" w:rsidRPr="005C453D">
        <w:rPr>
          <w:rFonts w:asciiTheme="minorHAnsi" w:hAnsiTheme="minorHAnsi" w:cstheme="minorHAnsi"/>
        </w:rPr>
        <w:t>s</w:t>
      </w:r>
      <w:r w:rsidRPr="005C453D">
        <w:rPr>
          <w:rFonts w:asciiTheme="minorHAnsi" w:hAnsiTheme="minorHAnsi" w:cstheme="minorHAnsi"/>
        </w:rPr>
        <w:t xml:space="preserve"> to understand and capture broad perspectives on issues such as organi</w:t>
      </w:r>
      <w:r w:rsidR="00947607" w:rsidRPr="005C453D">
        <w:rPr>
          <w:rFonts w:asciiTheme="minorHAnsi" w:hAnsiTheme="minorHAnsi" w:cstheme="minorHAnsi"/>
        </w:rPr>
        <w:t>s</w:t>
      </w:r>
      <w:r w:rsidRPr="005C453D">
        <w:rPr>
          <w:rFonts w:asciiTheme="minorHAnsi" w:hAnsiTheme="minorHAnsi" w:cstheme="minorHAnsi"/>
        </w:rPr>
        <w:t xml:space="preserve">ational culture, psychological contract, employee engagement, etc. </w:t>
      </w:r>
      <w:r w:rsidR="00861AB0" w:rsidRPr="005C453D">
        <w:rPr>
          <w:rFonts w:asciiTheme="minorHAnsi" w:hAnsiTheme="minorHAnsi" w:cstheme="minorHAnsi"/>
        </w:rPr>
        <w:t>(Taylor et al., 2022)</w:t>
      </w:r>
      <w:r w:rsidRPr="005C453D">
        <w:rPr>
          <w:rFonts w:asciiTheme="minorHAnsi" w:hAnsiTheme="minorHAnsi" w:cstheme="minorHAnsi"/>
        </w:rPr>
        <w:t xml:space="preserve">. </w:t>
      </w:r>
      <w:r w:rsidR="00F324C5" w:rsidRPr="005C453D">
        <w:rPr>
          <w:rFonts w:asciiTheme="minorHAnsi" w:hAnsiTheme="minorHAnsi" w:cstheme="minorHAnsi"/>
        </w:rPr>
        <w:t xml:space="preserve">However, this method </w:t>
      </w:r>
      <w:r w:rsidRPr="005C453D">
        <w:rPr>
          <w:rFonts w:asciiTheme="minorHAnsi" w:hAnsiTheme="minorHAnsi" w:cstheme="minorHAnsi"/>
        </w:rPr>
        <w:t>may be time</w:t>
      </w:r>
      <w:r w:rsidR="00947607" w:rsidRPr="005C453D">
        <w:rPr>
          <w:rFonts w:asciiTheme="minorHAnsi" w:hAnsiTheme="minorHAnsi" w:cstheme="minorHAnsi"/>
        </w:rPr>
        <w:t xml:space="preserve"> </w:t>
      </w:r>
      <w:r w:rsidRPr="005C453D">
        <w:rPr>
          <w:rFonts w:asciiTheme="minorHAnsi" w:hAnsiTheme="minorHAnsi" w:cstheme="minorHAnsi"/>
        </w:rPr>
        <w:t>consuming. Moreover, it may be susceptible to participant subjectivity and social desirability bias</w:t>
      </w:r>
      <w:r w:rsidR="00F91F69" w:rsidRPr="005C453D">
        <w:rPr>
          <w:rFonts w:asciiTheme="minorHAnsi" w:hAnsiTheme="minorHAnsi" w:cstheme="minorHAnsi"/>
        </w:rPr>
        <w:t xml:space="preserve">. </w:t>
      </w:r>
      <w:r w:rsidR="00DB43B6" w:rsidRPr="005C453D">
        <w:rPr>
          <w:rFonts w:asciiTheme="minorHAnsi" w:hAnsiTheme="minorHAnsi" w:cstheme="minorHAnsi"/>
        </w:rPr>
        <w:t>Equally</w:t>
      </w:r>
      <w:r w:rsidR="00D26D16" w:rsidRPr="005C453D">
        <w:rPr>
          <w:rFonts w:asciiTheme="minorHAnsi" w:hAnsiTheme="minorHAnsi" w:cstheme="minorHAnsi"/>
        </w:rPr>
        <w:t xml:space="preserve">, </w:t>
      </w:r>
      <w:r w:rsidR="00DB43B6" w:rsidRPr="005C453D">
        <w:rPr>
          <w:rFonts w:asciiTheme="minorHAnsi" w:hAnsiTheme="minorHAnsi" w:cstheme="minorHAnsi"/>
        </w:rPr>
        <w:t xml:space="preserve">it </w:t>
      </w:r>
      <w:r w:rsidR="00D26D16" w:rsidRPr="005C453D">
        <w:rPr>
          <w:rFonts w:asciiTheme="minorHAnsi" w:hAnsiTheme="minorHAnsi" w:cstheme="minorHAnsi"/>
        </w:rPr>
        <w:t>has</w:t>
      </w:r>
      <w:r w:rsidRPr="005C453D">
        <w:rPr>
          <w:rFonts w:asciiTheme="minorHAnsi" w:hAnsiTheme="minorHAnsi" w:cstheme="minorHAnsi"/>
        </w:rPr>
        <w:t xml:space="preserve"> limited generali</w:t>
      </w:r>
      <w:r w:rsidR="00947607" w:rsidRPr="005C453D">
        <w:rPr>
          <w:rFonts w:asciiTheme="minorHAnsi" w:hAnsiTheme="minorHAnsi" w:cstheme="minorHAnsi"/>
        </w:rPr>
        <w:t>s</w:t>
      </w:r>
      <w:r w:rsidRPr="005C453D">
        <w:rPr>
          <w:rFonts w:asciiTheme="minorHAnsi" w:hAnsiTheme="minorHAnsi" w:cstheme="minorHAnsi"/>
        </w:rPr>
        <w:t>ability due to the small sample size in comparison to surveys (</w:t>
      </w:r>
      <w:r w:rsidR="00A27039" w:rsidRPr="005C453D">
        <w:rPr>
          <w:rFonts w:asciiTheme="minorHAnsi" w:hAnsiTheme="minorHAnsi" w:cstheme="minorHAnsi"/>
        </w:rPr>
        <w:t>Taylor et al., 2022)</w:t>
      </w:r>
      <w:r w:rsidRPr="005C453D">
        <w:rPr>
          <w:rFonts w:asciiTheme="minorHAnsi" w:hAnsiTheme="minorHAnsi" w:cstheme="minorHAnsi"/>
        </w:rPr>
        <w:t>. However, the HR professionals need to evaluate the needs</w:t>
      </w:r>
      <w:r w:rsidR="008257E5" w:rsidRPr="005C453D">
        <w:rPr>
          <w:rFonts w:asciiTheme="minorHAnsi" w:hAnsiTheme="minorHAnsi" w:cstheme="minorHAnsi"/>
        </w:rPr>
        <w:t xml:space="preserve"> and t</w:t>
      </w:r>
      <w:r w:rsidRPr="005C453D">
        <w:rPr>
          <w:rFonts w:asciiTheme="minorHAnsi" w:hAnsiTheme="minorHAnsi" w:cstheme="minorHAnsi"/>
        </w:rPr>
        <w:t>he benefits of using a method over the time commitment and decide which method to use.</w:t>
      </w:r>
    </w:p>
    <w:p w14:paraId="2A7EB8CB" w14:textId="7A128294" w:rsidR="000906C9" w:rsidRPr="005C453D" w:rsidRDefault="004A6919" w:rsidP="00183E6D">
      <w:pPr>
        <w:spacing w:before="240" w:after="240"/>
        <w:rPr>
          <w:rFonts w:asciiTheme="minorHAnsi" w:hAnsiTheme="minorHAnsi" w:cstheme="minorHAnsi"/>
          <w:b/>
          <w:bCs/>
          <w:u w:val="single"/>
        </w:rPr>
      </w:pPr>
      <w:r w:rsidRPr="005C453D">
        <w:rPr>
          <w:rFonts w:asciiTheme="minorHAnsi" w:hAnsiTheme="minorHAnsi" w:cstheme="minorHAnsi"/>
          <w:b/>
          <w:bCs/>
          <w:u w:val="single"/>
        </w:rPr>
        <w:t>Critical Thinking</w:t>
      </w:r>
      <w:r w:rsidR="0073031E" w:rsidRPr="005C453D">
        <w:rPr>
          <w:rFonts w:asciiTheme="minorHAnsi" w:hAnsiTheme="minorHAnsi" w:cstheme="minorHAnsi"/>
          <w:b/>
          <w:bCs/>
          <w:u w:val="single"/>
        </w:rPr>
        <w:t xml:space="preserve"> (AC 1.3)</w:t>
      </w:r>
    </w:p>
    <w:p w14:paraId="76A4B55D" w14:textId="1BAB0872" w:rsidR="00EC1319" w:rsidRPr="005C453D" w:rsidRDefault="00EC1319" w:rsidP="00183E6D">
      <w:pPr>
        <w:spacing w:before="240" w:after="240"/>
        <w:rPr>
          <w:rFonts w:asciiTheme="minorHAnsi" w:hAnsiTheme="minorHAnsi" w:cstheme="minorHAnsi"/>
        </w:rPr>
      </w:pPr>
      <w:r w:rsidRPr="005C453D">
        <w:rPr>
          <w:rFonts w:asciiTheme="minorHAnsi" w:hAnsiTheme="minorHAnsi" w:cstheme="minorHAnsi"/>
        </w:rPr>
        <w:t>Critical thinking is generally based on the following principles</w:t>
      </w:r>
      <w:r w:rsidR="008257E5" w:rsidRPr="005C453D">
        <w:rPr>
          <w:rFonts w:asciiTheme="minorHAnsi" w:hAnsiTheme="minorHAnsi" w:cstheme="minorHAnsi"/>
        </w:rPr>
        <w:t>, they are</w:t>
      </w:r>
      <w:r w:rsidRPr="005C453D">
        <w:rPr>
          <w:rFonts w:asciiTheme="minorHAnsi" w:hAnsiTheme="minorHAnsi" w:cstheme="minorHAnsi"/>
        </w:rPr>
        <w:t xml:space="preserve"> clarity, accuracy, precision, relevance, depth, breadth, logic, significance, and fairness (Paul and Elder, 2009). In the critical thinking process, the</w:t>
      </w:r>
      <w:r w:rsidR="009B54D7" w:rsidRPr="005C453D">
        <w:rPr>
          <w:rFonts w:asciiTheme="minorHAnsi" w:hAnsiTheme="minorHAnsi" w:cstheme="minorHAnsi"/>
        </w:rPr>
        <w:t xml:space="preserve"> above-mentioned</w:t>
      </w:r>
      <w:r w:rsidRPr="005C453D">
        <w:rPr>
          <w:rFonts w:asciiTheme="minorHAnsi" w:hAnsiTheme="minorHAnsi" w:cstheme="minorHAnsi"/>
        </w:rPr>
        <w:t xml:space="preserve"> standards are applied to maintain receptivity while listening, carefully observing, and identifying gaps in the information presented. This process enables the critical thinker to thoughtfully question one's own and others' ideas, distinguishing between facts and assumptions (Howlett and Coburn, 2019), and learning to identify and st</w:t>
      </w:r>
      <w:r w:rsidR="00333D95" w:rsidRPr="005C453D">
        <w:rPr>
          <w:rFonts w:asciiTheme="minorHAnsi" w:hAnsiTheme="minorHAnsi" w:cstheme="minorHAnsi"/>
        </w:rPr>
        <w:t>ay</w:t>
      </w:r>
      <w:r w:rsidRPr="005C453D">
        <w:rPr>
          <w:rFonts w:asciiTheme="minorHAnsi" w:hAnsiTheme="minorHAnsi" w:cstheme="minorHAnsi"/>
        </w:rPr>
        <w:t xml:space="preserve"> clear of one's own and others' biases (</w:t>
      </w:r>
      <w:proofErr w:type="spellStart"/>
      <w:r w:rsidRPr="005C453D">
        <w:rPr>
          <w:rFonts w:asciiTheme="minorHAnsi" w:hAnsiTheme="minorHAnsi" w:cstheme="minorHAnsi"/>
        </w:rPr>
        <w:t>Kivunja</w:t>
      </w:r>
      <w:proofErr w:type="spellEnd"/>
      <w:r w:rsidRPr="005C453D">
        <w:rPr>
          <w:rFonts w:asciiTheme="minorHAnsi" w:hAnsiTheme="minorHAnsi" w:cstheme="minorHAnsi"/>
        </w:rPr>
        <w:t>, 2015).</w:t>
      </w:r>
    </w:p>
    <w:p w14:paraId="27CEA261" w14:textId="193DA675" w:rsidR="00EC1319" w:rsidRPr="005C453D" w:rsidRDefault="00EC1319" w:rsidP="00183E6D">
      <w:pPr>
        <w:spacing w:before="240" w:after="240"/>
        <w:rPr>
          <w:rFonts w:asciiTheme="minorHAnsi" w:hAnsiTheme="minorHAnsi" w:cstheme="minorHAnsi"/>
        </w:rPr>
      </w:pPr>
      <w:r w:rsidRPr="005C453D">
        <w:rPr>
          <w:rFonts w:asciiTheme="minorHAnsi" w:hAnsiTheme="minorHAnsi" w:cstheme="minorHAnsi"/>
        </w:rPr>
        <w:t>Critical thinking is crucial in human resource management as it provides numerous benefits, including effective decision-making, problem-solving, innovative solutions, strategic planning, conflict resolution, and talent acquisition (</w:t>
      </w:r>
      <w:proofErr w:type="spellStart"/>
      <w:r w:rsidRPr="005C453D">
        <w:rPr>
          <w:rFonts w:asciiTheme="minorHAnsi" w:hAnsiTheme="minorHAnsi" w:cstheme="minorHAnsi"/>
        </w:rPr>
        <w:t>Kivunja</w:t>
      </w:r>
      <w:proofErr w:type="spellEnd"/>
      <w:r w:rsidRPr="005C453D">
        <w:rPr>
          <w:rFonts w:asciiTheme="minorHAnsi" w:hAnsiTheme="minorHAnsi" w:cstheme="minorHAnsi"/>
        </w:rPr>
        <w:t>, 2015). HR professionals in people management roles need to make effective decisions daily. Honing critical thinking skills enhances their capacity to think effectively and impartially when assessing their thoughts, viewpoints, and arguments, enabling them to make better decisions (</w:t>
      </w:r>
      <w:r w:rsidR="00F95257" w:rsidRPr="005C453D">
        <w:rPr>
          <w:rFonts w:asciiTheme="minorHAnsi" w:hAnsiTheme="minorHAnsi" w:cstheme="minorHAnsi"/>
        </w:rPr>
        <w:t>CIPD,</w:t>
      </w:r>
      <w:r w:rsidRPr="005C453D">
        <w:rPr>
          <w:rFonts w:asciiTheme="minorHAnsi" w:hAnsiTheme="minorHAnsi" w:cstheme="minorHAnsi"/>
        </w:rPr>
        <w:t xml:space="preserve"> 2019</w:t>
      </w:r>
      <w:r w:rsidR="005E05BE" w:rsidRPr="005C453D">
        <w:rPr>
          <w:rFonts w:asciiTheme="minorHAnsi" w:hAnsiTheme="minorHAnsi" w:cstheme="minorHAnsi"/>
        </w:rPr>
        <w:t>b</w:t>
      </w:r>
      <w:r w:rsidRPr="005C453D">
        <w:rPr>
          <w:rFonts w:asciiTheme="minorHAnsi" w:hAnsiTheme="minorHAnsi" w:cstheme="minorHAnsi"/>
        </w:rPr>
        <w:t>).</w:t>
      </w:r>
    </w:p>
    <w:p w14:paraId="05F89202" w14:textId="506999F7" w:rsidR="00EC1319" w:rsidRPr="005C453D" w:rsidRDefault="00EC1319" w:rsidP="00183E6D">
      <w:pPr>
        <w:spacing w:before="240" w:after="240"/>
        <w:rPr>
          <w:rFonts w:asciiTheme="minorHAnsi" w:hAnsiTheme="minorHAnsi" w:cstheme="minorHAnsi"/>
        </w:rPr>
      </w:pPr>
      <w:r w:rsidRPr="005C453D">
        <w:rPr>
          <w:rFonts w:asciiTheme="minorHAnsi" w:hAnsiTheme="minorHAnsi" w:cstheme="minorHAnsi"/>
        </w:rPr>
        <w:lastRenderedPageBreak/>
        <w:t>Critical thinking offers insights into proposed ideas, theories, and concepts. It allows the thinker to question oppressive ideologies, liberate novel ideas, and align them with current issues (Lee, 2012). For instance, when critical thinking is employed in the context of continuous learning, organi</w:t>
      </w:r>
      <w:r w:rsidR="003450F7" w:rsidRPr="005C453D">
        <w:rPr>
          <w:rFonts w:asciiTheme="minorHAnsi" w:hAnsiTheme="minorHAnsi" w:cstheme="minorHAnsi"/>
        </w:rPr>
        <w:t>s</w:t>
      </w:r>
      <w:r w:rsidRPr="005C453D">
        <w:rPr>
          <w:rFonts w:asciiTheme="minorHAnsi" w:hAnsiTheme="minorHAnsi" w:cstheme="minorHAnsi"/>
        </w:rPr>
        <w:t xml:space="preserve">ations are more likely to embrace new information and adapt a vital </w:t>
      </w:r>
      <w:r w:rsidR="006B6669" w:rsidRPr="005C453D">
        <w:rPr>
          <w:rFonts w:asciiTheme="minorHAnsi" w:hAnsiTheme="minorHAnsi" w:cstheme="minorHAnsi"/>
        </w:rPr>
        <w:t>approach</w:t>
      </w:r>
      <w:r w:rsidRPr="005C453D">
        <w:rPr>
          <w:rFonts w:asciiTheme="minorHAnsi" w:hAnsiTheme="minorHAnsi" w:cstheme="minorHAnsi"/>
        </w:rPr>
        <w:t xml:space="preserve"> for staying well-informed about knowledge and industry trends in the dynamic field of human resources (Elliott and Turnbull, 2004).</w:t>
      </w:r>
    </w:p>
    <w:p w14:paraId="23776866" w14:textId="1B56607C" w:rsidR="008F18AE" w:rsidRPr="005C453D" w:rsidRDefault="00684C75" w:rsidP="00183E6D">
      <w:pPr>
        <w:spacing w:before="240" w:after="240"/>
        <w:rPr>
          <w:rFonts w:asciiTheme="minorHAnsi" w:hAnsiTheme="minorHAnsi" w:cstheme="minorHAnsi"/>
          <w:b/>
          <w:bCs/>
          <w:u w:val="single"/>
        </w:rPr>
      </w:pPr>
      <w:r w:rsidRPr="005C453D">
        <w:rPr>
          <w:rFonts w:asciiTheme="minorHAnsi" w:hAnsiTheme="minorHAnsi" w:cstheme="minorHAnsi"/>
          <w:b/>
          <w:bCs/>
          <w:u w:val="single"/>
        </w:rPr>
        <w:t>Decision making processes</w:t>
      </w:r>
      <w:r w:rsidR="00571248" w:rsidRPr="005C453D">
        <w:rPr>
          <w:rFonts w:asciiTheme="minorHAnsi" w:hAnsiTheme="minorHAnsi" w:cstheme="minorHAnsi"/>
          <w:b/>
          <w:bCs/>
          <w:u w:val="single"/>
        </w:rPr>
        <w:t xml:space="preserve"> </w:t>
      </w:r>
      <w:r w:rsidR="00F60EE3" w:rsidRPr="005C453D">
        <w:rPr>
          <w:rFonts w:asciiTheme="minorHAnsi" w:hAnsiTheme="minorHAnsi" w:cstheme="minorHAnsi"/>
          <w:b/>
          <w:bCs/>
          <w:u w:val="single"/>
        </w:rPr>
        <w:t>(AC 1.4)</w:t>
      </w:r>
    </w:p>
    <w:p w14:paraId="240628C9" w14:textId="77777777" w:rsidR="00D844E5" w:rsidRPr="005C453D" w:rsidRDefault="00D844E5"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 xml:space="preserve">De Bon’s six thinking hats model </w:t>
      </w:r>
    </w:p>
    <w:p w14:paraId="1B576849" w14:textId="77777777" w:rsidR="00D844E5" w:rsidRPr="005C453D" w:rsidRDefault="00D844E5" w:rsidP="00183E6D">
      <w:pPr>
        <w:shd w:val="clear" w:color="auto" w:fill="FFFFFF"/>
        <w:spacing w:before="240" w:after="240"/>
        <w:rPr>
          <w:rFonts w:asciiTheme="minorHAnsi" w:hAnsiTheme="minorHAnsi" w:cstheme="minorHAnsi"/>
        </w:rPr>
      </w:pPr>
      <w:r w:rsidRPr="005C453D">
        <w:rPr>
          <w:rFonts w:asciiTheme="minorHAnsi" w:hAnsiTheme="minorHAnsi" w:cstheme="minorHAnsi"/>
        </w:rPr>
        <w:t>De Bono proposes a simple and effective model called six thinking hats to overcome emotions, helplessness, and confusion which were posed as a barrier for practical thinking (</w:t>
      </w:r>
      <w:proofErr w:type="spellStart"/>
      <w:r w:rsidRPr="005C453D">
        <w:rPr>
          <w:rFonts w:asciiTheme="minorHAnsi" w:hAnsiTheme="minorHAnsi" w:cstheme="minorHAnsi"/>
        </w:rPr>
        <w:t>Kivunja</w:t>
      </w:r>
      <w:proofErr w:type="spellEnd"/>
      <w:r w:rsidRPr="005C453D">
        <w:rPr>
          <w:rFonts w:asciiTheme="minorHAnsi" w:hAnsiTheme="minorHAnsi" w:cstheme="minorHAnsi"/>
        </w:rPr>
        <w:t>, 2015).</w:t>
      </w:r>
    </w:p>
    <w:p w14:paraId="03487404" w14:textId="33322E1E" w:rsidR="00D844E5" w:rsidRPr="005C453D" w:rsidRDefault="00D844E5"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The metaphor of the six thinking hats symboli</w:t>
      </w:r>
      <w:r w:rsidR="00F60EE3" w:rsidRPr="005C453D">
        <w:rPr>
          <w:rFonts w:asciiTheme="minorHAnsi" w:hAnsiTheme="minorHAnsi" w:cstheme="minorHAnsi"/>
        </w:rPr>
        <w:t>s</w:t>
      </w:r>
      <w:r w:rsidRPr="005C453D">
        <w:rPr>
          <w:rFonts w:asciiTheme="minorHAnsi" w:hAnsiTheme="minorHAnsi" w:cstheme="minorHAnsi"/>
        </w:rPr>
        <w:t>es six distinct cognitive strategies for critically thinking about and analysing an issue or problem to come for a suitable resolution. In this metaphor, the hats are colo</w:t>
      </w:r>
      <w:r w:rsidR="00CF08A0" w:rsidRPr="005C453D">
        <w:rPr>
          <w:rFonts w:asciiTheme="minorHAnsi" w:hAnsiTheme="minorHAnsi" w:cstheme="minorHAnsi"/>
        </w:rPr>
        <w:t>u</w:t>
      </w:r>
      <w:r w:rsidRPr="005C453D">
        <w:rPr>
          <w:rFonts w:asciiTheme="minorHAnsi" w:hAnsiTheme="minorHAnsi" w:cstheme="minorHAnsi"/>
        </w:rPr>
        <w:t>r-coded as Black, Blue, Green, Red, White, and Yellow</w:t>
      </w:r>
      <w:r w:rsidR="00117A4C" w:rsidRPr="005C453D">
        <w:rPr>
          <w:rFonts w:asciiTheme="minorHAnsi" w:hAnsiTheme="minorHAnsi" w:cstheme="minorHAnsi"/>
        </w:rPr>
        <w:t>. E</w:t>
      </w:r>
      <w:r w:rsidRPr="005C453D">
        <w:rPr>
          <w:rFonts w:asciiTheme="minorHAnsi" w:hAnsiTheme="minorHAnsi" w:cstheme="minorHAnsi"/>
        </w:rPr>
        <w:t>ach representing a unique logical and philosophical approach to the critical examination and solution of a problem. The Black hat emphasi</w:t>
      </w:r>
      <w:r w:rsidR="00117A4C" w:rsidRPr="005C453D">
        <w:rPr>
          <w:rFonts w:asciiTheme="minorHAnsi" w:hAnsiTheme="minorHAnsi" w:cstheme="minorHAnsi"/>
        </w:rPr>
        <w:t>s</w:t>
      </w:r>
      <w:r w:rsidRPr="005C453D">
        <w:rPr>
          <w:rFonts w:asciiTheme="minorHAnsi" w:hAnsiTheme="minorHAnsi" w:cstheme="minorHAnsi"/>
        </w:rPr>
        <w:t>es careful critical thinking</w:t>
      </w:r>
      <w:r w:rsidR="00607A3A" w:rsidRPr="005C453D">
        <w:rPr>
          <w:rFonts w:asciiTheme="minorHAnsi" w:hAnsiTheme="minorHAnsi" w:cstheme="minorHAnsi"/>
        </w:rPr>
        <w:t xml:space="preserve"> </w:t>
      </w:r>
      <w:r w:rsidRPr="005C453D">
        <w:rPr>
          <w:rFonts w:asciiTheme="minorHAnsi" w:hAnsiTheme="minorHAnsi" w:cstheme="minorHAnsi"/>
        </w:rPr>
        <w:t>and examining alternative approaches to the presented problem. The Blue hat involves organi</w:t>
      </w:r>
      <w:r w:rsidR="00523DD0" w:rsidRPr="005C453D">
        <w:rPr>
          <w:rFonts w:asciiTheme="minorHAnsi" w:hAnsiTheme="minorHAnsi" w:cstheme="minorHAnsi"/>
        </w:rPr>
        <w:t>s</w:t>
      </w:r>
      <w:r w:rsidRPr="005C453D">
        <w:rPr>
          <w:rFonts w:asciiTheme="minorHAnsi" w:hAnsiTheme="minorHAnsi" w:cstheme="minorHAnsi"/>
        </w:rPr>
        <w:t xml:space="preserve">ational critical thinking to address the issue, while the green hat explores creative methods and generates ideas for solving the problem. The Red hat </w:t>
      </w:r>
      <w:r w:rsidR="00523DD0" w:rsidRPr="005C453D">
        <w:rPr>
          <w:rFonts w:asciiTheme="minorHAnsi" w:hAnsiTheme="minorHAnsi" w:cstheme="minorHAnsi"/>
        </w:rPr>
        <w:t>focuses</w:t>
      </w:r>
      <w:r w:rsidRPr="005C453D">
        <w:rPr>
          <w:rFonts w:asciiTheme="minorHAnsi" w:hAnsiTheme="minorHAnsi" w:cstheme="minorHAnsi"/>
        </w:rPr>
        <w:t xml:space="preserve"> on the personal emotions of stakeholders related to the issue. White hat thinking aims to gather information that </w:t>
      </w:r>
      <w:r w:rsidR="00523DD0" w:rsidRPr="005C453D">
        <w:rPr>
          <w:rFonts w:asciiTheme="minorHAnsi" w:hAnsiTheme="minorHAnsi" w:cstheme="minorHAnsi"/>
        </w:rPr>
        <w:t>helps</w:t>
      </w:r>
      <w:r w:rsidRPr="005C453D">
        <w:rPr>
          <w:rFonts w:asciiTheme="minorHAnsi" w:hAnsiTheme="minorHAnsi" w:cstheme="minorHAnsi"/>
        </w:rPr>
        <w:t xml:space="preserve"> resolving the problem, and lastly, the yellow hat adopts an optimistic approach to issue resolution (</w:t>
      </w:r>
      <w:proofErr w:type="spellStart"/>
      <w:r w:rsidRPr="005C453D">
        <w:rPr>
          <w:rFonts w:asciiTheme="minorHAnsi" w:hAnsiTheme="minorHAnsi" w:cstheme="minorHAnsi"/>
        </w:rPr>
        <w:t>Kivunja</w:t>
      </w:r>
      <w:proofErr w:type="spellEnd"/>
      <w:r w:rsidRPr="005C453D">
        <w:rPr>
          <w:rFonts w:asciiTheme="minorHAnsi" w:hAnsiTheme="minorHAnsi" w:cstheme="minorHAnsi"/>
        </w:rPr>
        <w:t xml:space="preserve">, 2015). </w:t>
      </w:r>
    </w:p>
    <w:p w14:paraId="289A9ABC" w14:textId="0D977979" w:rsidR="00D844E5" w:rsidRPr="005C453D" w:rsidRDefault="00D844E5" w:rsidP="00183E6D">
      <w:pPr>
        <w:shd w:val="clear" w:color="auto" w:fill="FFFFFF"/>
        <w:spacing w:before="240" w:after="240"/>
        <w:rPr>
          <w:rFonts w:asciiTheme="minorHAnsi" w:hAnsiTheme="minorHAnsi" w:cstheme="minorHAnsi"/>
        </w:rPr>
      </w:pPr>
      <w:r w:rsidRPr="005C453D">
        <w:rPr>
          <w:rFonts w:asciiTheme="minorHAnsi" w:hAnsiTheme="minorHAnsi" w:cstheme="minorHAnsi"/>
        </w:rPr>
        <w:t>Although this framework could be criticised to oversimplify complex issues, it enables parallel thinking. Each person will be wearing the same hat at the same time, so each one of them will be considering all angles and views. Equally each one will wear one hat at a time, this structured approach will avoid confusion and add clarity (Payette &amp; Barnes, 2017).</w:t>
      </w:r>
    </w:p>
    <w:p w14:paraId="7306710F" w14:textId="77777777" w:rsidR="002F05AF" w:rsidRDefault="002F05AF" w:rsidP="00183E6D">
      <w:pPr>
        <w:shd w:val="clear" w:color="auto" w:fill="FFFFFF"/>
        <w:spacing w:before="240" w:after="240"/>
        <w:rPr>
          <w:rFonts w:asciiTheme="minorHAnsi" w:hAnsiTheme="minorHAnsi" w:cstheme="minorHAnsi"/>
          <w:u w:val="single"/>
        </w:rPr>
      </w:pPr>
    </w:p>
    <w:p w14:paraId="1074B7CD" w14:textId="77777777" w:rsidR="002F05AF" w:rsidRDefault="002F05AF" w:rsidP="00183E6D">
      <w:pPr>
        <w:shd w:val="clear" w:color="auto" w:fill="FFFFFF"/>
        <w:spacing w:before="240" w:after="240"/>
        <w:rPr>
          <w:rFonts w:asciiTheme="minorHAnsi" w:hAnsiTheme="minorHAnsi" w:cstheme="minorHAnsi"/>
          <w:u w:val="single"/>
        </w:rPr>
      </w:pPr>
    </w:p>
    <w:p w14:paraId="1446B815" w14:textId="592C3832" w:rsidR="00930C52" w:rsidRPr="005C453D" w:rsidRDefault="00930C52"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lastRenderedPageBreak/>
        <w:t>Stakeholder Analysis</w:t>
      </w:r>
    </w:p>
    <w:p w14:paraId="59304D9F" w14:textId="133EAFC9" w:rsidR="00754B43" w:rsidRPr="005C453D" w:rsidRDefault="00754B43" w:rsidP="00183E6D">
      <w:pPr>
        <w:shd w:val="clear" w:color="auto" w:fill="FFFFFF"/>
        <w:spacing w:before="240" w:after="240"/>
        <w:rPr>
          <w:rFonts w:asciiTheme="minorHAnsi" w:hAnsiTheme="minorHAnsi" w:cstheme="minorHAnsi"/>
        </w:rPr>
      </w:pPr>
      <w:r w:rsidRPr="005C453D">
        <w:rPr>
          <w:rFonts w:asciiTheme="minorHAnsi" w:hAnsiTheme="minorHAnsi" w:cstheme="minorHAnsi"/>
        </w:rPr>
        <w:t>A stakeholder for an organi</w:t>
      </w:r>
      <w:r w:rsidR="006767F0" w:rsidRPr="005C453D">
        <w:rPr>
          <w:rFonts w:asciiTheme="minorHAnsi" w:hAnsiTheme="minorHAnsi" w:cstheme="minorHAnsi"/>
        </w:rPr>
        <w:t>s</w:t>
      </w:r>
      <w:r w:rsidRPr="005C453D">
        <w:rPr>
          <w:rFonts w:asciiTheme="minorHAnsi" w:hAnsiTheme="minorHAnsi" w:cstheme="minorHAnsi"/>
        </w:rPr>
        <w:t>ation is an individual, organi</w:t>
      </w:r>
      <w:r w:rsidR="008A7379" w:rsidRPr="005C453D">
        <w:rPr>
          <w:rFonts w:asciiTheme="minorHAnsi" w:hAnsiTheme="minorHAnsi" w:cstheme="minorHAnsi"/>
        </w:rPr>
        <w:t>s</w:t>
      </w:r>
      <w:r w:rsidRPr="005C453D">
        <w:rPr>
          <w:rFonts w:asciiTheme="minorHAnsi" w:hAnsiTheme="minorHAnsi" w:cstheme="minorHAnsi"/>
        </w:rPr>
        <w:t>ation, or group that has interests in the outcomes as they would be affected by the results of an action or a change (</w:t>
      </w:r>
      <w:proofErr w:type="spellStart"/>
      <w:r w:rsidRPr="005C453D">
        <w:rPr>
          <w:rFonts w:asciiTheme="minorHAnsi" w:hAnsiTheme="minorHAnsi" w:cstheme="minorHAnsi"/>
        </w:rPr>
        <w:t>Yawson</w:t>
      </w:r>
      <w:proofErr w:type="spellEnd"/>
      <w:r w:rsidRPr="005C453D">
        <w:rPr>
          <w:rFonts w:asciiTheme="minorHAnsi" w:hAnsiTheme="minorHAnsi" w:cstheme="minorHAnsi"/>
        </w:rPr>
        <w:t xml:space="preserve"> and Greiman, 2014). Stakeholder Analysis represents an approach focusing on acquiring insights into the behaviour, intentions, and relationships of the stakeholders. It evaluates various interest groups involved in a particular issue and their capacity to impact or be impacted by the ultimate outcome (Parmar et al., 2010). For </w:t>
      </w:r>
      <w:r w:rsidR="004D0743" w:rsidRPr="005C453D">
        <w:rPr>
          <w:rFonts w:asciiTheme="minorHAnsi" w:hAnsiTheme="minorHAnsi" w:cstheme="minorHAnsi"/>
        </w:rPr>
        <w:t>example,</w:t>
      </w:r>
      <w:r w:rsidRPr="005C453D">
        <w:rPr>
          <w:rFonts w:asciiTheme="minorHAnsi" w:hAnsiTheme="minorHAnsi" w:cstheme="minorHAnsi"/>
        </w:rPr>
        <w:t xml:space="preserve"> if the stakeholder analysis is used in business planning, it helps the organisation to understand the stakeholders’ behaviours and interests so the organi</w:t>
      </w:r>
      <w:r w:rsidR="001F6403" w:rsidRPr="005C453D">
        <w:rPr>
          <w:rFonts w:asciiTheme="minorHAnsi" w:hAnsiTheme="minorHAnsi" w:cstheme="minorHAnsi"/>
        </w:rPr>
        <w:t>s</w:t>
      </w:r>
      <w:r w:rsidRPr="005C453D">
        <w:rPr>
          <w:rFonts w:asciiTheme="minorHAnsi" w:hAnsiTheme="minorHAnsi" w:cstheme="minorHAnsi"/>
        </w:rPr>
        <w:t>ation can keep this in mind when making decisions (</w:t>
      </w:r>
      <w:proofErr w:type="spellStart"/>
      <w:r w:rsidRPr="005C453D">
        <w:rPr>
          <w:rFonts w:asciiTheme="minorHAnsi" w:hAnsiTheme="minorHAnsi" w:cstheme="minorHAnsi"/>
        </w:rPr>
        <w:t>Yawson</w:t>
      </w:r>
      <w:proofErr w:type="spellEnd"/>
      <w:r w:rsidRPr="005C453D">
        <w:rPr>
          <w:rFonts w:asciiTheme="minorHAnsi" w:hAnsiTheme="minorHAnsi" w:cstheme="minorHAnsi"/>
        </w:rPr>
        <w:t xml:space="preserve"> and Greiman, 2014). </w:t>
      </w:r>
    </w:p>
    <w:p w14:paraId="279A14F8" w14:textId="33AF8AA2" w:rsidR="00754B43" w:rsidRPr="005C453D" w:rsidRDefault="00754B43" w:rsidP="00183E6D">
      <w:pPr>
        <w:shd w:val="clear" w:color="auto" w:fill="FFFFFF"/>
        <w:spacing w:before="240" w:after="240"/>
        <w:rPr>
          <w:rFonts w:asciiTheme="minorHAnsi" w:hAnsiTheme="minorHAnsi" w:cstheme="minorHAnsi"/>
        </w:rPr>
      </w:pPr>
      <w:r w:rsidRPr="005C453D">
        <w:rPr>
          <w:rFonts w:asciiTheme="minorHAnsi" w:hAnsiTheme="minorHAnsi" w:cstheme="minorHAnsi"/>
        </w:rPr>
        <w:t xml:space="preserve">Although this method </w:t>
      </w:r>
      <w:r w:rsidR="009F03CD" w:rsidRPr="005C453D">
        <w:rPr>
          <w:rFonts w:asciiTheme="minorHAnsi" w:hAnsiTheme="minorHAnsi" w:cstheme="minorHAnsi"/>
        </w:rPr>
        <w:t>helps</w:t>
      </w:r>
      <w:r w:rsidRPr="005C453D">
        <w:rPr>
          <w:rFonts w:asciiTheme="minorHAnsi" w:hAnsiTheme="minorHAnsi" w:cstheme="minorHAnsi"/>
        </w:rPr>
        <w:t xml:space="preserve"> identifying potential allies and threats, the data is only valid for a short period of time as stakeholder interests and intentions are subject to change; therefore, organi</w:t>
      </w:r>
      <w:r w:rsidR="00B3686A" w:rsidRPr="005C453D">
        <w:rPr>
          <w:rFonts w:asciiTheme="minorHAnsi" w:hAnsiTheme="minorHAnsi" w:cstheme="minorHAnsi"/>
        </w:rPr>
        <w:t>s</w:t>
      </w:r>
      <w:r w:rsidRPr="005C453D">
        <w:rPr>
          <w:rFonts w:asciiTheme="minorHAnsi" w:hAnsiTheme="minorHAnsi" w:cstheme="minorHAnsi"/>
        </w:rPr>
        <w:t xml:space="preserve">ations need to do </w:t>
      </w:r>
      <w:r w:rsidR="00C4017D" w:rsidRPr="005C453D">
        <w:rPr>
          <w:rFonts w:asciiTheme="minorHAnsi" w:hAnsiTheme="minorHAnsi" w:cstheme="minorHAnsi"/>
        </w:rPr>
        <w:t>this analysis</w:t>
      </w:r>
      <w:r w:rsidRPr="005C453D">
        <w:rPr>
          <w:rFonts w:asciiTheme="minorHAnsi" w:hAnsiTheme="minorHAnsi" w:cstheme="minorHAnsi"/>
        </w:rPr>
        <w:t xml:space="preserve"> often (</w:t>
      </w:r>
      <w:proofErr w:type="spellStart"/>
      <w:r w:rsidRPr="005C453D">
        <w:rPr>
          <w:rFonts w:asciiTheme="minorHAnsi" w:hAnsiTheme="minorHAnsi" w:cstheme="minorHAnsi"/>
        </w:rPr>
        <w:t>Brugha</w:t>
      </w:r>
      <w:proofErr w:type="spellEnd"/>
      <w:r w:rsidRPr="005C453D">
        <w:rPr>
          <w:rFonts w:asciiTheme="minorHAnsi" w:hAnsiTheme="minorHAnsi" w:cstheme="minorHAnsi"/>
        </w:rPr>
        <w:t>, 2000).</w:t>
      </w:r>
    </w:p>
    <w:p w14:paraId="62B7630D" w14:textId="0822516A" w:rsidR="000F0DB9" w:rsidRPr="005C453D" w:rsidRDefault="00423DB9"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The Kepner-Tregoe effective thinking model</w:t>
      </w:r>
    </w:p>
    <w:p w14:paraId="2D7C6146" w14:textId="2A6418F8" w:rsidR="00754B43" w:rsidRPr="005C453D" w:rsidRDefault="00754B43"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The Kepner-Tregoe framework takes a holistic approach and follows the principle that if the right things are done in the correct order, it will effectively solve issues (Markopoulos et al., 2022). The model proposes a four-step approach</w:t>
      </w:r>
      <w:r w:rsidR="00B12EAC" w:rsidRPr="005C453D">
        <w:rPr>
          <w:rFonts w:asciiTheme="minorHAnsi" w:hAnsiTheme="minorHAnsi" w:cstheme="minorHAnsi"/>
        </w:rPr>
        <w:t>;</w:t>
      </w:r>
      <w:r w:rsidRPr="005C453D">
        <w:rPr>
          <w:rFonts w:asciiTheme="minorHAnsi" w:hAnsiTheme="minorHAnsi" w:cstheme="minorHAnsi"/>
        </w:rPr>
        <w:t xml:space="preserve"> the first step is understanding what is going on, followed by identifying the causes of the situation,</w:t>
      </w:r>
      <w:r w:rsidR="00B12EAC" w:rsidRPr="005C453D">
        <w:rPr>
          <w:rFonts w:asciiTheme="minorHAnsi" w:hAnsiTheme="minorHAnsi" w:cstheme="minorHAnsi"/>
        </w:rPr>
        <w:t xml:space="preserve"> then</w:t>
      </w:r>
      <w:r w:rsidRPr="005C453D">
        <w:rPr>
          <w:rFonts w:asciiTheme="minorHAnsi" w:hAnsiTheme="minorHAnsi" w:cstheme="minorHAnsi"/>
        </w:rPr>
        <w:t xml:space="preserve"> </w:t>
      </w:r>
      <w:r w:rsidR="00B12EAC" w:rsidRPr="005C453D">
        <w:rPr>
          <w:rFonts w:asciiTheme="minorHAnsi" w:hAnsiTheme="minorHAnsi" w:cstheme="minorHAnsi"/>
        </w:rPr>
        <w:t>deciding</w:t>
      </w:r>
      <w:r w:rsidRPr="005C453D">
        <w:rPr>
          <w:rFonts w:asciiTheme="minorHAnsi" w:hAnsiTheme="minorHAnsi" w:cstheme="minorHAnsi"/>
        </w:rPr>
        <w:t xml:space="preserve"> based on gathered information, and finally, reducing risks and enhancing possibilities. When individuals and teams follow this approach and consciously and </w:t>
      </w:r>
      <w:r w:rsidR="00651523" w:rsidRPr="005C453D">
        <w:rPr>
          <w:rFonts w:asciiTheme="minorHAnsi" w:hAnsiTheme="minorHAnsi" w:cstheme="minorHAnsi"/>
        </w:rPr>
        <w:t>intentionally</w:t>
      </w:r>
      <w:r w:rsidRPr="005C453D">
        <w:rPr>
          <w:rFonts w:asciiTheme="minorHAnsi" w:hAnsiTheme="minorHAnsi" w:cstheme="minorHAnsi"/>
        </w:rPr>
        <w:t xml:space="preserve"> analy</w:t>
      </w:r>
      <w:r w:rsidR="00E868B1" w:rsidRPr="005C453D">
        <w:rPr>
          <w:rFonts w:asciiTheme="minorHAnsi" w:hAnsiTheme="minorHAnsi" w:cstheme="minorHAnsi"/>
        </w:rPr>
        <w:t>s</w:t>
      </w:r>
      <w:r w:rsidRPr="005C453D">
        <w:rPr>
          <w:rFonts w:asciiTheme="minorHAnsi" w:hAnsiTheme="minorHAnsi" w:cstheme="minorHAnsi"/>
        </w:rPr>
        <w:t>e the information, they subsequently reach a solution and solve the issue at hand (Markopoulos et al., 2022).</w:t>
      </w:r>
    </w:p>
    <w:p w14:paraId="4C5E4F15" w14:textId="0E3DB052" w:rsidR="00754B43" w:rsidRPr="005C453D" w:rsidRDefault="00754B43"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This model is used in organ</w:t>
      </w:r>
      <w:r w:rsidR="00651523" w:rsidRPr="005C453D">
        <w:rPr>
          <w:rFonts w:asciiTheme="minorHAnsi" w:hAnsiTheme="minorHAnsi" w:cstheme="minorHAnsi"/>
        </w:rPr>
        <w:t>is</w:t>
      </w:r>
      <w:r w:rsidRPr="005C453D">
        <w:rPr>
          <w:rFonts w:asciiTheme="minorHAnsi" w:hAnsiTheme="minorHAnsi" w:cstheme="minorHAnsi"/>
        </w:rPr>
        <w:t xml:space="preserve">ations to successfully predict employee performance. However, while this model works well with employees, it needs further development to accommodate leadership engagement (Markopoulos et al., 2022). Furthermore, this four-step approach involves thinking differently, which may take time for employees to adopt this mindset; therefore, it may </w:t>
      </w:r>
      <w:r w:rsidR="00EF72C8" w:rsidRPr="005C453D">
        <w:rPr>
          <w:rFonts w:asciiTheme="minorHAnsi" w:hAnsiTheme="minorHAnsi" w:cstheme="minorHAnsi"/>
        </w:rPr>
        <w:t>not be</w:t>
      </w:r>
      <w:r w:rsidRPr="005C453D">
        <w:rPr>
          <w:rFonts w:asciiTheme="minorHAnsi" w:hAnsiTheme="minorHAnsi" w:cstheme="minorHAnsi"/>
        </w:rPr>
        <w:t xml:space="preserve"> suitable for time-sensitive issues (Markopoulos et al., 2022).</w:t>
      </w:r>
    </w:p>
    <w:p w14:paraId="09BD7F4B" w14:textId="77777777" w:rsidR="002F05AF" w:rsidRDefault="002F05AF" w:rsidP="00183E6D">
      <w:pPr>
        <w:shd w:val="clear" w:color="auto" w:fill="FFFFFF"/>
        <w:spacing w:before="240" w:after="240"/>
        <w:rPr>
          <w:rFonts w:asciiTheme="minorHAnsi" w:hAnsiTheme="minorHAnsi" w:cstheme="minorHAnsi"/>
          <w:b/>
          <w:bCs/>
          <w:u w:val="single"/>
        </w:rPr>
      </w:pPr>
    </w:p>
    <w:p w14:paraId="2B1BF2C3" w14:textId="68BBDA95" w:rsidR="0026373A" w:rsidRPr="005C453D" w:rsidRDefault="00422F5F" w:rsidP="00183E6D">
      <w:pPr>
        <w:shd w:val="clear" w:color="auto" w:fill="FFFFFF"/>
        <w:spacing w:before="240" w:after="240"/>
        <w:rPr>
          <w:rFonts w:asciiTheme="minorHAnsi" w:hAnsiTheme="minorHAnsi" w:cstheme="minorHAnsi"/>
          <w:b/>
          <w:bCs/>
          <w:u w:val="single"/>
        </w:rPr>
      </w:pPr>
      <w:r w:rsidRPr="005C453D">
        <w:rPr>
          <w:rFonts w:asciiTheme="minorHAnsi" w:hAnsiTheme="minorHAnsi" w:cstheme="minorHAnsi"/>
          <w:b/>
          <w:bCs/>
          <w:u w:val="single"/>
        </w:rPr>
        <w:lastRenderedPageBreak/>
        <w:t>Ethical Perspectives in decision making</w:t>
      </w:r>
      <w:r w:rsidR="00EF72C8" w:rsidRPr="005C453D">
        <w:rPr>
          <w:rFonts w:asciiTheme="minorHAnsi" w:hAnsiTheme="minorHAnsi" w:cstheme="minorHAnsi"/>
          <w:b/>
          <w:bCs/>
          <w:u w:val="single"/>
        </w:rPr>
        <w:t xml:space="preserve"> (AC 1.5)</w:t>
      </w:r>
    </w:p>
    <w:p w14:paraId="6DF82F55" w14:textId="6D2784F5" w:rsidR="00491877" w:rsidRPr="005C453D" w:rsidRDefault="00C935BF" w:rsidP="00183E6D">
      <w:pPr>
        <w:shd w:val="clear" w:color="auto" w:fill="FFFFFF"/>
        <w:spacing w:before="240" w:after="240"/>
        <w:rPr>
          <w:rFonts w:asciiTheme="minorHAnsi" w:hAnsiTheme="minorHAnsi" w:cstheme="minorHAnsi"/>
        </w:rPr>
      </w:pPr>
      <w:r w:rsidRPr="005C453D">
        <w:rPr>
          <w:rFonts w:asciiTheme="minorHAnsi" w:hAnsiTheme="minorHAnsi" w:cstheme="minorHAnsi"/>
        </w:rPr>
        <w:t>CIPD</w:t>
      </w:r>
      <w:r w:rsidR="00B1267C" w:rsidRPr="005C453D">
        <w:rPr>
          <w:rFonts w:asciiTheme="minorHAnsi" w:hAnsiTheme="minorHAnsi" w:cstheme="minorHAnsi"/>
        </w:rPr>
        <w:t xml:space="preserve"> (2019</w:t>
      </w:r>
      <w:r w:rsidR="005E05BE" w:rsidRPr="005C453D">
        <w:rPr>
          <w:rFonts w:asciiTheme="minorHAnsi" w:hAnsiTheme="minorHAnsi" w:cstheme="minorHAnsi"/>
        </w:rPr>
        <w:t>b</w:t>
      </w:r>
      <w:r w:rsidR="00B1267C" w:rsidRPr="005C453D">
        <w:rPr>
          <w:rFonts w:asciiTheme="minorHAnsi" w:hAnsiTheme="minorHAnsi" w:cstheme="minorHAnsi"/>
        </w:rPr>
        <w:t>)</w:t>
      </w:r>
      <w:r w:rsidR="00491877" w:rsidRPr="005C453D">
        <w:rPr>
          <w:rFonts w:asciiTheme="minorHAnsi" w:hAnsiTheme="minorHAnsi" w:cstheme="minorHAnsi"/>
        </w:rPr>
        <w:t xml:space="preserve"> describes ethical practice as “Building trust by role-modelling ethical behaviour and applying principles and values consistently in decision-making” and proposes eight ethical lenses, such as fairness, merit, democracy, well-being, right and duties, character, and handing down to use in decision-making processes. There are several ethical perspectives practiced </w:t>
      </w:r>
      <w:r w:rsidR="00423728" w:rsidRPr="005C453D">
        <w:rPr>
          <w:rFonts w:asciiTheme="minorHAnsi" w:hAnsiTheme="minorHAnsi" w:cstheme="minorHAnsi"/>
        </w:rPr>
        <w:t>in</w:t>
      </w:r>
      <w:r w:rsidR="00491877" w:rsidRPr="005C453D">
        <w:rPr>
          <w:rFonts w:asciiTheme="minorHAnsi" w:hAnsiTheme="minorHAnsi" w:cstheme="minorHAnsi"/>
        </w:rPr>
        <w:t xml:space="preserve"> decision-making; the following sections will explore three of them.</w:t>
      </w:r>
    </w:p>
    <w:p w14:paraId="43BDDCBE" w14:textId="1D840D1F" w:rsidR="0005345F" w:rsidRPr="005C453D" w:rsidRDefault="0068717B"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Kantianism</w:t>
      </w:r>
    </w:p>
    <w:p w14:paraId="76B6B607" w14:textId="20249C86" w:rsidR="003D38AE" w:rsidRPr="005C453D" w:rsidRDefault="003D38AE" w:rsidP="00183E6D">
      <w:pPr>
        <w:shd w:val="clear" w:color="auto" w:fill="FFFFFF"/>
        <w:spacing w:before="240" w:after="240"/>
        <w:rPr>
          <w:rFonts w:asciiTheme="minorHAnsi" w:hAnsiTheme="minorHAnsi" w:cstheme="minorHAnsi"/>
        </w:rPr>
      </w:pPr>
      <w:r w:rsidRPr="005C453D">
        <w:rPr>
          <w:rFonts w:asciiTheme="minorHAnsi" w:hAnsiTheme="minorHAnsi" w:cstheme="minorHAnsi"/>
        </w:rPr>
        <w:t>Kantianism views an organi</w:t>
      </w:r>
      <w:r w:rsidR="00CF1C2B" w:rsidRPr="005C453D">
        <w:rPr>
          <w:rFonts w:asciiTheme="minorHAnsi" w:hAnsiTheme="minorHAnsi" w:cstheme="minorHAnsi"/>
        </w:rPr>
        <w:t>s</w:t>
      </w:r>
      <w:r w:rsidRPr="005C453D">
        <w:rPr>
          <w:rFonts w:asciiTheme="minorHAnsi" w:hAnsiTheme="minorHAnsi" w:cstheme="minorHAnsi"/>
        </w:rPr>
        <w:t>ation as a moral community</w:t>
      </w:r>
      <w:r w:rsidR="00D0569A" w:rsidRPr="005C453D">
        <w:rPr>
          <w:rFonts w:asciiTheme="minorHAnsi" w:hAnsiTheme="minorHAnsi" w:cstheme="minorHAnsi"/>
        </w:rPr>
        <w:t xml:space="preserve"> and</w:t>
      </w:r>
      <w:r w:rsidRPr="005C453D">
        <w:rPr>
          <w:rFonts w:asciiTheme="minorHAnsi" w:hAnsiTheme="minorHAnsi" w:cstheme="minorHAnsi"/>
        </w:rPr>
        <w:t xml:space="preserve"> everyone in an organi</w:t>
      </w:r>
      <w:r w:rsidR="00CF1C2B" w:rsidRPr="005C453D">
        <w:rPr>
          <w:rFonts w:asciiTheme="minorHAnsi" w:hAnsiTheme="minorHAnsi" w:cstheme="minorHAnsi"/>
        </w:rPr>
        <w:t>s</w:t>
      </w:r>
      <w:r w:rsidRPr="005C453D">
        <w:rPr>
          <w:rFonts w:asciiTheme="minorHAnsi" w:hAnsiTheme="minorHAnsi" w:cstheme="minorHAnsi"/>
        </w:rPr>
        <w:t xml:space="preserve">ation, from managers to employees, deserves to be treated with respect and allowed autonomy (Bowie, 2007). Therefore, business practices need to have an obligation to provide meaningful work to employees, support them in exercising autonomy in their jobs, allow them to develop themselves, and should not interfere with their self-development (Bowie, 2007). This is in line with CIPD's ethical lenses such as Merit, Fairness, Democracy, Well-being, and Character in ethical decision making (CIPD, 2015). </w:t>
      </w:r>
      <w:r w:rsidR="00802CB0" w:rsidRPr="005C453D">
        <w:rPr>
          <w:rFonts w:asciiTheme="minorHAnsi" w:hAnsiTheme="minorHAnsi" w:cstheme="minorHAnsi"/>
        </w:rPr>
        <w:t>In the present day, o</w:t>
      </w:r>
      <w:r w:rsidRPr="005C453D">
        <w:rPr>
          <w:rFonts w:asciiTheme="minorHAnsi" w:hAnsiTheme="minorHAnsi" w:cstheme="minorHAnsi"/>
        </w:rPr>
        <w:t>rgani</w:t>
      </w:r>
      <w:r w:rsidR="006376A5" w:rsidRPr="005C453D">
        <w:rPr>
          <w:rFonts w:asciiTheme="minorHAnsi" w:hAnsiTheme="minorHAnsi" w:cstheme="minorHAnsi"/>
        </w:rPr>
        <w:t>s</w:t>
      </w:r>
      <w:r w:rsidRPr="005C453D">
        <w:rPr>
          <w:rFonts w:asciiTheme="minorHAnsi" w:hAnsiTheme="minorHAnsi" w:cstheme="minorHAnsi"/>
        </w:rPr>
        <w:t xml:space="preserve">ations </w:t>
      </w:r>
      <w:r w:rsidR="008E5AE6" w:rsidRPr="005C453D">
        <w:rPr>
          <w:rFonts w:asciiTheme="minorHAnsi" w:hAnsiTheme="minorHAnsi" w:cstheme="minorHAnsi"/>
        </w:rPr>
        <w:t xml:space="preserve">that </w:t>
      </w:r>
      <w:r w:rsidRPr="005C453D">
        <w:rPr>
          <w:rFonts w:asciiTheme="minorHAnsi" w:hAnsiTheme="minorHAnsi" w:cstheme="minorHAnsi"/>
        </w:rPr>
        <w:t xml:space="preserve">bound by </w:t>
      </w:r>
      <w:r w:rsidR="00540E03" w:rsidRPr="005C453D">
        <w:rPr>
          <w:rFonts w:asciiTheme="minorHAnsi" w:hAnsiTheme="minorHAnsi" w:cstheme="minorHAnsi"/>
        </w:rPr>
        <w:t xml:space="preserve">sound </w:t>
      </w:r>
      <w:r w:rsidRPr="005C453D">
        <w:rPr>
          <w:rFonts w:asciiTheme="minorHAnsi" w:hAnsiTheme="minorHAnsi" w:cstheme="minorHAnsi"/>
        </w:rPr>
        <w:t xml:space="preserve">ethics and guided by </w:t>
      </w:r>
      <w:r w:rsidR="00540E03" w:rsidRPr="005C453D">
        <w:rPr>
          <w:rFonts w:asciiTheme="minorHAnsi" w:hAnsiTheme="minorHAnsi" w:cstheme="minorHAnsi"/>
        </w:rPr>
        <w:t>good</w:t>
      </w:r>
      <w:r w:rsidRPr="005C453D">
        <w:rPr>
          <w:rFonts w:asciiTheme="minorHAnsi" w:hAnsiTheme="minorHAnsi" w:cstheme="minorHAnsi"/>
        </w:rPr>
        <w:t xml:space="preserve"> principles </w:t>
      </w:r>
      <w:r w:rsidR="006376A5" w:rsidRPr="005C453D">
        <w:rPr>
          <w:rFonts w:asciiTheme="minorHAnsi" w:hAnsiTheme="minorHAnsi" w:cstheme="minorHAnsi"/>
        </w:rPr>
        <w:t xml:space="preserve">are </w:t>
      </w:r>
      <w:r w:rsidR="001E61D4" w:rsidRPr="005C453D">
        <w:rPr>
          <w:rFonts w:asciiTheme="minorHAnsi" w:hAnsiTheme="minorHAnsi" w:cstheme="minorHAnsi"/>
        </w:rPr>
        <w:t>prove</w:t>
      </w:r>
      <w:r w:rsidR="006376A5" w:rsidRPr="005C453D">
        <w:rPr>
          <w:rFonts w:asciiTheme="minorHAnsi" w:hAnsiTheme="minorHAnsi" w:cstheme="minorHAnsi"/>
        </w:rPr>
        <w:t>d</w:t>
      </w:r>
      <w:r w:rsidR="001E61D4" w:rsidRPr="005C453D">
        <w:rPr>
          <w:rFonts w:asciiTheme="minorHAnsi" w:hAnsiTheme="minorHAnsi" w:cstheme="minorHAnsi"/>
        </w:rPr>
        <w:t xml:space="preserve"> to make</w:t>
      </w:r>
      <w:r w:rsidR="009F775A" w:rsidRPr="005C453D">
        <w:rPr>
          <w:rFonts w:asciiTheme="minorHAnsi" w:hAnsiTheme="minorHAnsi" w:cstheme="minorHAnsi"/>
        </w:rPr>
        <w:t xml:space="preserve"> sound decisions.  I</w:t>
      </w:r>
      <w:r w:rsidRPr="005C453D">
        <w:rPr>
          <w:rFonts w:asciiTheme="minorHAnsi" w:hAnsiTheme="minorHAnsi" w:cstheme="minorHAnsi"/>
        </w:rPr>
        <w:t>t not only enhances their reputations but also empower their employees to follow suit. This, in turn, has a positive impact on employee motivation, commitment, loyalty, retention, and employee relations (CIPD, 2019</w:t>
      </w:r>
      <w:r w:rsidR="005E05BE" w:rsidRPr="005C453D">
        <w:rPr>
          <w:rFonts w:asciiTheme="minorHAnsi" w:hAnsiTheme="minorHAnsi" w:cstheme="minorHAnsi"/>
        </w:rPr>
        <w:t>b</w:t>
      </w:r>
      <w:r w:rsidRPr="005C453D">
        <w:rPr>
          <w:rFonts w:asciiTheme="minorHAnsi" w:hAnsiTheme="minorHAnsi" w:cstheme="minorHAnsi"/>
        </w:rPr>
        <w:t xml:space="preserve">). </w:t>
      </w:r>
    </w:p>
    <w:p w14:paraId="54AC1A37" w14:textId="3F716034" w:rsidR="003D38AE" w:rsidRPr="005C453D" w:rsidRDefault="003D38AE" w:rsidP="00183E6D">
      <w:pPr>
        <w:shd w:val="clear" w:color="auto" w:fill="FFFFFF"/>
        <w:spacing w:before="240" w:after="240"/>
        <w:rPr>
          <w:rFonts w:asciiTheme="minorHAnsi" w:hAnsiTheme="minorHAnsi" w:cstheme="minorHAnsi"/>
        </w:rPr>
      </w:pPr>
      <w:r w:rsidRPr="005C453D">
        <w:rPr>
          <w:rFonts w:asciiTheme="minorHAnsi" w:hAnsiTheme="minorHAnsi" w:cstheme="minorHAnsi"/>
        </w:rPr>
        <w:t xml:space="preserve">However, whether Kantianism is fully applicable to the current business world is debatable. For example, Kant's view of morality states that actions shouldn't be contaminated by self-interest, but even </w:t>
      </w:r>
      <w:r w:rsidR="001F23FC" w:rsidRPr="005C453D">
        <w:rPr>
          <w:rFonts w:asciiTheme="minorHAnsi" w:hAnsiTheme="minorHAnsi" w:cstheme="minorHAnsi"/>
        </w:rPr>
        <w:t xml:space="preserve">the </w:t>
      </w:r>
      <w:r w:rsidRPr="005C453D">
        <w:rPr>
          <w:rFonts w:asciiTheme="minorHAnsi" w:hAnsiTheme="minorHAnsi" w:cstheme="minorHAnsi"/>
        </w:rPr>
        <w:t>most rational organi</w:t>
      </w:r>
      <w:r w:rsidR="002F746A" w:rsidRPr="005C453D">
        <w:rPr>
          <w:rFonts w:asciiTheme="minorHAnsi" w:hAnsiTheme="minorHAnsi" w:cstheme="minorHAnsi"/>
        </w:rPr>
        <w:t>s</w:t>
      </w:r>
      <w:r w:rsidRPr="005C453D">
        <w:rPr>
          <w:rFonts w:asciiTheme="minorHAnsi" w:hAnsiTheme="minorHAnsi" w:cstheme="minorHAnsi"/>
        </w:rPr>
        <w:t>ations have an interest in profits (Bowie, 2017). Furthermore, Kant's perspective overly focuses on morals and ignores social, cultural, and psychological conditions (</w:t>
      </w:r>
      <w:proofErr w:type="spellStart"/>
      <w:r w:rsidRPr="005C453D">
        <w:rPr>
          <w:rFonts w:asciiTheme="minorHAnsi" w:hAnsiTheme="minorHAnsi" w:cstheme="minorHAnsi"/>
        </w:rPr>
        <w:t>Dierksmeier</w:t>
      </w:r>
      <w:proofErr w:type="spellEnd"/>
      <w:r w:rsidRPr="005C453D">
        <w:rPr>
          <w:rFonts w:asciiTheme="minorHAnsi" w:hAnsiTheme="minorHAnsi" w:cstheme="minorHAnsi"/>
        </w:rPr>
        <w:t>, 2013). However, Kant’s insistence on moral motives has a positive contribution to business ethics (Bowie, 2017).</w:t>
      </w:r>
    </w:p>
    <w:p w14:paraId="36EBADA8" w14:textId="697681CD" w:rsidR="00DA0410" w:rsidRPr="005C453D" w:rsidRDefault="003B5B04"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Altruism</w:t>
      </w:r>
    </w:p>
    <w:p w14:paraId="7145967A" w14:textId="7C7BA743" w:rsidR="00C10905" w:rsidRPr="005C453D" w:rsidRDefault="00C10905" w:rsidP="00183E6D">
      <w:pPr>
        <w:shd w:val="clear" w:color="auto" w:fill="FFFFFF"/>
        <w:spacing w:before="240" w:after="240"/>
        <w:rPr>
          <w:rFonts w:asciiTheme="minorHAnsi" w:hAnsiTheme="minorHAnsi" w:cstheme="minorHAnsi"/>
        </w:rPr>
      </w:pPr>
      <w:r w:rsidRPr="005C453D">
        <w:rPr>
          <w:rFonts w:asciiTheme="minorHAnsi" w:hAnsiTheme="minorHAnsi" w:cstheme="minorHAnsi"/>
        </w:rPr>
        <w:t>Altruism views organi</w:t>
      </w:r>
      <w:r w:rsidR="0097798D" w:rsidRPr="005C453D">
        <w:rPr>
          <w:rFonts w:asciiTheme="minorHAnsi" w:hAnsiTheme="minorHAnsi" w:cstheme="minorHAnsi"/>
        </w:rPr>
        <w:t>s</w:t>
      </w:r>
      <w:r w:rsidRPr="005C453D">
        <w:rPr>
          <w:rFonts w:asciiTheme="minorHAnsi" w:hAnsiTheme="minorHAnsi" w:cstheme="minorHAnsi"/>
        </w:rPr>
        <w:t xml:space="preserve">ational practices </w:t>
      </w:r>
      <w:r w:rsidR="0097798D" w:rsidRPr="005C453D">
        <w:rPr>
          <w:rFonts w:asciiTheme="minorHAnsi" w:hAnsiTheme="minorHAnsi" w:cstheme="minorHAnsi"/>
        </w:rPr>
        <w:t>should</w:t>
      </w:r>
      <w:r w:rsidRPr="005C453D">
        <w:rPr>
          <w:rFonts w:asciiTheme="minorHAnsi" w:hAnsiTheme="minorHAnsi" w:cstheme="minorHAnsi"/>
        </w:rPr>
        <w:t xml:space="preserve"> benefit their employees regardless of the consequences (Furnham et al., 2014). Studies have shown that promoting altruism in organi</w:t>
      </w:r>
      <w:r w:rsidR="00210639" w:rsidRPr="005C453D">
        <w:rPr>
          <w:rFonts w:asciiTheme="minorHAnsi" w:hAnsiTheme="minorHAnsi" w:cstheme="minorHAnsi"/>
        </w:rPr>
        <w:t>s</w:t>
      </w:r>
      <w:r w:rsidRPr="005C453D">
        <w:rPr>
          <w:rFonts w:asciiTheme="minorHAnsi" w:hAnsiTheme="minorHAnsi" w:cstheme="minorHAnsi"/>
        </w:rPr>
        <w:t>ations improves organi</w:t>
      </w:r>
      <w:r w:rsidR="00210639" w:rsidRPr="005C453D">
        <w:rPr>
          <w:rFonts w:asciiTheme="minorHAnsi" w:hAnsiTheme="minorHAnsi" w:cstheme="minorHAnsi"/>
        </w:rPr>
        <w:t>s</w:t>
      </w:r>
      <w:r w:rsidRPr="005C453D">
        <w:rPr>
          <w:rFonts w:asciiTheme="minorHAnsi" w:hAnsiTheme="minorHAnsi" w:cstheme="minorHAnsi"/>
        </w:rPr>
        <w:t>ational effectiveness (</w:t>
      </w:r>
      <w:proofErr w:type="spellStart"/>
      <w:r w:rsidRPr="005C453D">
        <w:rPr>
          <w:rFonts w:asciiTheme="minorHAnsi" w:hAnsiTheme="minorHAnsi" w:cstheme="minorHAnsi"/>
        </w:rPr>
        <w:t>Kannungo</w:t>
      </w:r>
      <w:proofErr w:type="spellEnd"/>
      <w:r w:rsidRPr="005C453D">
        <w:rPr>
          <w:rFonts w:asciiTheme="minorHAnsi" w:hAnsiTheme="minorHAnsi" w:cstheme="minorHAnsi"/>
        </w:rPr>
        <w:t xml:space="preserve"> and Conger, 1993). This can be supported by Social Exchange Theory (SIT). It proposes when someone is rewarded with </w:t>
      </w:r>
      <w:r w:rsidRPr="005C453D">
        <w:rPr>
          <w:rFonts w:asciiTheme="minorHAnsi" w:hAnsiTheme="minorHAnsi" w:cstheme="minorHAnsi"/>
        </w:rPr>
        <w:lastRenderedPageBreak/>
        <w:t>positive actions, they tend to reciprocate (</w:t>
      </w:r>
      <w:proofErr w:type="spellStart"/>
      <w:r w:rsidRPr="005C453D">
        <w:rPr>
          <w:rFonts w:asciiTheme="minorHAnsi" w:hAnsiTheme="minorHAnsi" w:cstheme="minorHAnsi"/>
        </w:rPr>
        <w:t>Zafirovski</w:t>
      </w:r>
      <w:proofErr w:type="spellEnd"/>
      <w:r w:rsidRPr="005C453D">
        <w:rPr>
          <w:rFonts w:asciiTheme="minorHAnsi" w:hAnsiTheme="minorHAnsi" w:cstheme="minorHAnsi"/>
        </w:rPr>
        <w:t>, 2005). Thus, when organi</w:t>
      </w:r>
      <w:r w:rsidR="00F70375" w:rsidRPr="005C453D">
        <w:rPr>
          <w:rFonts w:asciiTheme="minorHAnsi" w:hAnsiTheme="minorHAnsi" w:cstheme="minorHAnsi"/>
        </w:rPr>
        <w:t>s</w:t>
      </w:r>
      <w:r w:rsidRPr="005C453D">
        <w:rPr>
          <w:rFonts w:asciiTheme="minorHAnsi" w:hAnsiTheme="minorHAnsi" w:cstheme="minorHAnsi"/>
        </w:rPr>
        <w:t xml:space="preserve">ational actions benefit employees and customers, they tend to show more commitment and loyalty, as indicated above. For example, Handelsbanken, a Swedish bank, has been doing extremely well for more than 47 years and is one of the top performers in the stock market. The CEO </w:t>
      </w:r>
      <w:r w:rsidR="00416F67" w:rsidRPr="005C453D">
        <w:rPr>
          <w:rFonts w:asciiTheme="minorHAnsi" w:hAnsiTheme="minorHAnsi" w:cstheme="minorHAnsi"/>
        </w:rPr>
        <w:t>reasons</w:t>
      </w:r>
      <w:r w:rsidRPr="005C453D">
        <w:rPr>
          <w:rFonts w:asciiTheme="minorHAnsi" w:hAnsiTheme="minorHAnsi" w:cstheme="minorHAnsi"/>
        </w:rPr>
        <w:t xml:space="preserve"> their success to advisors focusing solely on customers' benefits, and the profit is a result of the value-based organi</w:t>
      </w:r>
      <w:r w:rsidR="0091257D" w:rsidRPr="005C453D">
        <w:rPr>
          <w:rFonts w:asciiTheme="minorHAnsi" w:hAnsiTheme="minorHAnsi" w:cstheme="minorHAnsi"/>
        </w:rPr>
        <w:t>s</w:t>
      </w:r>
      <w:r w:rsidRPr="005C453D">
        <w:rPr>
          <w:rFonts w:asciiTheme="minorHAnsi" w:hAnsiTheme="minorHAnsi" w:cstheme="minorHAnsi"/>
        </w:rPr>
        <w:t>ational culture (World Economic Forum, 2022).</w:t>
      </w:r>
    </w:p>
    <w:p w14:paraId="37BD59D6" w14:textId="03630D97" w:rsidR="00C10905" w:rsidRPr="005C453D" w:rsidRDefault="00C10905" w:rsidP="00183E6D">
      <w:pPr>
        <w:shd w:val="clear" w:color="auto" w:fill="FFFFFF"/>
        <w:spacing w:before="240" w:after="240"/>
        <w:rPr>
          <w:rFonts w:asciiTheme="minorHAnsi" w:hAnsiTheme="minorHAnsi" w:cstheme="minorHAnsi"/>
        </w:rPr>
      </w:pPr>
      <w:r w:rsidRPr="005C453D">
        <w:rPr>
          <w:rFonts w:asciiTheme="minorHAnsi" w:hAnsiTheme="minorHAnsi" w:cstheme="minorHAnsi"/>
        </w:rPr>
        <w:t>Whether organi</w:t>
      </w:r>
      <w:r w:rsidR="0091257D" w:rsidRPr="005C453D">
        <w:rPr>
          <w:rFonts w:asciiTheme="minorHAnsi" w:hAnsiTheme="minorHAnsi" w:cstheme="minorHAnsi"/>
        </w:rPr>
        <w:t>s</w:t>
      </w:r>
      <w:r w:rsidRPr="005C453D">
        <w:rPr>
          <w:rFonts w:asciiTheme="minorHAnsi" w:hAnsiTheme="minorHAnsi" w:cstheme="minorHAnsi"/>
        </w:rPr>
        <w:t xml:space="preserve">ations practice altruism based on goodwill or as a strategy to influence employees is debatable. </w:t>
      </w:r>
      <w:proofErr w:type="spellStart"/>
      <w:r w:rsidRPr="005C453D">
        <w:rPr>
          <w:rFonts w:asciiTheme="minorHAnsi" w:hAnsiTheme="minorHAnsi" w:cstheme="minorHAnsi"/>
        </w:rPr>
        <w:t>Zafirovski</w:t>
      </w:r>
      <w:proofErr w:type="spellEnd"/>
      <w:r w:rsidRPr="005C453D">
        <w:rPr>
          <w:rFonts w:asciiTheme="minorHAnsi" w:hAnsiTheme="minorHAnsi" w:cstheme="minorHAnsi"/>
        </w:rPr>
        <w:t xml:space="preserve"> (2005) noted that power might be the result of unreciprocated social exchange. Employees who receive more benefits from the organi</w:t>
      </w:r>
      <w:r w:rsidR="0091257D" w:rsidRPr="005C453D">
        <w:rPr>
          <w:rFonts w:asciiTheme="minorHAnsi" w:hAnsiTheme="minorHAnsi" w:cstheme="minorHAnsi"/>
        </w:rPr>
        <w:t>s</w:t>
      </w:r>
      <w:r w:rsidRPr="005C453D">
        <w:rPr>
          <w:rFonts w:asciiTheme="minorHAnsi" w:hAnsiTheme="minorHAnsi" w:cstheme="minorHAnsi"/>
        </w:rPr>
        <w:t>ations may feel obligated and trapped and unable to move away even if they wanted.</w:t>
      </w:r>
    </w:p>
    <w:p w14:paraId="0D181BF9" w14:textId="2990EC13" w:rsidR="001C5DEC" w:rsidRPr="005C453D" w:rsidRDefault="00350FD9"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Communitarianism</w:t>
      </w:r>
    </w:p>
    <w:p w14:paraId="5CD2F47D" w14:textId="26A05F7E" w:rsidR="00FB4918" w:rsidRPr="005C453D" w:rsidRDefault="00FB4918"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This philosophical view developed in the 20th century, proposes that the community has a moral obligation to look after and respect human dignity and create ways to collaborate with all its members to work for the common good (Arjoon, 2005). When applying this principle to the organi</w:t>
      </w:r>
      <w:r w:rsidR="0048040B" w:rsidRPr="005C453D">
        <w:rPr>
          <w:rFonts w:asciiTheme="minorHAnsi" w:hAnsiTheme="minorHAnsi" w:cstheme="minorHAnsi"/>
        </w:rPr>
        <w:t>s</w:t>
      </w:r>
      <w:r w:rsidRPr="005C453D">
        <w:rPr>
          <w:rFonts w:asciiTheme="minorHAnsi" w:hAnsiTheme="minorHAnsi" w:cstheme="minorHAnsi"/>
        </w:rPr>
        <w:t>ational domain, it could be understood that businesses need to make decisions that benefit all their stakeholders and create ways to include them and work together to achieve organi</w:t>
      </w:r>
      <w:r w:rsidR="00E27F1D" w:rsidRPr="005C453D">
        <w:rPr>
          <w:rFonts w:asciiTheme="minorHAnsi" w:hAnsiTheme="minorHAnsi" w:cstheme="minorHAnsi"/>
        </w:rPr>
        <w:t>s</w:t>
      </w:r>
      <w:r w:rsidRPr="005C453D">
        <w:rPr>
          <w:rFonts w:asciiTheme="minorHAnsi" w:hAnsiTheme="minorHAnsi" w:cstheme="minorHAnsi"/>
        </w:rPr>
        <w:t>ational goals</w:t>
      </w:r>
      <w:r w:rsidR="009E4A73" w:rsidRPr="005C453D">
        <w:rPr>
          <w:rFonts w:asciiTheme="minorHAnsi" w:hAnsiTheme="minorHAnsi" w:cstheme="minorHAnsi"/>
        </w:rPr>
        <w:t xml:space="preserve"> (Arjoon, 2005)</w:t>
      </w:r>
      <w:r w:rsidRPr="005C453D">
        <w:rPr>
          <w:rFonts w:asciiTheme="minorHAnsi" w:hAnsiTheme="minorHAnsi" w:cstheme="minorHAnsi"/>
        </w:rPr>
        <w:t xml:space="preserve">. Stakeholder theory aligns with this perspective and </w:t>
      </w:r>
      <w:r w:rsidR="00FE5078" w:rsidRPr="005C453D">
        <w:rPr>
          <w:rFonts w:asciiTheme="minorHAnsi" w:hAnsiTheme="minorHAnsi" w:cstheme="minorHAnsi"/>
        </w:rPr>
        <w:t>states</w:t>
      </w:r>
      <w:r w:rsidRPr="005C453D">
        <w:rPr>
          <w:rFonts w:asciiTheme="minorHAnsi" w:hAnsiTheme="minorHAnsi" w:cstheme="minorHAnsi"/>
        </w:rPr>
        <w:t xml:space="preserve"> stakeholders such as employees, managers, and suppliers interacting and working together for trade value (Parmar et al., 2010). </w:t>
      </w:r>
      <w:r w:rsidR="00211DAF" w:rsidRPr="005C453D">
        <w:rPr>
          <w:rFonts w:asciiTheme="minorHAnsi" w:hAnsiTheme="minorHAnsi" w:cstheme="minorHAnsi"/>
        </w:rPr>
        <w:t>Although, o</w:t>
      </w:r>
      <w:r w:rsidRPr="005C453D">
        <w:rPr>
          <w:rFonts w:asciiTheme="minorHAnsi" w:hAnsiTheme="minorHAnsi" w:cstheme="minorHAnsi"/>
        </w:rPr>
        <w:t>rgani</w:t>
      </w:r>
      <w:r w:rsidR="00211DAF" w:rsidRPr="005C453D">
        <w:rPr>
          <w:rFonts w:asciiTheme="minorHAnsi" w:hAnsiTheme="minorHAnsi" w:cstheme="minorHAnsi"/>
        </w:rPr>
        <w:t>s</w:t>
      </w:r>
      <w:r w:rsidRPr="005C453D">
        <w:rPr>
          <w:rFonts w:asciiTheme="minorHAnsi" w:hAnsiTheme="minorHAnsi" w:cstheme="minorHAnsi"/>
        </w:rPr>
        <w:t>ations value stakeholder relations there seems to be a gap between principles and practice</w:t>
      </w:r>
      <w:r w:rsidR="00D10519" w:rsidRPr="005C453D">
        <w:rPr>
          <w:rFonts w:asciiTheme="minorHAnsi" w:hAnsiTheme="minorHAnsi" w:cstheme="minorHAnsi"/>
        </w:rPr>
        <w:t xml:space="preserve"> </w:t>
      </w:r>
      <w:r w:rsidR="00211DAF" w:rsidRPr="005C453D">
        <w:rPr>
          <w:rFonts w:asciiTheme="minorHAnsi" w:hAnsiTheme="minorHAnsi" w:cstheme="minorHAnsi"/>
        </w:rPr>
        <w:t>(Parmar et al., 2010)</w:t>
      </w:r>
      <w:r w:rsidRPr="005C453D">
        <w:rPr>
          <w:rFonts w:asciiTheme="minorHAnsi" w:hAnsiTheme="minorHAnsi" w:cstheme="minorHAnsi"/>
        </w:rPr>
        <w:t>. For example, at times HR professionals face dilemmas as they have pressure from the business to compromise the principles (CIPD, 2022). In addition, stakeholder analysis may not capture all stakeholder needs and views. Research suggests that the needs of minority groups were not fully addressed or incorporated into organi</w:t>
      </w:r>
      <w:r w:rsidR="00EF0727" w:rsidRPr="005C453D">
        <w:rPr>
          <w:rFonts w:asciiTheme="minorHAnsi" w:hAnsiTheme="minorHAnsi" w:cstheme="minorHAnsi"/>
        </w:rPr>
        <w:t>s</w:t>
      </w:r>
      <w:r w:rsidRPr="005C453D">
        <w:rPr>
          <w:rFonts w:asciiTheme="minorHAnsi" w:hAnsiTheme="minorHAnsi" w:cstheme="minorHAnsi"/>
        </w:rPr>
        <w:t>ational practice (Ong et al., 2011). For example, minority ethnic women continue to face challenges in their workplaces compared to their White counterparts (Opara et al., 2020).</w:t>
      </w:r>
    </w:p>
    <w:p w14:paraId="416BC6FA" w14:textId="77777777" w:rsidR="00952983" w:rsidRPr="005C453D" w:rsidRDefault="00952983" w:rsidP="00183E6D">
      <w:pPr>
        <w:shd w:val="clear" w:color="auto" w:fill="FFFFFF"/>
        <w:spacing w:before="240" w:after="240"/>
        <w:rPr>
          <w:rFonts w:asciiTheme="minorHAnsi" w:hAnsiTheme="minorHAnsi" w:cstheme="minorHAnsi"/>
        </w:rPr>
      </w:pPr>
    </w:p>
    <w:p w14:paraId="4C5FE4E4" w14:textId="77777777" w:rsidR="002F05AF" w:rsidRDefault="002F05AF" w:rsidP="00183E6D">
      <w:pPr>
        <w:shd w:val="clear" w:color="auto" w:fill="FFFFFF"/>
        <w:spacing w:before="240" w:after="240"/>
        <w:rPr>
          <w:rFonts w:asciiTheme="minorHAnsi" w:hAnsiTheme="minorHAnsi" w:cstheme="minorHAnsi"/>
          <w:b/>
          <w:bCs/>
          <w:u w:val="single"/>
        </w:rPr>
      </w:pPr>
    </w:p>
    <w:p w14:paraId="7DE147F7" w14:textId="45C908B5" w:rsidR="006678A9" w:rsidRPr="005C453D" w:rsidRDefault="00831D60" w:rsidP="00183E6D">
      <w:pPr>
        <w:shd w:val="clear" w:color="auto" w:fill="FFFFFF"/>
        <w:spacing w:before="240" w:after="240"/>
        <w:rPr>
          <w:rFonts w:asciiTheme="minorHAnsi" w:hAnsiTheme="minorHAnsi" w:cstheme="minorHAnsi"/>
          <w:b/>
          <w:bCs/>
          <w:u w:val="single"/>
        </w:rPr>
      </w:pPr>
      <w:r w:rsidRPr="005C453D">
        <w:rPr>
          <w:rFonts w:asciiTheme="minorHAnsi" w:hAnsiTheme="minorHAnsi" w:cstheme="minorHAnsi"/>
          <w:b/>
          <w:bCs/>
          <w:u w:val="single"/>
        </w:rPr>
        <w:lastRenderedPageBreak/>
        <w:t>Ways to monitor financial and non-financial performance</w:t>
      </w:r>
      <w:r w:rsidR="00D10519" w:rsidRPr="005C453D">
        <w:rPr>
          <w:rFonts w:asciiTheme="minorHAnsi" w:hAnsiTheme="minorHAnsi" w:cstheme="minorHAnsi"/>
          <w:b/>
          <w:bCs/>
          <w:u w:val="single"/>
        </w:rPr>
        <w:t xml:space="preserve"> (AC 3.1)</w:t>
      </w:r>
    </w:p>
    <w:p w14:paraId="2505BE87" w14:textId="616874BD" w:rsidR="00831D60" w:rsidRPr="005C453D" w:rsidRDefault="00D40506"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Gross</w:t>
      </w:r>
      <w:r w:rsidR="00103F37" w:rsidRPr="005C453D">
        <w:rPr>
          <w:rFonts w:asciiTheme="minorHAnsi" w:hAnsiTheme="minorHAnsi" w:cstheme="minorHAnsi"/>
          <w:u w:val="single"/>
        </w:rPr>
        <w:t xml:space="preserve"> Profit Margin</w:t>
      </w:r>
    </w:p>
    <w:p w14:paraId="3DDE8AC0" w14:textId="45B81D38" w:rsidR="00644411" w:rsidRPr="005C453D" w:rsidRDefault="00644411" w:rsidP="00183E6D">
      <w:pPr>
        <w:shd w:val="clear" w:color="auto" w:fill="FFFFFF"/>
        <w:spacing w:before="240" w:after="240"/>
        <w:rPr>
          <w:rFonts w:asciiTheme="minorHAnsi" w:hAnsiTheme="minorHAnsi" w:cstheme="minorHAnsi"/>
        </w:rPr>
      </w:pPr>
      <w:r w:rsidRPr="005C453D">
        <w:rPr>
          <w:rFonts w:asciiTheme="minorHAnsi" w:hAnsiTheme="minorHAnsi" w:cstheme="minorHAnsi"/>
        </w:rPr>
        <w:t xml:space="preserve">This method calculates the percentage of revenue left after deducting the direct cost </w:t>
      </w:r>
      <w:r w:rsidR="00D10519" w:rsidRPr="005C453D">
        <w:rPr>
          <w:rFonts w:asciiTheme="minorHAnsi" w:hAnsiTheme="minorHAnsi" w:cstheme="minorHAnsi"/>
        </w:rPr>
        <w:t>to produce</w:t>
      </w:r>
      <w:r w:rsidRPr="005C453D">
        <w:rPr>
          <w:rFonts w:asciiTheme="minorHAnsi" w:hAnsiTheme="minorHAnsi" w:cstheme="minorHAnsi"/>
        </w:rPr>
        <w:t xml:space="preserve"> goods. The advantages of it are that it is a simple method and shows how profitably a company can sell its goods (Corporate Finance Institute, no date). In addition, it is the first of the three profitability ratios considered to find out a company's performance. </w:t>
      </w:r>
    </w:p>
    <w:p w14:paraId="0F20013A" w14:textId="636414DC" w:rsidR="00644411" w:rsidRPr="005C453D" w:rsidRDefault="00644411" w:rsidP="00183E6D">
      <w:pPr>
        <w:shd w:val="clear" w:color="auto" w:fill="FFFFFF"/>
        <w:spacing w:before="240" w:after="240"/>
        <w:rPr>
          <w:rFonts w:asciiTheme="minorHAnsi" w:hAnsiTheme="minorHAnsi" w:cstheme="minorHAnsi"/>
        </w:rPr>
      </w:pPr>
      <w:r w:rsidRPr="005C453D">
        <w:rPr>
          <w:rFonts w:asciiTheme="minorHAnsi" w:hAnsiTheme="minorHAnsi" w:cstheme="minorHAnsi"/>
        </w:rPr>
        <w:t>While the gross profit margin is a valuable measure of profitability, it has limitations</w:t>
      </w:r>
      <w:r w:rsidR="001E1861" w:rsidRPr="005C453D">
        <w:rPr>
          <w:rFonts w:asciiTheme="minorHAnsi" w:hAnsiTheme="minorHAnsi" w:cstheme="minorHAnsi"/>
        </w:rPr>
        <w:t xml:space="preserve">, </w:t>
      </w:r>
      <w:r w:rsidR="00C72EF7" w:rsidRPr="005C453D">
        <w:rPr>
          <w:rFonts w:asciiTheme="minorHAnsi" w:hAnsiTheme="minorHAnsi" w:cstheme="minorHAnsi"/>
        </w:rPr>
        <w:t>mainly</w:t>
      </w:r>
      <w:r w:rsidRPr="005C453D">
        <w:rPr>
          <w:rFonts w:asciiTheme="minorHAnsi" w:hAnsiTheme="minorHAnsi" w:cstheme="minorHAnsi"/>
        </w:rPr>
        <w:t>, it doesn't include operational or overhead expenses (Harvard Business School Online, 2020). Therefore, it provides a narrow focus on the direct costs associated with production but does not account for other crucial aspects of a company's overall financial health.</w:t>
      </w:r>
    </w:p>
    <w:p w14:paraId="139DE53E" w14:textId="7CACE026" w:rsidR="00A14EFF" w:rsidRPr="005C453D" w:rsidRDefault="000C209C"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Balance Scorecard</w:t>
      </w:r>
    </w:p>
    <w:p w14:paraId="606E1445" w14:textId="34CE7D80" w:rsidR="004D7D3D" w:rsidRPr="005C453D" w:rsidRDefault="004D7D3D"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The Balanced Scorecard</w:t>
      </w:r>
      <w:r w:rsidR="0004260D" w:rsidRPr="005C453D">
        <w:rPr>
          <w:rFonts w:asciiTheme="minorHAnsi" w:hAnsiTheme="minorHAnsi" w:cstheme="minorHAnsi"/>
        </w:rPr>
        <w:t xml:space="preserve"> serves as a </w:t>
      </w:r>
      <w:r w:rsidRPr="005C453D">
        <w:rPr>
          <w:rFonts w:asciiTheme="minorHAnsi" w:hAnsiTheme="minorHAnsi" w:cstheme="minorHAnsi"/>
        </w:rPr>
        <w:t>comprehensive tool for top managers to gain an overview of the business. It incorporates both financial and operational measures, including customer satisfaction, internal processes, and improvement initiatives within the organi</w:t>
      </w:r>
      <w:r w:rsidR="009F5C11" w:rsidRPr="005C453D">
        <w:rPr>
          <w:rFonts w:asciiTheme="minorHAnsi" w:hAnsiTheme="minorHAnsi" w:cstheme="minorHAnsi"/>
        </w:rPr>
        <w:t>s</w:t>
      </w:r>
      <w:r w:rsidRPr="005C453D">
        <w:rPr>
          <w:rFonts w:asciiTheme="minorHAnsi" w:hAnsiTheme="minorHAnsi" w:cstheme="minorHAnsi"/>
        </w:rPr>
        <w:t>ation (Kaplan, 2021). This method allows managers to assess performance from four different perspectives</w:t>
      </w:r>
      <w:r w:rsidR="0004260D" w:rsidRPr="005C453D">
        <w:rPr>
          <w:rFonts w:asciiTheme="minorHAnsi" w:hAnsiTheme="minorHAnsi" w:cstheme="minorHAnsi"/>
        </w:rPr>
        <w:t>. They are,</w:t>
      </w:r>
      <w:r w:rsidRPr="005C453D">
        <w:rPr>
          <w:rFonts w:asciiTheme="minorHAnsi" w:hAnsiTheme="minorHAnsi" w:cstheme="minorHAnsi"/>
        </w:rPr>
        <w:t xml:space="preserve"> customer satisfaction, financial health, internal business activities, and innovation and learning. By </w:t>
      </w:r>
      <w:r w:rsidR="00AC770D" w:rsidRPr="005C453D">
        <w:rPr>
          <w:rFonts w:asciiTheme="minorHAnsi" w:hAnsiTheme="minorHAnsi" w:cstheme="minorHAnsi"/>
        </w:rPr>
        <w:t>combining</w:t>
      </w:r>
      <w:r w:rsidRPr="005C453D">
        <w:rPr>
          <w:rFonts w:asciiTheme="minorHAnsi" w:hAnsiTheme="minorHAnsi" w:cstheme="minorHAnsi"/>
        </w:rPr>
        <w:t xml:space="preserve"> these crucial business aspects in one place, this tool enables managers to view all operational measures and concentrate on the critical aspects of the business without the need to refer to different reports and measures (Kaplan, 2021). </w:t>
      </w:r>
    </w:p>
    <w:p w14:paraId="2F338236" w14:textId="077DF375" w:rsidR="00B724AC" w:rsidRPr="005C453D" w:rsidRDefault="004D7D3D" w:rsidP="00183E6D">
      <w:pPr>
        <w:shd w:val="clear" w:color="auto" w:fill="FFFFFF"/>
        <w:spacing w:before="240" w:after="240"/>
        <w:rPr>
          <w:rFonts w:asciiTheme="minorHAnsi" w:hAnsiTheme="minorHAnsi" w:cstheme="minorHAnsi"/>
        </w:rPr>
      </w:pPr>
      <w:r w:rsidRPr="005C453D">
        <w:rPr>
          <w:rFonts w:asciiTheme="minorHAnsi" w:hAnsiTheme="minorHAnsi" w:cstheme="minorHAnsi"/>
        </w:rPr>
        <w:t xml:space="preserve">Although it provided a holistic view it has limitations too. This tool was criticised for failing to highlight the contributions of employees to achieve company objectives; </w:t>
      </w:r>
      <w:r w:rsidR="00F3762F" w:rsidRPr="005C453D">
        <w:rPr>
          <w:rFonts w:asciiTheme="minorHAnsi" w:hAnsiTheme="minorHAnsi" w:cstheme="minorHAnsi"/>
        </w:rPr>
        <w:t>also,</w:t>
      </w:r>
      <w:r w:rsidRPr="005C453D">
        <w:rPr>
          <w:rFonts w:asciiTheme="minorHAnsi" w:hAnsiTheme="minorHAnsi" w:cstheme="minorHAnsi"/>
        </w:rPr>
        <w:t xml:space="preserve"> it did</w:t>
      </w:r>
      <w:r w:rsidR="007C4AD5" w:rsidRPr="005C453D">
        <w:rPr>
          <w:rFonts w:asciiTheme="minorHAnsi" w:hAnsiTheme="minorHAnsi" w:cstheme="minorHAnsi"/>
        </w:rPr>
        <w:t xml:space="preserve"> no</w:t>
      </w:r>
      <w:r w:rsidRPr="005C453D">
        <w:rPr>
          <w:rFonts w:asciiTheme="minorHAnsi" w:hAnsiTheme="minorHAnsi" w:cstheme="minorHAnsi"/>
        </w:rPr>
        <w:t>t have measures to assess stakeholder contributions (Hristov and Chirico, 2016).</w:t>
      </w:r>
    </w:p>
    <w:p w14:paraId="36810B79" w14:textId="73AF25B6" w:rsidR="00002584" w:rsidRPr="005C453D" w:rsidRDefault="00593BED" w:rsidP="00F3762F">
      <w:pPr>
        <w:shd w:val="clear" w:color="auto" w:fill="FFFFFF"/>
        <w:spacing w:after="240"/>
        <w:rPr>
          <w:rFonts w:asciiTheme="minorHAnsi" w:hAnsiTheme="minorHAnsi" w:cstheme="minorHAnsi"/>
          <w:b/>
          <w:bCs/>
          <w:u w:val="single"/>
        </w:rPr>
      </w:pPr>
      <w:r w:rsidRPr="005C453D">
        <w:rPr>
          <w:rFonts w:asciiTheme="minorHAnsi" w:hAnsiTheme="minorHAnsi" w:cstheme="minorHAnsi"/>
          <w:b/>
          <w:bCs/>
          <w:u w:val="single"/>
        </w:rPr>
        <w:t>HR practices</w:t>
      </w:r>
      <w:r w:rsidR="002F2D47" w:rsidRPr="005C453D">
        <w:rPr>
          <w:rFonts w:asciiTheme="minorHAnsi" w:hAnsiTheme="minorHAnsi" w:cstheme="minorHAnsi"/>
          <w:b/>
          <w:bCs/>
          <w:u w:val="single"/>
        </w:rPr>
        <w:t xml:space="preserve"> adding value in an organisation</w:t>
      </w:r>
      <w:r w:rsidR="00F3762F" w:rsidRPr="005C453D">
        <w:rPr>
          <w:rFonts w:asciiTheme="minorHAnsi" w:hAnsiTheme="minorHAnsi" w:cstheme="minorHAnsi"/>
          <w:b/>
          <w:bCs/>
          <w:u w:val="single"/>
        </w:rPr>
        <w:t xml:space="preserve"> (AC 3.2</w:t>
      </w:r>
      <w:r w:rsidR="00004E56">
        <w:rPr>
          <w:rFonts w:asciiTheme="minorHAnsi" w:hAnsiTheme="minorHAnsi" w:cstheme="minorHAnsi"/>
          <w:b/>
          <w:bCs/>
          <w:u w:val="single"/>
        </w:rPr>
        <w:t>)</w:t>
      </w:r>
    </w:p>
    <w:p w14:paraId="5A036A7F" w14:textId="262CD700" w:rsidR="004D7D3D" w:rsidRPr="005C453D" w:rsidRDefault="004D7D3D" w:rsidP="00183E6D">
      <w:pPr>
        <w:shd w:val="clear" w:color="auto" w:fill="FFFFFF"/>
        <w:spacing w:before="240" w:after="240"/>
        <w:rPr>
          <w:rFonts w:asciiTheme="minorHAnsi" w:hAnsiTheme="minorHAnsi" w:cstheme="minorHAnsi"/>
        </w:rPr>
      </w:pPr>
      <w:r w:rsidRPr="005C453D">
        <w:rPr>
          <w:rFonts w:asciiTheme="minorHAnsi" w:hAnsiTheme="minorHAnsi" w:cstheme="minorHAnsi"/>
        </w:rPr>
        <w:t>HR practices significantly impact organi</w:t>
      </w:r>
      <w:r w:rsidR="00F3762F" w:rsidRPr="005C453D">
        <w:rPr>
          <w:rFonts w:asciiTheme="minorHAnsi" w:hAnsiTheme="minorHAnsi" w:cstheme="minorHAnsi"/>
        </w:rPr>
        <w:t>s</w:t>
      </w:r>
      <w:r w:rsidRPr="005C453D">
        <w:rPr>
          <w:rFonts w:asciiTheme="minorHAnsi" w:hAnsiTheme="minorHAnsi" w:cstheme="minorHAnsi"/>
        </w:rPr>
        <w:t>ational success by enhancing the organi</w:t>
      </w:r>
      <w:r w:rsidR="004B0BC2" w:rsidRPr="005C453D">
        <w:rPr>
          <w:rFonts w:asciiTheme="minorHAnsi" w:hAnsiTheme="minorHAnsi" w:cstheme="minorHAnsi"/>
        </w:rPr>
        <w:t>s</w:t>
      </w:r>
      <w:r w:rsidRPr="005C453D">
        <w:rPr>
          <w:rFonts w:asciiTheme="minorHAnsi" w:hAnsiTheme="minorHAnsi" w:cstheme="minorHAnsi"/>
        </w:rPr>
        <w:t>ation’s capabilities, including improvements in employee and customer satisfaction, training and development opportunities, rewards systems, talent acquisition and retention, communication, and organi</w:t>
      </w:r>
      <w:r w:rsidR="004B0BC2" w:rsidRPr="005C453D">
        <w:rPr>
          <w:rFonts w:asciiTheme="minorHAnsi" w:hAnsiTheme="minorHAnsi" w:cstheme="minorHAnsi"/>
        </w:rPr>
        <w:t>s</w:t>
      </w:r>
      <w:r w:rsidRPr="005C453D">
        <w:rPr>
          <w:rFonts w:asciiTheme="minorHAnsi" w:hAnsiTheme="minorHAnsi" w:cstheme="minorHAnsi"/>
        </w:rPr>
        <w:t xml:space="preserve">ational design and restructuring (Yeung and Berman, 1997). </w:t>
      </w:r>
      <w:r w:rsidR="005000E3" w:rsidRPr="005C453D">
        <w:rPr>
          <w:rFonts w:asciiTheme="minorHAnsi" w:hAnsiTheme="minorHAnsi" w:cstheme="minorHAnsi"/>
        </w:rPr>
        <w:t xml:space="preserve">For </w:t>
      </w:r>
      <w:r w:rsidR="005000E3" w:rsidRPr="005C453D">
        <w:rPr>
          <w:rFonts w:asciiTheme="minorHAnsi" w:hAnsiTheme="minorHAnsi" w:cstheme="minorHAnsi"/>
        </w:rPr>
        <w:lastRenderedPageBreak/>
        <w:t>example,</w:t>
      </w:r>
      <w:r w:rsidRPr="005C453D">
        <w:rPr>
          <w:rFonts w:asciiTheme="minorHAnsi" w:hAnsiTheme="minorHAnsi" w:cstheme="minorHAnsi"/>
        </w:rPr>
        <w:t xml:space="preserve"> HR practices in selection and recruitment attract the right candidates to the right jobs with the right skills (CIPD, 2015).</w:t>
      </w:r>
    </w:p>
    <w:p w14:paraId="50196AB8" w14:textId="1965A8AF" w:rsidR="004D7D3D" w:rsidRPr="005C453D" w:rsidRDefault="004D7D3D" w:rsidP="00183E6D">
      <w:pPr>
        <w:shd w:val="clear" w:color="auto" w:fill="FFFFFF"/>
        <w:spacing w:before="240" w:after="240"/>
        <w:rPr>
          <w:rFonts w:asciiTheme="minorHAnsi" w:hAnsiTheme="minorHAnsi" w:cstheme="minorHAnsi"/>
        </w:rPr>
      </w:pPr>
      <w:r w:rsidRPr="005C453D">
        <w:rPr>
          <w:rFonts w:asciiTheme="minorHAnsi" w:hAnsiTheme="minorHAnsi" w:cstheme="minorHAnsi"/>
        </w:rPr>
        <w:t>Considering learning and development, employees need to update their skills and knowledge throughout their working lives to navigate technological, economic, and policy changes (</w:t>
      </w:r>
      <w:r w:rsidR="00407572" w:rsidRPr="005C453D">
        <w:rPr>
          <w:rFonts w:asciiTheme="minorHAnsi" w:hAnsiTheme="minorHAnsi" w:cstheme="minorHAnsi"/>
        </w:rPr>
        <w:t xml:space="preserve">Fleischmann &amp; Koster, 2017; </w:t>
      </w:r>
      <w:r w:rsidRPr="005C453D">
        <w:rPr>
          <w:rFonts w:asciiTheme="minorHAnsi" w:hAnsiTheme="minorHAnsi" w:cstheme="minorHAnsi"/>
        </w:rPr>
        <w:t>Fuller &amp; Unwin, 2005). HR practices generate internal and external training opportunities and effectively communicate these with the workforce (Rasool et al., 2022)</w:t>
      </w:r>
      <w:r w:rsidR="006145DA" w:rsidRPr="005C453D">
        <w:rPr>
          <w:rFonts w:asciiTheme="minorHAnsi" w:hAnsiTheme="minorHAnsi" w:cstheme="minorHAnsi"/>
        </w:rPr>
        <w:t xml:space="preserve">. </w:t>
      </w:r>
      <w:r w:rsidR="003B3022" w:rsidRPr="005C453D">
        <w:rPr>
          <w:rFonts w:asciiTheme="minorHAnsi" w:hAnsiTheme="minorHAnsi" w:cstheme="minorHAnsi"/>
        </w:rPr>
        <w:t>A workforce with up-to-date knowledge and skills will give</w:t>
      </w:r>
      <w:r w:rsidRPr="005C453D">
        <w:rPr>
          <w:rFonts w:asciiTheme="minorHAnsi" w:hAnsiTheme="minorHAnsi" w:cstheme="minorHAnsi"/>
        </w:rPr>
        <w:t xml:space="preserve"> a competitive advantage to the organi</w:t>
      </w:r>
      <w:r w:rsidR="007E24A7" w:rsidRPr="005C453D">
        <w:rPr>
          <w:rFonts w:asciiTheme="minorHAnsi" w:hAnsiTheme="minorHAnsi" w:cstheme="minorHAnsi"/>
        </w:rPr>
        <w:t>s</w:t>
      </w:r>
      <w:r w:rsidRPr="005C453D">
        <w:rPr>
          <w:rFonts w:asciiTheme="minorHAnsi" w:hAnsiTheme="minorHAnsi" w:cstheme="minorHAnsi"/>
        </w:rPr>
        <w:t>ation in the fast-paced business world. In addition to learning opportunities, employees prefer to have a career path for progression; a successful career path opportunity was noted to reduce turnover intentions (</w:t>
      </w:r>
      <w:r w:rsidR="008D5E09" w:rsidRPr="005C453D">
        <w:rPr>
          <w:rFonts w:asciiTheme="minorHAnsi" w:hAnsiTheme="minorHAnsi" w:cstheme="minorHAnsi"/>
        </w:rPr>
        <w:t>Yeung and Berman, 1997</w:t>
      </w:r>
      <w:r w:rsidRPr="005C453D">
        <w:rPr>
          <w:rFonts w:asciiTheme="minorHAnsi" w:hAnsiTheme="minorHAnsi" w:cstheme="minorHAnsi"/>
        </w:rPr>
        <w:t>). Effective HR practices ensure the organi</w:t>
      </w:r>
      <w:r w:rsidR="0040564B" w:rsidRPr="005C453D">
        <w:rPr>
          <w:rFonts w:asciiTheme="minorHAnsi" w:hAnsiTheme="minorHAnsi" w:cstheme="minorHAnsi"/>
        </w:rPr>
        <w:t>s</w:t>
      </w:r>
      <w:r w:rsidRPr="005C453D">
        <w:rPr>
          <w:rFonts w:asciiTheme="minorHAnsi" w:hAnsiTheme="minorHAnsi" w:cstheme="minorHAnsi"/>
        </w:rPr>
        <w:t>ation’s sustainable performance. Therefore, Human Resources professionals need to be treated as a pivotal part of the organi</w:t>
      </w:r>
      <w:r w:rsidR="0027634D" w:rsidRPr="005C453D">
        <w:rPr>
          <w:rFonts w:asciiTheme="minorHAnsi" w:hAnsiTheme="minorHAnsi" w:cstheme="minorHAnsi"/>
        </w:rPr>
        <w:t>s</w:t>
      </w:r>
      <w:r w:rsidRPr="005C453D">
        <w:rPr>
          <w:rFonts w:asciiTheme="minorHAnsi" w:hAnsiTheme="minorHAnsi" w:cstheme="minorHAnsi"/>
        </w:rPr>
        <w:t>ational strategy (Rasool et al., 2022).</w:t>
      </w:r>
    </w:p>
    <w:p w14:paraId="462F840D" w14:textId="0F6E0B56" w:rsidR="004D7D3D" w:rsidRPr="005C453D" w:rsidRDefault="004D7D3D" w:rsidP="00183E6D">
      <w:pPr>
        <w:shd w:val="clear" w:color="auto" w:fill="FFFFFF"/>
        <w:spacing w:before="240" w:after="240"/>
        <w:rPr>
          <w:rFonts w:asciiTheme="minorHAnsi" w:hAnsiTheme="minorHAnsi" w:cstheme="minorHAnsi"/>
        </w:rPr>
      </w:pPr>
      <w:r w:rsidRPr="005C453D">
        <w:rPr>
          <w:rFonts w:asciiTheme="minorHAnsi" w:hAnsiTheme="minorHAnsi" w:cstheme="minorHAnsi"/>
        </w:rPr>
        <w:t>It is essential to measure the impact of HR interventions in an organi</w:t>
      </w:r>
      <w:r w:rsidR="0027634D" w:rsidRPr="005C453D">
        <w:rPr>
          <w:rFonts w:asciiTheme="minorHAnsi" w:hAnsiTheme="minorHAnsi" w:cstheme="minorHAnsi"/>
        </w:rPr>
        <w:t>s</w:t>
      </w:r>
      <w:r w:rsidRPr="005C453D">
        <w:rPr>
          <w:rFonts w:asciiTheme="minorHAnsi" w:hAnsiTheme="minorHAnsi" w:cstheme="minorHAnsi"/>
        </w:rPr>
        <w:t>ation. This helps the organi</w:t>
      </w:r>
      <w:r w:rsidR="0027634D" w:rsidRPr="005C453D">
        <w:rPr>
          <w:rFonts w:asciiTheme="minorHAnsi" w:hAnsiTheme="minorHAnsi" w:cstheme="minorHAnsi"/>
        </w:rPr>
        <w:t>s</w:t>
      </w:r>
      <w:r w:rsidRPr="005C453D">
        <w:rPr>
          <w:rFonts w:asciiTheme="minorHAnsi" w:hAnsiTheme="minorHAnsi" w:cstheme="minorHAnsi"/>
        </w:rPr>
        <w:t xml:space="preserve">ation </w:t>
      </w:r>
      <w:r w:rsidR="00354808" w:rsidRPr="005C453D">
        <w:rPr>
          <w:rFonts w:asciiTheme="minorHAnsi" w:hAnsiTheme="minorHAnsi" w:cstheme="minorHAnsi"/>
        </w:rPr>
        <w:t xml:space="preserve">to </w:t>
      </w:r>
      <w:r w:rsidRPr="005C453D">
        <w:rPr>
          <w:rFonts w:asciiTheme="minorHAnsi" w:hAnsiTheme="minorHAnsi" w:cstheme="minorHAnsi"/>
        </w:rPr>
        <w:t>interpret people data</w:t>
      </w:r>
      <w:r w:rsidR="00354808" w:rsidRPr="005C453D">
        <w:rPr>
          <w:rFonts w:asciiTheme="minorHAnsi" w:hAnsiTheme="minorHAnsi" w:cstheme="minorHAnsi"/>
        </w:rPr>
        <w:t xml:space="preserve">, </w:t>
      </w:r>
      <w:r w:rsidRPr="005C453D">
        <w:rPr>
          <w:rFonts w:asciiTheme="minorHAnsi" w:hAnsiTheme="minorHAnsi" w:cstheme="minorHAnsi"/>
        </w:rPr>
        <w:t>HR systems in operation, and organi</w:t>
      </w:r>
      <w:r w:rsidR="00F7419C" w:rsidRPr="005C453D">
        <w:rPr>
          <w:rFonts w:asciiTheme="minorHAnsi" w:hAnsiTheme="minorHAnsi" w:cstheme="minorHAnsi"/>
        </w:rPr>
        <w:t>s</w:t>
      </w:r>
      <w:r w:rsidRPr="005C453D">
        <w:rPr>
          <w:rFonts w:asciiTheme="minorHAnsi" w:hAnsiTheme="minorHAnsi" w:cstheme="minorHAnsi"/>
        </w:rPr>
        <w:t>ational performance</w:t>
      </w:r>
      <w:r w:rsidR="009F4C1C" w:rsidRPr="005C453D">
        <w:rPr>
          <w:rFonts w:asciiTheme="minorHAnsi" w:hAnsiTheme="minorHAnsi" w:cstheme="minorHAnsi"/>
        </w:rPr>
        <w:t xml:space="preserve"> etc</w:t>
      </w:r>
      <w:r w:rsidR="00850251" w:rsidRPr="005C453D">
        <w:rPr>
          <w:rFonts w:asciiTheme="minorHAnsi" w:hAnsiTheme="minorHAnsi" w:cstheme="minorHAnsi"/>
        </w:rPr>
        <w:t xml:space="preserve">. </w:t>
      </w:r>
      <w:r w:rsidR="009F4C1C" w:rsidRPr="005C453D">
        <w:rPr>
          <w:rFonts w:asciiTheme="minorHAnsi" w:hAnsiTheme="minorHAnsi" w:cstheme="minorHAnsi"/>
        </w:rPr>
        <w:t>These</w:t>
      </w:r>
      <w:r w:rsidR="00850251" w:rsidRPr="005C453D">
        <w:rPr>
          <w:rFonts w:asciiTheme="minorHAnsi" w:hAnsiTheme="minorHAnsi" w:cstheme="minorHAnsi"/>
        </w:rPr>
        <w:t xml:space="preserve"> can be </w:t>
      </w:r>
      <w:r w:rsidR="009F4C1C" w:rsidRPr="005C453D">
        <w:rPr>
          <w:rFonts w:asciiTheme="minorHAnsi" w:hAnsiTheme="minorHAnsi" w:cstheme="minorHAnsi"/>
        </w:rPr>
        <w:t xml:space="preserve">then </w:t>
      </w:r>
      <w:r w:rsidR="00850251" w:rsidRPr="005C453D">
        <w:rPr>
          <w:rFonts w:asciiTheme="minorHAnsi" w:hAnsiTheme="minorHAnsi" w:cstheme="minorHAnsi"/>
        </w:rPr>
        <w:t>compared against</w:t>
      </w:r>
      <w:r w:rsidRPr="005C453D">
        <w:rPr>
          <w:rFonts w:asciiTheme="minorHAnsi" w:hAnsiTheme="minorHAnsi" w:cstheme="minorHAnsi"/>
        </w:rPr>
        <w:t xml:space="preserve"> external benchmarks</w:t>
      </w:r>
      <w:r w:rsidR="00C71723" w:rsidRPr="005C453D">
        <w:rPr>
          <w:rFonts w:asciiTheme="minorHAnsi" w:hAnsiTheme="minorHAnsi" w:cstheme="minorHAnsi"/>
        </w:rPr>
        <w:t xml:space="preserve"> </w:t>
      </w:r>
      <w:r w:rsidR="009F4C1C" w:rsidRPr="005C453D">
        <w:rPr>
          <w:rFonts w:asciiTheme="minorHAnsi" w:hAnsiTheme="minorHAnsi" w:cstheme="minorHAnsi"/>
        </w:rPr>
        <w:t xml:space="preserve">to assess the organisation’s current </w:t>
      </w:r>
      <w:r w:rsidR="00F7419C" w:rsidRPr="005C453D">
        <w:rPr>
          <w:rFonts w:asciiTheme="minorHAnsi" w:hAnsiTheme="minorHAnsi" w:cstheme="minorHAnsi"/>
        </w:rPr>
        <w:t>state</w:t>
      </w:r>
      <w:r w:rsidRPr="005C453D">
        <w:rPr>
          <w:rFonts w:asciiTheme="minorHAnsi" w:hAnsiTheme="minorHAnsi" w:cstheme="minorHAnsi"/>
        </w:rPr>
        <w:t xml:space="preserve"> (Marler and Boudreau, 2017, as cited in CIPD, 2021).</w:t>
      </w:r>
    </w:p>
    <w:p w14:paraId="1ED82DE8" w14:textId="10EF44CF" w:rsidR="00051566" w:rsidRPr="005C453D" w:rsidRDefault="00C77C77"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Methods of measuring the impact of people practices</w:t>
      </w:r>
    </w:p>
    <w:p w14:paraId="73B6BCF8" w14:textId="73FF62BC" w:rsidR="00C77C77" w:rsidRPr="005C453D" w:rsidRDefault="00C77C77" w:rsidP="00183E6D">
      <w:pPr>
        <w:shd w:val="clear" w:color="auto" w:fill="FFFFFF"/>
        <w:spacing w:before="240" w:after="240"/>
        <w:rPr>
          <w:rFonts w:asciiTheme="minorHAnsi" w:hAnsiTheme="minorHAnsi" w:cstheme="minorHAnsi"/>
          <w:u w:val="single"/>
        </w:rPr>
      </w:pPr>
      <w:r w:rsidRPr="005C453D">
        <w:rPr>
          <w:rFonts w:asciiTheme="minorHAnsi" w:hAnsiTheme="minorHAnsi" w:cstheme="minorHAnsi"/>
          <w:u w:val="single"/>
        </w:rPr>
        <w:t>People analytics</w:t>
      </w:r>
    </w:p>
    <w:p w14:paraId="64526511" w14:textId="2293AFAB" w:rsidR="00B9764F" w:rsidRDefault="00B9764F" w:rsidP="00183E6D">
      <w:pPr>
        <w:shd w:val="clear" w:color="auto" w:fill="FFFFFF"/>
        <w:spacing w:before="240" w:after="240"/>
        <w:rPr>
          <w:rFonts w:asciiTheme="minorHAnsi" w:hAnsiTheme="minorHAnsi" w:cstheme="minorHAnsi"/>
        </w:rPr>
      </w:pPr>
      <w:r w:rsidRPr="005C453D">
        <w:rPr>
          <w:rFonts w:asciiTheme="minorHAnsi" w:hAnsiTheme="minorHAnsi" w:cstheme="minorHAnsi"/>
        </w:rPr>
        <w:t>People analytics is gaining popularity in organi</w:t>
      </w:r>
      <w:r w:rsidR="008C6984" w:rsidRPr="005C453D">
        <w:rPr>
          <w:rFonts w:asciiTheme="minorHAnsi" w:hAnsiTheme="minorHAnsi" w:cstheme="minorHAnsi"/>
        </w:rPr>
        <w:t>s</w:t>
      </w:r>
      <w:r w:rsidRPr="005C453D">
        <w:rPr>
          <w:rFonts w:asciiTheme="minorHAnsi" w:hAnsiTheme="minorHAnsi" w:cstheme="minorHAnsi"/>
        </w:rPr>
        <w:t xml:space="preserve">ations due to current technological advancements. This allows </w:t>
      </w:r>
      <w:r w:rsidR="008C6984" w:rsidRPr="005C453D">
        <w:rPr>
          <w:rFonts w:asciiTheme="minorHAnsi" w:hAnsiTheme="minorHAnsi" w:cstheme="minorHAnsi"/>
        </w:rPr>
        <w:t xml:space="preserve">the organisations to </w:t>
      </w:r>
      <w:r w:rsidRPr="005C453D">
        <w:rPr>
          <w:rFonts w:asciiTheme="minorHAnsi" w:hAnsiTheme="minorHAnsi" w:cstheme="minorHAnsi"/>
        </w:rPr>
        <w:t>drill down into people data to gain insights into workforce performance, productivity, and well-being (CIPD, 2018). An intercontinental survey conducted by CIPD with organi</w:t>
      </w:r>
      <w:r w:rsidR="00A4056C" w:rsidRPr="005C453D">
        <w:rPr>
          <w:rFonts w:asciiTheme="minorHAnsi" w:hAnsiTheme="minorHAnsi" w:cstheme="minorHAnsi"/>
        </w:rPr>
        <w:t>s</w:t>
      </w:r>
      <w:r w:rsidRPr="005C453D">
        <w:rPr>
          <w:rFonts w:asciiTheme="minorHAnsi" w:hAnsiTheme="minorHAnsi" w:cstheme="minorHAnsi"/>
        </w:rPr>
        <w:t>ations revealed that HR departments across different countries use people data to address significant challenges related to their workforce (CIPD, 2018). The visibility of this data presented in dashboards and diagrams helps in making effective decisions (CIPD, 2018). However, the access to this data varies across professional groups. The CIPD (2018) analysis showed that globally, 71% of HR professionals have access to this data, while only 42% of finance professionals do. This discrepancy could impact their decision</w:t>
      </w:r>
      <w:r w:rsidR="008E6033" w:rsidRPr="005C453D">
        <w:rPr>
          <w:rFonts w:asciiTheme="minorHAnsi" w:hAnsiTheme="minorHAnsi" w:cstheme="minorHAnsi"/>
        </w:rPr>
        <w:t xml:space="preserve"> </w:t>
      </w:r>
      <w:r w:rsidRPr="005C453D">
        <w:rPr>
          <w:rFonts w:asciiTheme="minorHAnsi" w:hAnsiTheme="minorHAnsi" w:cstheme="minorHAnsi"/>
        </w:rPr>
        <w:t xml:space="preserve">making. On the other hand, HR professionals may lack confidence in conducting </w:t>
      </w:r>
      <w:r w:rsidRPr="005C453D">
        <w:rPr>
          <w:rFonts w:asciiTheme="minorHAnsi" w:hAnsiTheme="minorHAnsi" w:cstheme="minorHAnsi"/>
        </w:rPr>
        <w:lastRenderedPageBreak/>
        <w:t>advanced people analysis (CIPD, 2018). Providing them with appropriate training would be helpful.</w:t>
      </w:r>
    </w:p>
    <w:p w14:paraId="47A3A0F1" w14:textId="6F8D38EC" w:rsidR="005541AE" w:rsidRPr="005C453D" w:rsidRDefault="000E74D4" w:rsidP="00183E6D">
      <w:pPr>
        <w:shd w:val="clear" w:color="auto" w:fill="FFFFFF"/>
        <w:spacing w:before="240" w:after="240"/>
        <w:rPr>
          <w:rFonts w:asciiTheme="minorHAnsi" w:hAnsiTheme="minorHAnsi" w:cstheme="minorHAnsi"/>
        </w:rPr>
      </w:pPr>
      <w:r w:rsidRPr="005C453D">
        <w:rPr>
          <w:rFonts w:asciiTheme="minorHAnsi" w:hAnsiTheme="minorHAnsi" w:cstheme="minorHAnsi"/>
          <w:u w:val="single"/>
        </w:rPr>
        <w:t xml:space="preserve">Return of Investment </w:t>
      </w:r>
      <w:r w:rsidR="004B58B9" w:rsidRPr="005C453D">
        <w:rPr>
          <w:rFonts w:asciiTheme="minorHAnsi" w:hAnsiTheme="minorHAnsi" w:cstheme="minorHAnsi"/>
          <w:u w:val="single"/>
        </w:rPr>
        <w:t xml:space="preserve">(ROI) </w:t>
      </w:r>
      <w:r w:rsidRPr="005C453D">
        <w:rPr>
          <w:rFonts w:asciiTheme="minorHAnsi" w:hAnsiTheme="minorHAnsi" w:cstheme="minorHAnsi"/>
          <w:u w:val="single"/>
        </w:rPr>
        <w:t>for human capital</w:t>
      </w:r>
    </w:p>
    <w:p w14:paraId="35EA5578" w14:textId="79BA7FEC" w:rsidR="00422F5F" w:rsidRPr="005C453D" w:rsidRDefault="00B9764F" w:rsidP="00183E6D">
      <w:pPr>
        <w:shd w:val="clear" w:color="auto" w:fill="FFFFFF"/>
        <w:spacing w:before="240" w:after="240"/>
        <w:rPr>
          <w:rFonts w:asciiTheme="minorHAnsi" w:hAnsiTheme="minorHAnsi" w:cstheme="minorHAnsi"/>
        </w:rPr>
      </w:pPr>
      <w:r w:rsidRPr="005C453D">
        <w:rPr>
          <w:rFonts w:asciiTheme="minorHAnsi" w:hAnsiTheme="minorHAnsi" w:cstheme="minorHAnsi"/>
        </w:rPr>
        <w:t>This method involves capturing data on costs to provide evidence of how the investment impacted the organi</w:t>
      </w:r>
      <w:r w:rsidR="000E0083" w:rsidRPr="005C453D">
        <w:rPr>
          <w:rFonts w:asciiTheme="minorHAnsi" w:hAnsiTheme="minorHAnsi" w:cstheme="minorHAnsi"/>
        </w:rPr>
        <w:t>s</w:t>
      </w:r>
      <w:r w:rsidRPr="005C453D">
        <w:rPr>
          <w:rFonts w:asciiTheme="minorHAnsi" w:hAnsiTheme="minorHAnsi" w:cstheme="minorHAnsi"/>
        </w:rPr>
        <w:t>ation’s performance. However, there are different interpretations of ROI available. For example, practitioners could set a desired goal for the investment, collect data to calculate the metric (</w:t>
      </w:r>
      <w:proofErr w:type="spellStart"/>
      <w:r w:rsidRPr="005C453D">
        <w:rPr>
          <w:rFonts w:asciiTheme="minorHAnsi" w:hAnsiTheme="minorHAnsi" w:cstheme="minorHAnsi"/>
        </w:rPr>
        <w:t>Dadd</w:t>
      </w:r>
      <w:proofErr w:type="spellEnd"/>
      <w:r w:rsidRPr="005C453D">
        <w:rPr>
          <w:rFonts w:asciiTheme="minorHAnsi" w:hAnsiTheme="minorHAnsi" w:cstheme="minorHAnsi"/>
        </w:rPr>
        <w:t xml:space="preserve"> and Hinton, 2022). This approach allows organi</w:t>
      </w:r>
      <w:r w:rsidR="000E0083" w:rsidRPr="005C453D">
        <w:rPr>
          <w:rFonts w:asciiTheme="minorHAnsi" w:hAnsiTheme="minorHAnsi" w:cstheme="minorHAnsi"/>
        </w:rPr>
        <w:t>s</w:t>
      </w:r>
      <w:r w:rsidRPr="005C453D">
        <w:rPr>
          <w:rFonts w:asciiTheme="minorHAnsi" w:hAnsiTheme="minorHAnsi" w:cstheme="minorHAnsi"/>
        </w:rPr>
        <w:t xml:space="preserve">ations to measure the change in behaviour of the workforce </w:t>
      </w:r>
      <w:r w:rsidR="008C7571" w:rsidRPr="005C453D">
        <w:rPr>
          <w:rFonts w:asciiTheme="minorHAnsi" w:hAnsiTheme="minorHAnsi" w:cstheme="minorHAnsi"/>
        </w:rPr>
        <w:t xml:space="preserve">due to the investment </w:t>
      </w:r>
      <w:r w:rsidRPr="005C453D">
        <w:rPr>
          <w:rFonts w:asciiTheme="minorHAnsi" w:hAnsiTheme="minorHAnsi" w:cstheme="minorHAnsi"/>
        </w:rPr>
        <w:t>and how this change impacts the organi</w:t>
      </w:r>
      <w:r w:rsidR="008C7571" w:rsidRPr="005C453D">
        <w:rPr>
          <w:rFonts w:asciiTheme="minorHAnsi" w:hAnsiTheme="minorHAnsi" w:cstheme="minorHAnsi"/>
        </w:rPr>
        <w:t>s</w:t>
      </w:r>
      <w:r w:rsidRPr="005C453D">
        <w:rPr>
          <w:rFonts w:asciiTheme="minorHAnsi" w:hAnsiTheme="minorHAnsi" w:cstheme="minorHAnsi"/>
        </w:rPr>
        <w:t>ation’s performance. Since this is a complex method of measuring the impact of investment, adopting the ROI method is operationally and conceptually challenging. For example, learning and development professionals are not privy to certain information. Even if they manage to gain access to this information, they need to rely on colleagues from other disciplines</w:t>
      </w:r>
      <w:r w:rsidR="004E199D" w:rsidRPr="005C453D">
        <w:rPr>
          <w:rFonts w:asciiTheme="minorHAnsi" w:hAnsiTheme="minorHAnsi" w:cstheme="minorHAnsi"/>
        </w:rPr>
        <w:t xml:space="preserve"> to interpret the data</w:t>
      </w:r>
      <w:r w:rsidRPr="005C453D">
        <w:rPr>
          <w:rFonts w:asciiTheme="minorHAnsi" w:hAnsiTheme="minorHAnsi" w:cstheme="minorHAnsi"/>
        </w:rPr>
        <w:t>, as the interpretation of this metric might be ambiguous</w:t>
      </w:r>
      <w:r w:rsidR="00ED3BFF" w:rsidRPr="005C453D">
        <w:rPr>
          <w:rFonts w:asciiTheme="minorHAnsi" w:hAnsiTheme="minorHAnsi" w:cstheme="minorHAnsi"/>
        </w:rPr>
        <w:t>.</w:t>
      </w:r>
      <w:r w:rsidRPr="005C453D">
        <w:rPr>
          <w:rFonts w:asciiTheme="minorHAnsi" w:hAnsiTheme="minorHAnsi" w:cstheme="minorHAnsi"/>
        </w:rPr>
        <w:t xml:space="preserve"> (</w:t>
      </w:r>
      <w:proofErr w:type="spellStart"/>
      <w:r w:rsidRPr="005C453D">
        <w:rPr>
          <w:rFonts w:asciiTheme="minorHAnsi" w:hAnsiTheme="minorHAnsi" w:cstheme="minorHAnsi"/>
        </w:rPr>
        <w:t>Dadd</w:t>
      </w:r>
      <w:proofErr w:type="spellEnd"/>
      <w:r w:rsidRPr="005C453D">
        <w:rPr>
          <w:rFonts w:asciiTheme="minorHAnsi" w:hAnsiTheme="minorHAnsi" w:cstheme="minorHAnsi"/>
        </w:rPr>
        <w:t xml:space="preserve"> and Hinton, 2022).</w:t>
      </w:r>
    </w:p>
    <w:p w14:paraId="6192E091" w14:textId="176F1531" w:rsidR="00913BB1" w:rsidRPr="005C453D" w:rsidRDefault="00520E34" w:rsidP="00183E6D">
      <w:pPr>
        <w:spacing w:before="240" w:after="240"/>
        <w:rPr>
          <w:rFonts w:asciiTheme="minorHAnsi" w:hAnsiTheme="minorHAnsi" w:cstheme="minorHAnsi"/>
        </w:rPr>
      </w:pPr>
      <w:r w:rsidRPr="005C453D">
        <w:rPr>
          <w:rFonts w:asciiTheme="minorHAnsi" w:hAnsiTheme="minorHAnsi" w:cstheme="minorHAnsi"/>
        </w:rPr>
        <w:t>(</w:t>
      </w:r>
      <w:r w:rsidRPr="005C453D">
        <w:rPr>
          <w:rFonts w:asciiTheme="minorHAnsi" w:hAnsiTheme="minorHAnsi" w:cstheme="minorHAnsi"/>
          <w:b/>
          <w:bCs/>
        </w:rPr>
        <w:t>Word Count – 3</w:t>
      </w:r>
      <w:r w:rsidR="002F05AF">
        <w:rPr>
          <w:rFonts w:asciiTheme="minorHAnsi" w:hAnsiTheme="minorHAnsi" w:cstheme="minorHAnsi"/>
          <w:b/>
          <w:bCs/>
        </w:rPr>
        <w:t>091</w:t>
      </w:r>
      <w:r w:rsidRPr="005C453D">
        <w:rPr>
          <w:rFonts w:asciiTheme="minorHAnsi" w:hAnsiTheme="minorHAnsi" w:cstheme="minorHAnsi"/>
        </w:rPr>
        <w:t>)</w:t>
      </w:r>
    </w:p>
    <w:p w14:paraId="00FBB12D" w14:textId="77777777" w:rsidR="00D06681" w:rsidRPr="005C453D" w:rsidRDefault="00D06681" w:rsidP="00183E6D">
      <w:pPr>
        <w:spacing w:before="240" w:after="240"/>
        <w:rPr>
          <w:rFonts w:asciiTheme="minorHAnsi" w:hAnsiTheme="minorHAnsi" w:cstheme="minorHAnsi"/>
        </w:rPr>
      </w:pPr>
    </w:p>
    <w:p w14:paraId="7B952794" w14:textId="77777777" w:rsidR="00D06681" w:rsidRPr="005C453D" w:rsidRDefault="00D06681" w:rsidP="00183E6D">
      <w:pPr>
        <w:spacing w:before="240" w:after="240"/>
        <w:rPr>
          <w:rFonts w:asciiTheme="minorHAnsi" w:hAnsiTheme="minorHAnsi" w:cstheme="minorHAnsi"/>
        </w:rPr>
      </w:pPr>
    </w:p>
    <w:p w14:paraId="6ECA510C" w14:textId="77777777" w:rsidR="00D06681" w:rsidRPr="005C453D" w:rsidRDefault="00D06681" w:rsidP="00183E6D">
      <w:pPr>
        <w:spacing w:before="240" w:after="240"/>
        <w:rPr>
          <w:rFonts w:asciiTheme="minorHAnsi" w:hAnsiTheme="minorHAnsi" w:cstheme="minorHAnsi"/>
        </w:rPr>
      </w:pPr>
    </w:p>
    <w:p w14:paraId="69E74CD9" w14:textId="77777777" w:rsidR="00D06681" w:rsidRPr="005C453D" w:rsidRDefault="00D06681" w:rsidP="00183E6D">
      <w:pPr>
        <w:spacing w:before="240" w:after="240"/>
        <w:rPr>
          <w:rFonts w:asciiTheme="minorHAnsi" w:hAnsiTheme="minorHAnsi" w:cstheme="minorHAnsi"/>
        </w:rPr>
      </w:pPr>
    </w:p>
    <w:p w14:paraId="5A70C36A" w14:textId="77777777" w:rsidR="00D06681" w:rsidRPr="005C453D" w:rsidRDefault="00D06681" w:rsidP="00183E6D">
      <w:pPr>
        <w:spacing w:before="240" w:after="240"/>
        <w:rPr>
          <w:rFonts w:asciiTheme="minorHAnsi" w:hAnsiTheme="minorHAnsi" w:cstheme="minorHAnsi"/>
        </w:rPr>
      </w:pPr>
    </w:p>
    <w:p w14:paraId="7942DFDF" w14:textId="77777777" w:rsidR="00D06681" w:rsidRPr="005C453D" w:rsidRDefault="00D06681" w:rsidP="00183E6D">
      <w:pPr>
        <w:spacing w:before="240" w:after="240"/>
        <w:rPr>
          <w:rFonts w:asciiTheme="minorHAnsi" w:hAnsiTheme="minorHAnsi" w:cstheme="minorHAnsi"/>
        </w:rPr>
      </w:pPr>
    </w:p>
    <w:p w14:paraId="50A24C36" w14:textId="77777777" w:rsidR="00D06681" w:rsidRPr="005C453D" w:rsidRDefault="00D06681" w:rsidP="00183E6D">
      <w:pPr>
        <w:spacing w:before="240" w:after="240"/>
        <w:rPr>
          <w:rFonts w:asciiTheme="minorHAnsi" w:hAnsiTheme="minorHAnsi" w:cstheme="minorHAnsi"/>
        </w:rPr>
      </w:pPr>
    </w:p>
    <w:p w14:paraId="6482223B" w14:textId="77777777" w:rsidR="00D06681" w:rsidRDefault="00D06681" w:rsidP="00183E6D">
      <w:pPr>
        <w:spacing w:before="240" w:after="240"/>
        <w:rPr>
          <w:rFonts w:asciiTheme="minorHAnsi" w:hAnsiTheme="minorHAnsi" w:cstheme="minorHAnsi"/>
        </w:rPr>
      </w:pPr>
    </w:p>
    <w:p w14:paraId="2E71A285" w14:textId="77777777" w:rsidR="00C96302" w:rsidRDefault="00C96302" w:rsidP="00183E6D">
      <w:pPr>
        <w:spacing w:before="240" w:after="240"/>
        <w:rPr>
          <w:rFonts w:asciiTheme="minorHAnsi" w:hAnsiTheme="minorHAnsi" w:cstheme="minorHAnsi"/>
        </w:rPr>
      </w:pPr>
    </w:p>
    <w:p w14:paraId="0D77EA77" w14:textId="77777777" w:rsidR="00C96302" w:rsidRDefault="00C96302" w:rsidP="00183E6D">
      <w:pPr>
        <w:spacing w:before="240" w:after="240"/>
        <w:rPr>
          <w:rFonts w:asciiTheme="minorHAnsi" w:hAnsiTheme="minorHAnsi" w:cstheme="minorHAnsi"/>
        </w:rPr>
      </w:pPr>
    </w:p>
    <w:p w14:paraId="17EDE7F8" w14:textId="77777777" w:rsidR="00D06681" w:rsidRPr="005C453D" w:rsidRDefault="00D06681" w:rsidP="00D06681">
      <w:pPr>
        <w:spacing w:before="240" w:after="240" w:line="240" w:lineRule="auto"/>
        <w:rPr>
          <w:rFonts w:asciiTheme="minorHAnsi" w:hAnsiTheme="minorHAnsi" w:cstheme="minorHAnsi"/>
          <w:b/>
          <w:bCs/>
          <w:u w:val="single"/>
          <w:shd w:val="clear" w:color="auto" w:fill="FFFFFF"/>
        </w:rPr>
      </w:pPr>
      <w:r w:rsidRPr="005C453D">
        <w:rPr>
          <w:rFonts w:asciiTheme="minorHAnsi" w:hAnsiTheme="minorHAnsi" w:cstheme="minorHAnsi"/>
          <w:b/>
          <w:bCs/>
          <w:u w:val="single"/>
          <w:shd w:val="clear" w:color="auto" w:fill="FFFFFF"/>
        </w:rPr>
        <w:lastRenderedPageBreak/>
        <w:t>References</w:t>
      </w:r>
    </w:p>
    <w:p w14:paraId="61D4851D" w14:textId="7783D777" w:rsidR="00D06681" w:rsidRPr="005C453D" w:rsidRDefault="00D06681" w:rsidP="00D06681">
      <w:pPr>
        <w:spacing w:before="240" w:after="240" w:line="240" w:lineRule="auto"/>
        <w:rPr>
          <w:rFonts w:asciiTheme="minorHAnsi" w:hAnsiTheme="minorHAnsi" w:cstheme="minorHAnsi"/>
          <w:shd w:val="clear" w:color="auto" w:fill="FFFFFF"/>
        </w:rPr>
      </w:pPr>
      <w:r w:rsidRPr="005C453D">
        <w:rPr>
          <w:rFonts w:asciiTheme="minorHAnsi" w:hAnsiTheme="minorHAnsi" w:cstheme="minorHAnsi"/>
          <w:shd w:val="clear" w:color="auto" w:fill="FFFFFF"/>
        </w:rPr>
        <w:t xml:space="preserve">Arjoon, S., 2005. </w:t>
      </w:r>
      <w:r w:rsidRPr="005C453D">
        <w:rPr>
          <w:rFonts w:asciiTheme="minorHAnsi" w:hAnsiTheme="minorHAnsi" w:cstheme="minorHAnsi"/>
          <w:i/>
          <w:iCs/>
          <w:shd w:val="clear" w:color="auto" w:fill="FFFFFF"/>
        </w:rPr>
        <w:t>A communitarian model of business: a natural-law perspective.</w:t>
      </w:r>
      <w:r w:rsidRPr="005C453D">
        <w:rPr>
          <w:rFonts w:asciiTheme="minorHAnsi" w:hAnsiTheme="minorHAnsi" w:cstheme="minorHAnsi"/>
          <w:shd w:val="clear" w:color="auto" w:fill="FFFFFF"/>
        </w:rPr>
        <w:t> </w:t>
      </w:r>
      <w:r w:rsidRPr="005C453D">
        <w:rPr>
          <w:rFonts w:asciiTheme="minorHAnsi" w:hAnsiTheme="minorHAnsi" w:cstheme="minorHAnsi"/>
          <w:i/>
          <w:iCs/>
          <w:shd w:val="clear" w:color="auto" w:fill="FFFFFF"/>
        </w:rPr>
        <w:t>Journal of Markets &amp; Morality</w:t>
      </w:r>
      <w:r w:rsidRPr="005C453D">
        <w:rPr>
          <w:rFonts w:asciiTheme="minorHAnsi" w:hAnsiTheme="minorHAnsi" w:cstheme="minorHAnsi"/>
          <w:shd w:val="clear" w:color="auto" w:fill="FFFFFF"/>
        </w:rPr>
        <w:t>, </w:t>
      </w:r>
      <w:r w:rsidRPr="005C453D">
        <w:rPr>
          <w:rFonts w:asciiTheme="minorHAnsi" w:hAnsiTheme="minorHAnsi" w:cstheme="minorHAnsi"/>
          <w:i/>
          <w:iCs/>
          <w:shd w:val="clear" w:color="auto" w:fill="FFFFFF"/>
        </w:rPr>
        <w:t>8</w:t>
      </w:r>
      <w:r w:rsidRPr="005C453D">
        <w:rPr>
          <w:rFonts w:asciiTheme="minorHAnsi" w:hAnsiTheme="minorHAnsi" w:cstheme="minorHAnsi"/>
          <w:shd w:val="clear" w:color="auto" w:fill="FFFFFF"/>
        </w:rPr>
        <w:t>(2).</w:t>
      </w:r>
    </w:p>
    <w:p w14:paraId="31038267" w14:textId="4A488CB3"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Barends, E. and Rousseau, D.M. (2018) </w:t>
      </w:r>
      <w:r w:rsidRPr="005C453D">
        <w:rPr>
          <w:rFonts w:asciiTheme="minorHAnsi" w:hAnsiTheme="minorHAnsi" w:cstheme="minorHAnsi"/>
          <w:i/>
          <w:iCs/>
        </w:rPr>
        <w:t>Evidence-Based management: How to Use Evidence to Make Better Organi</w:t>
      </w:r>
      <w:r w:rsidR="00CF08A0" w:rsidRPr="005C453D">
        <w:rPr>
          <w:rFonts w:asciiTheme="minorHAnsi" w:hAnsiTheme="minorHAnsi" w:cstheme="minorHAnsi"/>
          <w:i/>
          <w:iCs/>
        </w:rPr>
        <w:t>s</w:t>
      </w:r>
      <w:r w:rsidRPr="005C453D">
        <w:rPr>
          <w:rFonts w:asciiTheme="minorHAnsi" w:hAnsiTheme="minorHAnsi" w:cstheme="minorHAnsi"/>
          <w:i/>
          <w:iCs/>
        </w:rPr>
        <w:t>ational Decisions</w:t>
      </w:r>
      <w:r w:rsidRPr="005C453D">
        <w:rPr>
          <w:rFonts w:asciiTheme="minorHAnsi" w:hAnsiTheme="minorHAnsi" w:cstheme="minorHAnsi"/>
        </w:rPr>
        <w:t>. Kogan Page Publishers.</w:t>
      </w:r>
    </w:p>
    <w:p w14:paraId="6EAE6D3A" w14:textId="77777777"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Bowie, N.E. (2007) 'A Kantian approach to business ethics,' in </w:t>
      </w:r>
      <w:r w:rsidRPr="005C453D">
        <w:rPr>
          <w:rFonts w:asciiTheme="minorHAnsi" w:hAnsiTheme="minorHAnsi" w:cstheme="minorHAnsi"/>
          <w:i/>
          <w:iCs/>
        </w:rPr>
        <w:t>Blackwell Publishers Inc. eBooks</w:t>
      </w:r>
      <w:r w:rsidRPr="005C453D">
        <w:rPr>
          <w:rFonts w:asciiTheme="minorHAnsi" w:hAnsiTheme="minorHAnsi" w:cstheme="minorHAnsi"/>
        </w:rPr>
        <w:t>, pp. 3–16. https://doi.org/10.1002/9780470998397.ch1.</w:t>
      </w:r>
    </w:p>
    <w:p w14:paraId="34A132AC" w14:textId="77777777"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Briner, R. (2017) </w:t>
      </w:r>
      <w:r w:rsidRPr="005C453D">
        <w:rPr>
          <w:rFonts w:asciiTheme="minorHAnsi" w:hAnsiTheme="minorHAnsi" w:cstheme="minorHAnsi"/>
          <w:i/>
          <w:iCs/>
        </w:rPr>
        <w:t>What is evidence-based management and why do we need it?</w:t>
      </w:r>
      <w:r w:rsidRPr="005C453D">
        <w:rPr>
          <w:rFonts w:asciiTheme="minorHAnsi" w:hAnsiTheme="minorHAnsi" w:cstheme="minorHAnsi"/>
        </w:rPr>
        <w:t xml:space="preserve"> https://www.youtube.com/watch?v=nwK7IgmygBc (Accessed: November 1, 2023).</w:t>
      </w:r>
    </w:p>
    <w:p w14:paraId="2721B9D7" w14:textId="77777777"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Briner, R. (2018) 'The Basics of Evidence Based Practice,' </w:t>
      </w:r>
      <w:r w:rsidRPr="005C453D">
        <w:rPr>
          <w:rFonts w:asciiTheme="minorHAnsi" w:hAnsiTheme="minorHAnsi" w:cstheme="minorHAnsi"/>
          <w:i/>
          <w:iCs/>
        </w:rPr>
        <w:t>People + Strategy</w:t>
      </w:r>
      <w:r w:rsidRPr="005C453D">
        <w:rPr>
          <w:rFonts w:asciiTheme="minorHAnsi" w:hAnsiTheme="minorHAnsi" w:cstheme="minorHAnsi"/>
        </w:rPr>
        <w:t>, 42(1), pp. 16–21.</w:t>
      </w:r>
    </w:p>
    <w:p w14:paraId="53E34046" w14:textId="77777777"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Briner, R. (2023) </w:t>
      </w:r>
      <w:r w:rsidRPr="005C453D">
        <w:rPr>
          <w:rFonts w:asciiTheme="minorHAnsi" w:hAnsiTheme="minorHAnsi" w:cstheme="minorHAnsi"/>
          <w:i/>
          <w:iCs/>
        </w:rPr>
        <w:t>Aligning HR with the business through the evidence-based HR process - HRD</w:t>
      </w:r>
      <w:r w:rsidRPr="005C453D">
        <w:rPr>
          <w:rFonts w:asciiTheme="minorHAnsi" w:hAnsiTheme="minorHAnsi" w:cstheme="minorHAnsi"/>
        </w:rPr>
        <w:t>. https://www.hrdconnect.com/2023/10/03/aligning-hr-with-the-business-through-the-evidence-based-hr-process/? fbclid=IwAR2kxKcK_66RRnWv7Z6UpZYO6bUCEHTiyLmbY23yflXGu6hjsw2pmsEi2fk.</w:t>
      </w:r>
    </w:p>
    <w:p w14:paraId="5025AF18" w14:textId="77777777" w:rsidR="00D06681" w:rsidRPr="005C453D" w:rsidRDefault="00D06681" w:rsidP="00D06681">
      <w:pPr>
        <w:pStyle w:val="NormalWeb"/>
        <w:spacing w:before="240" w:beforeAutospacing="0" w:after="240" w:afterAutospacing="0"/>
        <w:rPr>
          <w:rFonts w:asciiTheme="minorHAnsi" w:hAnsiTheme="minorHAnsi" w:cstheme="minorHAnsi"/>
        </w:rPr>
      </w:pPr>
      <w:proofErr w:type="spellStart"/>
      <w:r w:rsidRPr="005C453D">
        <w:rPr>
          <w:rFonts w:asciiTheme="minorHAnsi" w:hAnsiTheme="minorHAnsi" w:cstheme="minorHAnsi"/>
        </w:rPr>
        <w:t>Brugha</w:t>
      </w:r>
      <w:proofErr w:type="spellEnd"/>
      <w:r w:rsidRPr="005C453D">
        <w:rPr>
          <w:rFonts w:asciiTheme="minorHAnsi" w:hAnsiTheme="minorHAnsi" w:cstheme="minorHAnsi"/>
        </w:rPr>
        <w:t xml:space="preserve">, R. (2000) 'Stakeholder analysis: a review,' </w:t>
      </w:r>
      <w:r w:rsidRPr="005C453D">
        <w:rPr>
          <w:rFonts w:asciiTheme="minorHAnsi" w:hAnsiTheme="minorHAnsi" w:cstheme="minorHAnsi"/>
          <w:i/>
          <w:iCs/>
        </w:rPr>
        <w:t>Health Policy and Planning</w:t>
      </w:r>
      <w:r w:rsidRPr="005C453D">
        <w:rPr>
          <w:rFonts w:asciiTheme="minorHAnsi" w:hAnsiTheme="minorHAnsi" w:cstheme="minorHAnsi"/>
        </w:rPr>
        <w:t>, 15(3), pp. 239–246. https://doi.org/10.1093/heapol/15.3.239.</w:t>
      </w:r>
    </w:p>
    <w:p w14:paraId="50BB1A9D" w14:textId="77777777" w:rsidR="00D06681" w:rsidRPr="005C453D" w:rsidRDefault="00D06681" w:rsidP="00D06681">
      <w:pPr>
        <w:spacing w:before="240" w:after="240" w:line="240" w:lineRule="auto"/>
        <w:rPr>
          <w:rFonts w:asciiTheme="minorHAnsi" w:hAnsiTheme="minorHAnsi" w:cstheme="minorHAnsi"/>
          <w:shd w:val="clear" w:color="auto" w:fill="FFFFFF"/>
        </w:rPr>
      </w:pPr>
      <w:r w:rsidRPr="005C453D">
        <w:rPr>
          <w:rFonts w:asciiTheme="minorHAnsi" w:hAnsiTheme="minorHAnsi" w:cstheme="minorHAnsi"/>
          <w:shd w:val="clear" w:color="auto" w:fill="FFFFFF"/>
        </w:rPr>
        <w:t>Buye, R., 2021. Critical examination of the PESTEL Analysis Model. </w:t>
      </w:r>
      <w:r w:rsidRPr="005C453D">
        <w:rPr>
          <w:rFonts w:asciiTheme="minorHAnsi" w:hAnsiTheme="minorHAnsi" w:cstheme="minorHAnsi"/>
          <w:i/>
          <w:iCs/>
          <w:shd w:val="clear" w:color="auto" w:fill="FFFFFF"/>
        </w:rPr>
        <w:t>Project: Action Research for Development</w:t>
      </w:r>
      <w:r w:rsidRPr="005C453D">
        <w:rPr>
          <w:rFonts w:asciiTheme="minorHAnsi" w:hAnsiTheme="minorHAnsi" w:cstheme="minorHAnsi"/>
          <w:shd w:val="clear" w:color="auto" w:fill="FFFFFF"/>
        </w:rPr>
        <w:t>.</w:t>
      </w:r>
    </w:p>
    <w:p w14:paraId="47C1B86D" w14:textId="2E35C997" w:rsidR="00D06681" w:rsidRPr="005C453D" w:rsidRDefault="00D06681" w:rsidP="00D06681">
      <w:pPr>
        <w:spacing w:before="240" w:after="240" w:line="240" w:lineRule="auto"/>
        <w:rPr>
          <w:rFonts w:asciiTheme="minorHAnsi" w:hAnsiTheme="minorHAnsi" w:cstheme="minorHAnsi"/>
          <w:shd w:val="clear" w:color="auto" w:fill="FFFFFF"/>
        </w:rPr>
      </w:pPr>
      <w:r w:rsidRPr="005C453D">
        <w:rPr>
          <w:rFonts w:asciiTheme="minorHAnsi" w:hAnsiTheme="minorHAnsi" w:cstheme="minorHAnsi"/>
          <w:shd w:val="clear" w:color="auto" w:fill="FFFFFF"/>
        </w:rPr>
        <w:t xml:space="preserve">CIPD (2015). Research report 2015. </w:t>
      </w:r>
      <w:r w:rsidR="00DC478E" w:rsidRPr="005C453D">
        <w:rPr>
          <w:rFonts w:asciiTheme="minorHAnsi" w:hAnsiTheme="minorHAnsi" w:cstheme="minorHAnsi"/>
          <w:shd w:val="clear" w:color="auto" w:fill="FFFFFF"/>
        </w:rPr>
        <w:t xml:space="preserve">                                                                                                     </w:t>
      </w:r>
      <w:r w:rsidRPr="005C453D">
        <w:rPr>
          <w:rFonts w:asciiTheme="minorHAnsi" w:hAnsiTheme="minorHAnsi" w:cstheme="minorHAnsi"/>
          <w:shd w:val="clear" w:color="auto" w:fill="FFFFFF"/>
        </w:rPr>
        <w:t>Available at</w:t>
      </w:r>
      <w:r w:rsidR="007D3A6A" w:rsidRPr="005C453D">
        <w:rPr>
          <w:rFonts w:asciiTheme="minorHAnsi" w:hAnsiTheme="minorHAnsi" w:cstheme="minorHAnsi"/>
          <w:shd w:val="clear" w:color="auto" w:fill="FFFFFF"/>
        </w:rPr>
        <w:t xml:space="preserve">:                                                          </w:t>
      </w:r>
      <w:r w:rsidRPr="005C453D">
        <w:rPr>
          <w:rFonts w:asciiTheme="minorHAnsi" w:hAnsiTheme="minorHAnsi" w:cstheme="minorHAnsi"/>
          <w:shd w:val="clear" w:color="auto" w:fill="FFFFFF"/>
        </w:rPr>
        <w:t xml:space="preserve"> </w:t>
      </w:r>
      <w:hyperlink r:id="rId8" w:history="1">
        <w:r w:rsidRPr="005C453D">
          <w:rPr>
            <w:rStyle w:val="Hyperlink"/>
            <w:rFonts w:asciiTheme="minorHAnsi" w:hAnsiTheme="minorHAnsi" w:cstheme="minorHAnsi"/>
            <w:color w:val="auto"/>
            <w:shd w:val="clear" w:color="auto" w:fill="FFFFFF"/>
          </w:rPr>
          <w:t>https://www.cipd.org/globalassets/media/knowledge/knowledge-hub/reports/a-head-for-hiring_2015-behavioural-science-of-recruitment-and-selection_tcm18-9557.pdf</w:t>
        </w:r>
      </w:hyperlink>
      <w:r w:rsidRPr="005C453D">
        <w:rPr>
          <w:rFonts w:asciiTheme="minorHAnsi" w:hAnsiTheme="minorHAnsi" w:cstheme="minorHAnsi"/>
          <w:shd w:val="clear" w:color="auto" w:fill="FFFFFF"/>
        </w:rPr>
        <w:t xml:space="preserve">                       (Accessed 08 November 2023).</w:t>
      </w:r>
    </w:p>
    <w:p w14:paraId="6DCD185E" w14:textId="46E305C1" w:rsidR="00D06681" w:rsidRPr="005C453D" w:rsidRDefault="00D06681" w:rsidP="00D06681">
      <w:pPr>
        <w:spacing w:before="120" w:after="120" w:line="240" w:lineRule="auto"/>
        <w:rPr>
          <w:rFonts w:asciiTheme="minorHAnsi" w:hAnsiTheme="minorHAnsi" w:cstheme="minorHAnsi"/>
        </w:rPr>
      </w:pPr>
      <w:r w:rsidRPr="005C453D">
        <w:rPr>
          <w:rFonts w:asciiTheme="minorHAnsi" w:hAnsiTheme="minorHAnsi" w:cstheme="minorHAnsi"/>
        </w:rPr>
        <w:t>CIPD (2017). Technical Report 2017</w:t>
      </w:r>
      <w:r w:rsidRPr="005C453D">
        <w:rPr>
          <w:rFonts w:asciiTheme="minorHAnsi" w:hAnsiTheme="minorHAnsi" w:cstheme="minorHAnsi"/>
          <w:i/>
          <w:iCs/>
        </w:rPr>
        <w:t xml:space="preserve">. </w:t>
      </w:r>
      <w:r w:rsidR="00DC478E" w:rsidRPr="005C453D">
        <w:rPr>
          <w:rFonts w:asciiTheme="minorHAnsi" w:hAnsiTheme="minorHAnsi" w:cstheme="minorHAnsi"/>
          <w:i/>
          <w:iCs/>
        </w:rPr>
        <w:t xml:space="preserve">                                                                                                      </w:t>
      </w:r>
      <w:r w:rsidRPr="005C453D">
        <w:rPr>
          <w:rFonts w:asciiTheme="minorHAnsi" w:hAnsiTheme="minorHAnsi" w:cstheme="minorHAnsi"/>
        </w:rPr>
        <w:t>Available at</w:t>
      </w:r>
      <w:r w:rsidR="007D3A6A" w:rsidRPr="005C453D">
        <w:rPr>
          <w:rFonts w:asciiTheme="minorHAnsi" w:hAnsiTheme="minorHAnsi" w:cstheme="minorHAnsi"/>
        </w:rPr>
        <w:t xml:space="preserve">:                                                                     </w:t>
      </w:r>
      <w:r w:rsidRPr="005C453D">
        <w:rPr>
          <w:rFonts w:asciiTheme="minorHAnsi" w:hAnsiTheme="minorHAnsi" w:cstheme="minorHAnsi"/>
        </w:rPr>
        <w:t xml:space="preserve"> </w:t>
      </w:r>
      <w:hyperlink r:id="rId9" w:history="1">
        <w:r w:rsidRPr="005C453D">
          <w:rPr>
            <w:rStyle w:val="Hyperlink"/>
            <w:rFonts w:asciiTheme="minorHAnsi" w:hAnsiTheme="minorHAnsi" w:cstheme="minorHAnsi"/>
            <w:color w:val="auto"/>
          </w:rPr>
          <w:t>https://www.cipd.org/globalassets/media/knowledge/knowledge-hub/reports/human-capital-theory-assessing-the-evidence_tcm18-22292.pdf</w:t>
        </w:r>
      </w:hyperlink>
      <w:r w:rsidRPr="005C453D">
        <w:rPr>
          <w:rStyle w:val="Hyperlink"/>
          <w:rFonts w:asciiTheme="minorHAnsi" w:hAnsiTheme="minorHAnsi" w:cstheme="minorHAnsi"/>
          <w:color w:val="auto"/>
        </w:rPr>
        <w:t xml:space="preserve"> </w:t>
      </w:r>
      <w:r w:rsidR="0052559E" w:rsidRPr="005C453D">
        <w:rPr>
          <w:rStyle w:val="Hyperlink"/>
          <w:rFonts w:asciiTheme="minorHAnsi" w:hAnsiTheme="minorHAnsi" w:cstheme="minorHAnsi"/>
          <w:color w:val="auto"/>
          <w:u w:val="none"/>
        </w:rPr>
        <w:t xml:space="preserve">                        </w:t>
      </w:r>
      <w:r w:rsidR="0052559E" w:rsidRPr="005C453D">
        <w:rPr>
          <w:rFonts w:asciiTheme="minorHAnsi" w:hAnsiTheme="minorHAnsi" w:cstheme="minorHAnsi"/>
        </w:rPr>
        <w:t xml:space="preserve"> </w:t>
      </w:r>
      <w:r w:rsidR="007D3A6A" w:rsidRPr="005C453D">
        <w:rPr>
          <w:rFonts w:asciiTheme="minorHAnsi" w:hAnsiTheme="minorHAnsi" w:cstheme="minorHAnsi"/>
        </w:rPr>
        <w:t xml:space="preserve">                                   </w:t>
      </w:r>
      <w:r w:rsidRPr="005C453D">
        <w:rPr>
          <w:rFonts w:asciiTheme="minorHAnsi" w:hAnsiTheme="minorHAnsi" w:cstheme="minorHAnsi"/>
        </w:rPr>
        <w:t>(Accessed 10 November 2023).</w:t>
      </w:r>
    </w:p>
    <w:p w14:paraId="45ECE075" w14:textId="75707AB5" w:rsidR="005B62BC" w:rsidRPr="005C453D" w:rsidRDefault="005B62BC" w:rsidP="00D06681">
      <w:pPr>
        <w:spacing w:before="120" w:after="120" w:line="240" w:lineRule="auto"/>
        <w:rPr>
          <w:rFonts w:asciiTheme="minorHAnsi" w:hAnsiTheme="minorHAnsi" w:cstheme="minorHAnsi"/>
        </w:rPr>
      </w:pPr>
      <w:r w:rsidRPr="005C453D">
        <w:rPr>
          <w:rFonts w:asciiTheme="minorHAnsi" w:hAnsiTheme="minorHAnsi" w:cstheme="minorHAnsi"/>
        </w:rPr>
        <w:t>CIPD (</w:t>
      </w:r>
      <w:r w:rsidR="00732899" w:rsidRPr="005C453D">
        <w:rPr>
          <w:rFonts w:asciiTheme="minorHAnsi" w:hAnsiTheme="minorHAnsi" w:cstheme="minorHAnsi"/>
        </w:rPr>
        <w:t xml:space="preserve">13 June </w:t>
      </w:r>
      <w:r w:rsidRPr="005C453D">
        <w:rPr>
          <w:rFonts w:asciiTheme="minorHAnsi" w:hAnsiTheme="minorHAnsi" w:cstheme="minorHAnsi"/>
        </w:rPr>
        <w:t>2018)</w:t>
      </w:r>
      <w:r w:rsidR="005A470C" w:rsidRPr="005C453D">
        <w:rPr>
          <w:rFonts w:asciiTheme="minorHAnsi" w:hAnsiTheme="minorHAnsi" w:cstheme="minorHAnsi"/>
        </w:rPr>
        <w:t xml:space="preserve">. </w:t>
      </w:r>
      <w:r w:rsidR="00CB6F49" w:rsidRPr="005C453D">
        <w:rPr>
          <w:rFonts w:asciiTheme="minorHAnsi" w:hAnsiTheme="minorHAnsi" w:cstheme="minorHAnsi"/>
        </w:rPr>
        <w:t>People analytics: Driving business performance with people data</w:t>
      </w:r>
      <w:r w:rsidR="00925AFE" w:rsidRPr="005C453D">
        <w:rPr>
          <w:rFonts w:asciiTheme="minorHAnsi" w:hAnsiTheme="minorHAnsi" w:cstheme="minorHAnsi"/>
        </w:rPr>
        <w:t xml:space="preserve">                   </w:t>
      </w:r>
      <w:r w:rsidR="004E0BE2" w:rsidRPr="005C453D">
        <w:rPr>
          <w:rFonts w:asciiTheme="minorHAnsi" w:hAnsiTheme="minorHAnsi" w:cstheme="minorHAnsi"/>
        </w:rPr>
        <w:t xml:space="preserve">                            </w:t>
      </w:r>
      <w:r w:rsidR="00925AFE" w:rsidRPr="005C453D">
        <w:rPr>
          <w:rFonts w:asciiTheme="minorHAnsi" w:hAnsiTheme="minorHAnsi" w:cstheme="minorHAnsi"/>
        </w:rPr>
        <w:t xml:space="preserve">Available at: </w:t>
      </w:r>
      <w:r w:rsidR="00F54EEB" w:rsidRPr="005C453D">
        <w:rPr>
          <w:rFonts w:asciiTheme="minorHAnsi" w:hAnsiTheme="minorHAnsi" w:cstheme="minorHAnsi"/>
        </w:rPr>
        <w:t xml:space="preserve">                                                                       </w:t>
      </w:r>
      <w:r w:rsidR="00CB6F49" w:rsidRPr="005C453D">
        <w:rPr>
          <w:rFonts w:asciiTheme="minorHAnsi" w:hAnsiTheme="minorHAnsi" w:cstheme="minorHAnsi"/>
        </w:rPr>
        <w:t xml:space="preserve">https://www.cipd.org/uk/knowledge/reports/people-data-driving-performance/ </w:t>
      </w:r>
      <w:r w:rsidR="00F54EEB" w:rsidRPr="005C453D">
        <w:rPr>
          <w:rFonts w:asciiTheme="minorHAnsi" w:hAnsiTheme="minorHAnsi" w:cstheme="minorHAnsi"/>
        </w:rPr>
        <w:t xml:space="preserve">                  </w:t>
      </w:r>
      <w:r w:rsidR="004E0BE2" w:rsidRPr="005C453D">
        <w:rPr>
          <w:rFonts w:asciiTheme="minorHAnsi" w:hAnsiTheme="minorHAnsi" w:cstheme="minorHAnsi"/>
        </w:rPr>
        <w:t xml:space="preserve">(Accessed </w:t>
      </w:r>
      <w:r w:rsidR="00CB6F49" w:rsidRPr="005C453D">
        <w:rPr>
          <w:rFonts w:asciiTheme="minorHAnsi" w:hAnsiTheme="minorHAnsi" w:cstheme="minorHAnsi"/>
        </w:rPr>
        <w:t>18 November 2023)</w:t>
      </w:r>
      <w:r w:rsidR="00F54EEB" w:rsidRPr="005C453D">
        <w:rPr>
          <w:rFonts w:asciiTheme="minorHAnsi" w:hAnsiTheme="minorHAnsi" w:cstheme="minorHAnsi"/>
        </w:rPr>
        <w:t>.</w:t>
      </w:r>
    </w:p>
    <w:p w14:paraId="01068F1B" w14:textId="00955CFF"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CIPD (2019</w:t>
      </w:r>
      <w:r w:rsidR="005E05BE" w:rsidRPr="005C453D">
        <w:rPr>
          <w:rFonts w:asciiTheme="minorHAnsi" w:hAnsiTheme="minorHAnsi" w:cstheme="minorHAnsi"/>
        </w:rPr>
        <w:t>a</w:t>
      </w:r>
      <w:r w:rsidRPr="005C453D">
        <w:rPr>
          <w:rFonts w:asciiTheme="minorHAnsi" w:hAnsiTheme="minorHAnsi" w:cstheme="minorHAnsi"/>
        </w:rPr>
        <w:t xml:space="preserve">) Ethics at work: an employer’s guide. </w:t>
      </w:r>
      <w:r w:rsidR="0052559E" w:rsidRPr="005C453D">
        <w:rPr>
          <w:rFonts w:asciiTheme="minorHAnsi" w:hAnsiTheme="minorHAnsi" w:cstheme="minorHAnsi"/>
        </w:rPr>
        <w:t xml:space="preserve">                                                                               </w:t>
      </w:r>
      <w:r w:rsidRPr="005C453D">
        <w:rPr>
          <w:rFonts w:asciiTheme="minorHAnsi" w:hAnsiTheme="minorHAnsi" w:cstheme="minorHAnsi"/>
        </w:rPr>
        <w:t>Available at</w:t>
      </w:r>
      <w:r w:rsidR="00391EE6" w:rsidRPr="005C453D">
        <w:rPr>
          <w:rFonts w:asciiTheme="minorHAnsi" w:hAnsiTheme="minorHAnsi" w:cstheme="minorHAnsi"/>
        </w:rPr>
        <w:t xml:space="preserve">:                                                                         </w:t>
      </w:r>
      <w:r w:rsidRPr="005C453D">
        <w:rPr>
          <w:rFonts w:asciiTheme="minorHAnsi" w:hAnsiTheme="minorHAnsi" w:cstheme="minorHAnsi"/>
        </w:rPr>
        <w:t xml:space="preserve"> </w:t>
      </w:r>
      <w:r w:rsidRPr="005C453D">
        <w:rPr>
          <w:rFonts w:asciiTheme="minorHAnsi" w:hAnsiTheme="minorHAnsi" w:cstheme="minorHAnsi"/>
          <w:u w:val="single"/>
        </w:rPr>
        <w:t>https://www.cipd.org/uk/knowledge/guides/ethics-work-guide/</w:t>
      </w:r>
      <w:r w:rsidRPr="005C453D">
        <w:rPr>
          <w:rFonts w:asciiTheme="minorHAnsi" w:hAnsiTheme="minorHAnsi" w:cstheme="minorHAnsi"/>
        </w:rPr>
        <w:t xml:space="preserve"> </w:t>
      </w:r>
      <w:r w:rsidR="00391EE6" w:rsidRPr="005C453D">
        <w:rPr>
          <w:rFonts w:asciiTheme="minorHAnsi" w:hAnsiTheme="minorHAnsi" w:cstheme="minorHAnsi"/>
        </w:rPr>
        <w:t xml:space="preserve">                                 </w:t>
      </w:r>
      <w:r w:rsidR="006B1EE6" w:rsidRPr="005C453D">
        <w:rPr>
          <w:rFonts w:asciiTheme="minorHAnsi" w:hAnsiTheme="minorHAnsi" w:cstheme="minorHAnsi"/>
        </w:rPr>
        <w:t xml:space="preserve">                </w:t>
      </w:r>
      <w:r w:rsidRPr="005C453D">
        <w:rPr>
          <w:rFonts w:asciiTheme="minorHAnsi" w:hAnsiTheme="minorHAnsi" w:cstheme="minorHAnsi"/>
        </w:rPr>
        <w:t xml:space="preserve">(Accessed </w:t>
      </w:r>
      <w:r w:rsidR="00F54EEB" w:rsidRPr="005C453D">
        <w:rPr>
          <w:rFonts w:asciiTheme="minorHAnsi" w:hAnsiTheme="minorHAnsi" w:cstheme="minorHAnsi"/>
        </w:rPr>
        <w:t xml:space="preserve">15 </w:t>
      </w:r>
      <w:r w:rsidRPr="005C453D">
        <w:rPr>
          <w:rFonts w:asciiTheme="minorHAnsi" w:hAnsiTheme="minorHAnsi" w:cstheme="minorHAnsi"/>
        </w:rPr>
        <w:t>November, 2023).</w:t>
      </w:r>
    </w:p>
    <w:p w14:paraId="289CF9ED" w14:textId="77777777" w:rsidR="009B2A25" w:rsidRDefault="009B2A25" w:rsidP="008307A7">
      <w:pPr>
        <w:pStyle w:val="NormalWeb"/>
        <w:spacing w:before="240" w:beforeAutospacing="0" w:after="240" w:afterAutospacing="0"/>
        <w:rPr>
          <w:rFonts w:asciiTheme="minorHAnsi" w:hAnsiTheme="minorHAnsi" w:cstheme="minorHAnsi"/>
        </w:rPr>
      </w:pPr>
    </w:p>
    <w:p w14:paraId="2F8CF146" w14:textId="4B557602" w:rsidR="008307A7" w:rsidRPr="005C453D" w:rsidRDefault="008307A7" w:rsidP="008307A7">
      <w:pPr>
        <w:pStyle w:val="NormalWeb"/>
        <w:spacing w:before="240" w:beforeAutospacing="0" w:after="240" w:afterAutospacing="0"/>
        <w:rPr>
          <w:rFonts w:asciiTheme="minorHAnsi" w:hAnsiTheme="minorHAnsi" w:cstheme="minorHAnsi"/>
          <w:lang w:val="it-IT"/>
        </w:rPr>
      </w:pPr>
      <w:r w:rsidRPr="005C453D">
        <w:rPr>
          <w:rFonts w:asciiTheme="minorHAnsi" w:hAnsiTheme="minorHAnsi" w:cstheme="minorHAnsi"/>
        </w:rPr>
        <w:lastRenderedPageBreak/>
        <w:t>CIPD (2019</w:t>
      </w:r>
      <w:r w:rsidR="005E05BE" w:rsidRPr="005C453D">
        <w:rPr>
          <w:rFonts w:asciiTheme="minorHAnsi" w:hAnsiTheme="minorHAnsi" w:cstheme="minorHAnsi"/>
        </w:rPr>
        <w:t>b</w:t>
      </w:r>
      <w:r w:rsidRPr="005C453D">
        <w:rPr>
          <w:rFonts w:asciiTheme="minorHAnsi" w:hAnsiTheme="minorHAnsi" w:cstheme="minorHAnsi"/>
        </w:rPr>
        <w:t xml:space="preserve">) CIPD Podcast: 'Critical Thinking. 5 Nov 2019                                                      Available at:                                                                   </w:t>
      </w:r>
      <w:hyperlink r:id="rId10" w:history="1">
        <w:r w:rsidRPr="005C453D">
          <w:rPr>
            <w:rStyle w:val="Hyperlink"/>
            <w:rFonts w:asciiTheme="minorHAnsi" w:hAnsiTheme="minorHAnsi" w:cstheme="minorHAnsi"/>
            <w:lang w:val="it-IT"/>
          </w:rPr>
          <w:t>https://www.cipd.org/uk/knowledge/podcasts/critical-thinking/</w:t>
        </w:r>
      </w:hyperlink>
      <w:r w:rsidRPr="005C453D">
        <w:rPr>
          <w:rFonts w:asciiTheme="minorHAnsi" w:hAnsiTheme="minorHAnsi" w:cstheme="minorHAnsi"/>
          <w:lang w:val="it-IT"/>
        </w:rPr>
        <w:t xml:space="preserve">                                                                                           (Accessed 02 November 2023).</w:t>
      </w:r>
    </w:p>
    <w:p w14:paraId="3480E545" w14:textId="3F3AEBDD" w:rsidR="00041AFF" w:rsidRPr="005C453D" w:rsidRDefault="00041AFF" w:rsidP="00041AFF">
      <w:pPr>
        <w:spacing w:before="240" w:after="240" w:line="240" w:lineRule="auto"/>
        <w:rPr>
          <w:rFonts w:asciiTheme="minorHAnsi" w:hAnsiTheme="minorHAnsi" w:cstheme="minorHAnsi"/>
        </w:rPr>
      </w:pPr>
      <w:r w:rsidRPr="005C453D">
        <w:rPr>
          <w:rFonts w:asciiTheme="minorHAnsi" w:hAnsiTheme="minorHAnsi" w:cstheme="minorHAnsi"/>
        </w:rPr>
        <w:t xml:space="preserve">CIPD (08 March 2023a) PESTLE Analysis.                                                                                               Available at:                                                                    </w:t>
      </w:r>
      <w:hyperlink r:id="rId11" w:anchor="what-is-a-pestle-analysis" w:history="1">
        <w:r w:rsidRPr="005C453D">
          <w:rPr>
            <w:rStyle w:val="Hyperlink"/>
            <w:rFonts w:asciiTheme="minorHAnsi" w:hAnsiTheme="minorHAnsi" w:cstheme="minorHAnsi"/>
            <w:color w:val="auto"/>
          </w:rPr>
          <w:t>https://www.cipd.org/uk/knowledge/factsheets/pestle-analysis-factsheet/#what-is-a-pestle-analysis</w:t>
        </w:r>
      </w:hyperlink>
      <w:r w:rsidR="00391EE6" w:rsidRPr="005C453D">
        <w:rPr>
          <w:rStyle w:val="Hyperlink"/>
          <w:rFonts w:asciiTheme="minorHAnsi" w:hAnsiTheme="minorHAnsi" w:cstheme="minorHAnsi"/>
          <w:color w:val="auto"/>
          <w:u w:val="none"/>
        </w:rPr>
        <w:t xml:space="preserve">                                                                                                                                                  </w:t>
      </w:r>
      <w:r w:rsidRPr="005C453D">
        <w:rPr>
          <w:rStyle w:val="Hyperlink"/>
          <w:rFonts w:asciiTheme="minorHAnsi" w:hAnsiTheme="minorHAnsi" w:cstheme="minorHAnsi"/>
          <w:color w:val="auto"/>
        </w:rPr>
        <w:t>(</w:t>
      </w:r>
      <w:r w:rsidRPr="005C453D">
        <w:rPr>
          <w:rFonts w:asciiTheme="minorHAnsi" w:hAnsiTheme="minorHAnsi" w:cstheme="minorHAnsi"/>
        </w:rPr>
        <w:t>Accessed 01 November 2023).</w:t>
      </w:r>
    </w:p>
    <w:p w14:paraId="73ACAEAF" w14:textId="0EAA949A" w:rsidR="00D06681" w:rsidRPr="005C453D" w:rsidRDefault="00D06681" w:rsidP="00D06681">
      <w:pPr>
        <w:spacing w:before="240" w:after="240" w:line="240" w:lineRule="auto"/>
        <w:rPr>
          <w:rFonts w:asciiTheme="minorHAnsi" w:hAnsiTheme="minorHAnsi" w:cstheme="minorHAnsi"/>
        </w:rPr>
      </w:pPr>
      <w:r w:rsidRPr="005C453D">
        <w:rPr>
          <w:rFonts w:asciiTheme="minorHAnsi" w:hAnsiTheme="minorHAnsi" w:cstheme="minorHAnsi"/>
        </w:rPr>
        <w:t>CIPD (27 April 2023</w:t>
      </w:r>
      <w:r w:rsidR="00391E64" w:rsidRPr="005C453D">
        <w:rPr>
          <w:rFonts w:asciiTheme="minorHAnsi" w:hAnsiTheme="minorHAnsi" w:cstheme="minorHAnsi"/>
        </w:rPr>
        <w:t>b</w:t>
      </w:r>
      <w:r w:rsidRPr="005C453D">
        <w:rPr>
          <w:rFonts w:asciiTheme="minorHAnsi" w:hAnsiTheme="minorHAnsi" w:cstheme="minorHAnsi"/>
        </w:rPr>
        <w:t xml:space="preserve">) Building an evidence-based people profession. </w:t>
      </w:r>
      <w:r w:rsidR="00FE20AA" w:rsidRPr="005C453D">
        <w:rPr>
          <w:rFonts w:asciiTheme="minorHAnsi" w:hAnsiTheme="minorHAnsi" w:cstheme="minorHAnsi"/>
        </w:rPr>
        <w:t xml:space="preserve">                                       </w:t>
      </w:r>
      <w:r w:rsidRPr="005C453D">
        <w:rPr>
          <w:rFonts w:asciiTheme="minorHAnsi" w:hAnsiTheme="minorHAnsi" w:cstheme="minorHAnsi"/>
        </w:rPr>
        <w:t xml:space="preserve">Available at:                                                                                                                          </w:t>
      </w:r>
      <w:hyperlink r:id="rId12" w:history="1">
        <w:r w:rsidRPr="005C453D">
          <w:rPr>
            <w:rStyle w:val="Hyperlink"/>
            <w:rFonts w:asciiTheme="minorHAnsi" w:hAnsiTheme="minorHAnsi" w:cstheme="minorHAnsi"/>
            <w:color w:val="auto"/>
          </w:rPr>
          <w:t>https://www.cipd.org/uk/views-and-insights/thought-leadership/insight/evidence-based-profession/</w:t>
        </w:r>
      </w:hyperlink>
      <w:r w:rsidRPr="005C453D">
        <w:rPr>
          <w:rFonts w:asciiTheme="minorHAnsi" w:hAnsiTheme="minorHAnsi" w:cstheme="minorHAnsi"/>
        </w:rPr>
        <w:t xml:space="preserve"> (Accessed 01 November 2023).</w:t>
      </w:r>
    </w:p>
    <w:p w14:paraId="4A3E1CA1" w14:textId="1368157E" w:rsidR="005B2FAE" w:rsidRPr="005C453D" w:rsidRDefault="005B2FAE" w:rsidP="00D06681">
      <w:pPr>
        <w:spacing w:before="240" w:after="240" w:line="240" w:lineRule="auto"/>
        <w:rPr>
          <w:rFonts w:asciiTheme="minorHAnsi" w:hAnsiTheme="minorHAnsi" w:cstheme="minorHAnsi"/>
          <w:b/>
        </w:rPr>
      </w:pPr>
      <w:r w:rsidRPr="005C453D">
        <w:rPr>
          <w:rFonts w:asciiTheme="minorHAnsi" w:hAnsiTheme="minorHAnsi" w:cstheme="minorHAnsi"/>
        </w:rPr>
        <w:t>CIPD (</w:t>
      </w:r>
      <w:r w:rsidR="00AF66A2" w:rsidRPr="005C453D">
        <w:rPr>
          <w:rFonts w:asciiTheme="minorHAnsi" w:hAnsiTheme="minorHAnsi" w:cstheme="minorHAnsi"/>
        </w:rPr>
        <w:t>25 July 2023c) Evidence-based practice for effective decision-making</w:t>
      </w:r>
      <w:r w:rsidR="00190DAC" w:rsidRPr="005C453D">
        <w:rPr>
          <w:rFonts w:asciiTheme="minorHAnsi" w:hAnsiTheme="minorHAnsi" w:cstheme="minorHAnsi"/>
        </w:rPr>
        <w:t>.</w:t>
      </w:r>
      <w:r w:rsidR="00276925" w:rsidRPr="005C453D">
        <w:rPr>
          <w:rFonts w:asciiTheme="minorHAnsi" w:hAnsiTheme="minorHAnsi" w:cstheme="minorHAnsi"/>
        </w:rPr>
        <w:t xml:space="preserve">                     Available at</w:t>
      </w:r>
      <w:r w:rsidR="00190DAC" w:rsidRPr="005C453D">
        <w:rPr>
          <w:rFonts w:asciiTheme="minorHAnsi" w:hAnsiTheme="minorHAnsi" w:cstheme="minorHAnsi"/>
        </w:rPr>
        <w:t>:</w:t>
      </w:r>
      <w:r w:rsidR="00DB0974" w:rsidRPr="005C453D">
        <w:rPr>
          <w:rFonts w:asciiTheme="minorHAnsi" w:hAnsiTheme="minorHAnsi" w:cstheme="minorHAnsi"/>
        </w:rPr>
        <w:t xml:space="preserve">                                                            </w:t>
      </w:r>
      <w:hyperlink r:id="rId13" w:history="1">
        <w:r w:rsidR="00DB0974" w:rsidRPr="005C453D">
          <w:rPr>
            <w:rStyle w:val="Hyperlink"/>
            <w:rFonts w:asciiTheme="minorHAnsi" w:hAnsiTheme="minorHAnsi" w:cstheme="minorHAnsi"/>
          </w:rPr>
          <w:t>https://www.cipd.org/uk/knowledge/factsheets/evidence-based-practice-factsheet/</w:t>
        </w:r>
      </w:hyperlink>
      <w:r w:rsidR="00DB0974" w:rsidRPr="005C453D">
        <w:rPr>
          <w:rFonts w:asciiTheme="minorHAnsi" w:hAnsiTheme="minorHAnsi" w:cstheme="minorHAnsi"/>
        </w:rPr>
        <w:t xml:space="preserve">                                                         (Accessed </w:t>
      </w:r>
      <w:r w:rsidR="00AA3C11" w:rsidRPr="005C453D">
        <w:rPr>
          <w:rFonts w:asciiTheme="minorHAnsi" w:hAnsiTheme="minorHAnsi" w:cstheme="minorHAnsi"/>
        </w:rPr>
        <w:t>28 November 2023)</w:t>
      </w:r>
    </w:p>
    <w:p w14:paraId="668A120B" w14:textId="2419B15B"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Claes, C. </w:t>
      </w:r>
      <w:r w:rsidRPr="005C453D">
        <w:rPr>
          <w:rFonts w:asciiTheme="minorHAnsi" w:hAnsiTheme="minorHAnsi" w:cstheme="minorHAnsi"/>
          <w:i/>
          <w:iCs/>
        </w:rPr>
        <w:t>et al.</w:t>
      </w:r>
      <w:r w:rsidRPr="005C453D">
        <w:rPr>
          <w:rFonts w:asciiTheme="minorHAnsi" w:hAnsiTheme="minorHAnsi" w:cstheme="minorHAnsi"/>
        </w:rPr>
        <w:t xml:space="preserve"> (2015) 'An integrative approach to evidence based practices,' </w:t>
      </w:r>
      <w:r w:rsidRPr="005C453D">
        <w:rPr>
          <w:rFonts w:asciiTheme="minorHAnsi" w:hAnsiTheme="minorHAnsi" w:cstheme="minorHAnsi"/>
          <w:i/>
          <w:iCs/>
        </w:rPr>
        <w:t>Evaluation and Program Planning</w:t>
      </w:r>
      <w:r w:rsidRPr="005C453D">
        <w:rPr>
          <w:rFonts w:asciiTheme="minorHAnsi" w:hAnsiTheme="minorHAnsi" w:cstheme="minorHAnsi"/>
        </w:rPr>
        <w:t xml:space="preserve">, 48, pp. 132–136. </w:t>
      </w:r>
    </w:p>
    <w:p w14:paraId="59E31C91" w14:textId="08B5B4C6" w:rsidR="00D06681" w:rsidRPr="005C453D" w:rsidRDefault="00D06681" w:rsidP="00D06681">
      <w:pPr>
        <w:pStyle w:val="NormalWeb"/>
        <w:spacing w:before="240" w:beforeAutospacing="0" w:after="240" w:afterAutospacing="0"/>
        <w:rPr>
          <w:rFonts w:asciiTheme="minorHAnsi" w:hAnsiTheme="minorHAnsi" w:cstheme="minorHAnsi"/>
        </w:rPr>
      </w:pPr>
      <w:proofErr w:type="spellStart"/>
      <w:r w:rsidRPr="005C453D">
        <w:rPr>
          <w:rFonts w:asciiTheme="minorHAnsi" w:hAnsiTheme="minorHAnsi" w:cstheme="minorHAnsi"/>
        </w:rPr>
        <w:t>Dadd</w:t>
      </w:r>
      <w:proofErr w:type="spellEnd"/>
      <w:r w:rsidRPr="005C453D">
        <w:rPr>
          <w:rFonts w:asciiTheme="minorHAnsi" w:hAnsiTheme="minorHAnsi" w:cstheme="minorHAnsi"/>
        </w:rPr>
        <w:t xml:space="preserve">, D. and Hinton, M. (2022) 'Performance measurement and evaluation: applying return on investment (ROI) to human capital investments,' </w:t>
      </w:r>
      <w:r w:rsidRPr="005C453D">
        <w:rPr>
          <w:rFonts w:asciiTheme="minorHAnsi" w:hAnsiTheme="minorHAnsi" w:cstheme="minorHAnsi"/>
          <w:i/>
          <w:iCs/>
        </w:rPr>
        <w:t>International Journal of Productivity and Performance Management</w:t>
      </w:r>
      <w:r w:rsidRPr="005C453D">
        <w:rPr>
          <w:rFonts w:asciiTheme="minorHAnsi" w:hAnsiTheme="minorHAnsi" w:cstheme="minorHAnsi"/>
        </w:rPr>
        <w:t xml:space="preserve">, 72(9), pp. 2736–2764. </w:t>
      </w:r>
    </w:p>
    <w:p w14:paraId="78CBC814" w14:textId="47CF8CC3"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i/>
          <w:iCs/>
        </w:rPr>
        <w:t>Decision Making</w:t>
      </w:r>
      <w:r w:rsidRPr="005C453D">
        <w:rPr>
          <w:rFonts w:asciiTheme="minorHAnsi" w:hAnsiTheme="minorHAnsi" w:cstheme="minorHAnsi"/>
        </w:rPr>
        <w:t xml:space="preserve"> (2020). </w:t>
      </w:r>
      <w:r w:rsidR="004043E2" w:rsidRPr="005C453D">
        <w:rPr>
          <w:rFonts w:asciiTheme="minorHAnsi" w:hAnsiTheme="minorHAnsi" w:cstheme="minorHAnsi"/>
        </w:rPr>
        <w:t xml:space="preserve">                                                                                                                       Available at:                                                                                      </w:t>
      </w:r>
      <w:r w:rsidRPr="005C453D">
        <w:rPr>
          <w:rFonts w:asciiTheme="minorHAnsi" w:hAnsiTheme="minorHAnsi" w:cstheme="minorHAnsi"/>
        </w:rPr>
        <w:t>https://www.managers.org.uk/knowledge-and-insights/resource/decision-making/ (Accessed: November 12, 2023).</w:t>
      </w:r>
    </w:p>
    <w:p w14:paraId="3CC7AC90" w14:textId="02C8F012" w:rsidR="00D06681" w:rsidRPr="005C453D" w:rsidRDefault="00D06681" w:rsidP="00D06681">
      <w:pPr>
        <w:pStyle w:val="NormalWeb"/>
        <w:spacing w:before="240" w:beforeAutospacing="0" w:after="240" w:afterAutospacing="0"/>
        <w:rPr>
          <w:rFonts w:asciiTheme="minorHAnsi" w:hAnsiTheme="minorHAnsi" w:cstheme="minorHAnsi"/>
        </w:rPr>
      </w:pPr>
      <w:proofErr w:type="spellStart"/>
      <w:r w:rsidRPr="005C453D">
        <w:rPr>
          <w:rFonts w:asciiTheme="minorHAnsi" w:hAnsiTheme="minorHAnsi" w:cstheme="minorHAnsi"/>
        </w:rPr>
        <w:t>Dierksmeier</w:t>
      </w:r>
      <w:proofErr w:type="spellEnd"/>
      <w:r w:rsidRPr="005C453D">
        <w:rPr>
          <w:rFonts w:asciiTheme="minorHAnsi" w:hAnsiTheme="minorHAnsi" w:cstheme="minorHAnsi"/>
        </w:rPr>
        <w:t xml:space="preserve">, C. (2013) 'Kant on virtue,' </w:t>
      </w:r>
      <w:r w:rsidRPr="005C453D">
        <w:rPr>
          <w:rFonts w:asciiTheme="minorHAnsi" w:hAnsiTheme="minorHAnsi" w:cstheme="minorHAnsi"/>
          <w:i/>
          <w:iCs/>
        </w:rPr>
        <w:t>Journal of Business Ethics</w:t>
      </w:r>
      <w:r w:rsidRPr="005C453D">
        <w:rPr>
          <w:rFonts w:asciiTheme="minorHAnsi" w:hAnsiTheme="minorHAnsi" w:cstheme="minorHAnsi"/>
        </w:rPr>
        <w:t xml:space="preserve">, 113(4), pp. 597–609. </w:t>
      </w:r>
    </w:p>
    <w:p w14:paraId="5333EF8C" w14:textId="71AE9989"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Elliott, C. and Turnbull, S. (2004) </w:t>
      </w:r>
      <w:r w:rsidRPr="005C453D">
        <w:rPr>
          <w:rFonts w:asciiTheme="minorHAnsi" w:hAnsiTheme="minorHAnsi" w:cstheme="minorHAnsi"/>
          <w:i/>
          <w:iCs/>
        </w:rPr>
        <w:t>Critical thinking in human resource development</w:t>
      </w:r>
      <w:r w:rsidRPr="005C453D">
        <w:rPr>
          <w:rFonts w:asciiTheme="minorHAnsi" w:hAnsiTheme="minorHAnsi" w:cstheme="minorHAnsi"/>
        </w:rPr>
        <w:t xml:space="preserve">. </w:t>
      </w:r>
    </w:p>
    <w:p w14:paraId="0A79A288" w14:textId="539D3CB2" w:rsidR="00D06681" w:rsidRPr="005C453D" w:rsidRDefault="00C36616"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Financial performance measures managers should monitor</w:t>
      </w:r>
      <w:r w:rsidR="00D06681" w:rsidRPr="005C453D">
        <w:rPr>
          <w:rFonts w:asciiTheme="minorHAnsi" w:hAnsiTheme="minorHAnsi" w:cstheme="minorHAnsi"/>
        </w:rPr>
        <w:t xml:space="preserve"> (2020). </w:t>
      </w:r>
      <w:r w:rsidR="007A6AB9" w:rsidRPr="005C453D">
        <w:rPr>
          <w:rFonts w:asciiTheme="minorHAnsi" w:hAnsiTheme="minorHAnsi" w:cstheme="minorHAnsi"/>
        </w:rPr>
        <w:t xml:space="preserve">                       </w:t>
      </w:r>
      <w:r w:rsidRPr="005C453D">
        <w:rPr>
          <w:rFonts w:asciiTheme="minorHAnsi" w:hAnsiTheme="minorHAnsi" w:cstheme="minorHAnsi"/>
        </w:rPr>
        <w:t xml:space="preserve">                     </w:t>
      </w:r>
      <w:r w:rsidR="007A6AB9" w:rsidRPr="005C453D">
        <w:rPr>
          <w:rFonts w:asciiTheme="minorHAnsi" w:hAnsiTheme="minorHAnsi" w:cstheme="minorHAnsi"/>
        </w:rPr>
        <w:t xml:space="preserve">Available at: </w:t>
      </w:r>
      <w:r w:rsidR="00D46BA7" w:rsidRPr="005C453D">
        <w:rPr>
          <w:rFonts w:asciiTheme="minorHAnsi" w:hAnsiTheme="minorHAnsi" w:cstheme="minorHAnsi"/>
        </w:rPr>
        <w:t xml:space="preserve">                                                                                                        </w:t>
      </w:r>
      <w:r w:rsidR="00D06681" w:rsidRPr="005C453D">
        <w:rPr>
          <w:rFonts w:asciiTheme="minorHAnsi" w:hAnsiTheme="minorHAnsi" w:cstheme="minorHAnsi"/>
        </w:rPr>
        <w:t xml:space="preserve">https://online.hbs.edu/blog/post/financial-performance-measures </w:t>
      </w:r>
      <w:r w:rsidR="007A6AB9" w:rsidRPr="005C453D">
        <w:rPr>
          <w:rFonts w:asciiTheme="minorHAnsi" w:hAnsiTheme="minorHAnsi" w:cstheme="minorHAnsi"/>
        </w:rPr>
        <w:t xml:space="preserve">                     </w:t>
      </w:r>
      <w:r w:rsidR="00D46BA7" w:rsidRPr="005C453D">
        <w:rPr>
          <w:rFonts w:asciiTheme="minorHAnsi" w:hAnsiTheme="minorHAnsi" w:cstheme="minorHAnsi"/>
        </w:rPr>
        <w:t xml:space="preserve">                     </w:t>
      </w:r>
      <w:r w:rsidR="00D06681" w:rsidRPr="005C453D">
        <w:rPr>
          <w:rFonts w:asciiTheme="minorHAnsi" w:hAnsiTheme="minorHAnsi" w:cstheme="minorHAnsi"/>
        </w:rPr>
        <w:t>(Accessed November 18, 2023).</w:t>
      </w:r>
    </w:p>
    <w:p w14:paraId="775CF89F" w14:textId="362C7C2B" w:rsidR="00D06681" w:rsidRPr="005C453D" w:rsidRDefault="00D06681" w:rsidP="00D06681">
      <w:pPr>
        <w:spacing w:before="240" w:after="240" w:line="240" w:lineRule="auto"/>
        <w:rPr>
          <w:rFonts w:asciiTheme="minorHAnsi" w:hAnsiTheme="minorHAnsi" w:cstheme="minorHAnsi"/>
        </w:rPr>
      </w:pPr>
      <w:r w:rsidRPr="005C453D">
        <w:rPr>
          <w:rFonts w:asciiTheme="minorHAnsi" w:hAnsiTheme="minorHAnsi" w:cstheme="minorHAnsi"/>
          <w:lang w:val="de-DE"/>
        </w:rPr>
        <w:t xml:space="preserve">Fleishmann, </w:t>
      </w:r>
      <w:r w:rsidR="00223ED5" w:rsidRPr="005C453D">
        <w:rPr>
          <w:rFonts w:asciiTheme="minorHAnsi" w:hAnsiTheme="minorHAnsi" w:cstheme="minorHAnsi"/>
          <w:lang w:val="de-DE"/>
        </w:rPr>
        <w:t>M</w:t>
      </w:r>
      <w:r w:rsidRPr="005C453D">
        <w:rPr>
          <w:rFonts w:asciiTheme="minorHAnsi" w:hAnsiTheme="minorHAnsi" w:cstheme="minorHAnsi"/>
          <w:lang w:val="de-DE"/>
        </w:rPr>
        <w:t xml:space="preserve">., &amp; Koster, F. (2017). </w:t>
      </w:r>
      <w:r w:rsidRPr="005C453D">
        <w:rPr>
          <w:rFonts w:asciiTheme="minorHAnsi" w:hAnsiTheme="minorHAnsi" w:cstheme="minorHAnsi"/>
        </w:rPr>
        <w:t xml:space="preserve">Older workers and employer-provided training in the Netherlands: a vignette study. Ageing and Society, 38(10), 1995–2018. </w:t>
      </w:r>
    </w:p>
    <w:p w14:paraId="44BAD4F6" w14:textId="522E6529" w:rsidR="00D06681" w:rsidRPr="005C453D" w:rsidRDefault="00D06681" w:rsidP="00D06681">
      <w:pPr>
        <w:spacing w:before="240" w:after="240" w:line="240" w:lineRule="auto"/>
        <w:rPr>
          <w:rFonts w:asciiTheme="minorHAnsi" w:hAnsiTheme="minorHAnsi" w:cstheme="minorHAnsi"/>
        </w:rPr>
      </w:pPr>
      <w:r w:rsidRPr="005C453D">
        <w:rPr>
          <w:rFonts w:asciiTheme="minorHAnsi" w:hAnsiTheme="minorHAnsi" w:cstheme="minorHAnsi"/>
        </w:rPr>
        <w:t xml:space="preserve">Fuller, A., &amp; Unwin, L. (2005). Older and wiser? workplace learning from the perspective of experienced employees. International Journal of Lifelong Education, 24(1), 21–39. </w:t>
      </w:r>
    </w:p>
    <w:p w14:paraId="4E88BC1B" w14:textId="7A1F623C"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lastRenderedPageBreak/>
        <w:t xml:space="preserve">Furnham, A. </w:t>
      </w:r>
      <w:r w:rsidRPr="005C453D">
        <w:rPr>
          <w:rFonts w:asciiTheme="minorHAnsi" w:hAnsiTheme="minorHAnsi" w:cstheme="minorHAnsi"/>
          <w:i/>
          <w:iCs/>
        </w:rPr>
        <w:t>et al.</w:t>
      </w:r>
      <w:r w:rsidRPr="005C453D">
        <w:rPr>
          <w:rFonts w:asciiTheme="minorHAnsi" w:hAnsiTheme="minorHAnsi" w:cstheme="minorHAnsi"/>
        </w:rPr>
        <w:t xml:space="preserve"> (2014) 'The Bright and Dark Side of Altruism: Demographic, Personality Traits, and Disorders Associated with Altruism,' </w:t>
      </w:r>
      <w:r w:rsidRPr="005C453D">
        <w:rPr>
          <w:rFonts w:asciiTheme="minorHAnsi" w:hAnsiTheme="minorHAnsi" w:cstheme="minorHAnsi"/>
          <w:i/>
          <w:iCs/>
        </w:rPr>
        <w:t>Journal of Business Ethics</w:t>
      </w:r>
      <w:r w:rsidRPr="005C453D">
        <w:rPr>
          <w:rFonts w:asciiTheme="minorHAnsi" w:hAnsiTheme="minorHAnsi" w:cstheme="minorHAnsi"/>
        </w:rPr>
        <w:t xml:space="preserve">, 134(3), pp. 359–368. </w:t>
      </w:r>
    </w:p>
    <w:p w14:paraId="6EA5305F" w14:textId="7052E3EE"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Getz and </w:t>
      </w:r>
      <w:proofErr w:type="spellStart"/>
      <w:r w:rsidRPr="005C453D">
        <w:rPr>
          <w:rFonts w:asciiTheme="minorHAnsi" w:hAnsiTheme="minorHAnsi" w:cstheme="minorHAnsi"/>
        </w:rPr>
        <w:t>Marbacher</w:t>
      </w:r>
      <w:proofErr w:type="spellEnd"/>
      <w:r w:rsidRPr="005C453D">
        <w:rPr>
          <w:rFonts w:asciiTheme="minorHAnsi" w:hAnsiTheme="minorHAnsi" w:cstheme="minorHAnsi"/>
          <w:i/>
          <w:iCs/>
        </w:rPr>
        <w:t xml:space="preserve"> </w:t>
      </w:r>
      <w:r w:rsidRPr="005C453D">
        <w:rPr>
          <w:rFonts w:asciiTheme="minorHAnsi" w:hAnsiTheme="minorHAnsi" w:cstheme="minorHAnsi"/>
        </w:rPr>
        <w:t xml:space="preserve">(2019). Altruism can be good for business, as these companies show. Available at:  </w:t>
      </w:r>
      <w:r w:rsidR="00662F97" w:rsidRPr="005C453D">
        <w:rPr>
          <w:rFonts w:asciiTheme="minorHAnsi" w:hAnsiTheme="minorHAnsi" w:cstheme="minorHAnsi"/>
        </w:rPr>
        <w:t xml:space="preserve">                                                                </w:t>
      </w:r>
      <w:r w:rsidRPr="005C453D">
        <w:rPr>
          <w:rFonts w:asciiTheme="minorHAnsi" w:hAnsiTheme="minorHAnsi" w:cstheme="minorHAnsi"/>
        </w:rPr>
        <w:t>https://www.weforum.org/agenda/2019/10/altruism-good-for-business-companies/ (Accessed: November 1, 2023).</w:t>
      </w:r>
    </w:p>
    <w:p w14:paraId="523DA12D" w14:textId="44D3BBE4"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Gill, P. </w:t>
      </w:r>
      <w:r w:rsidRPr="005C453D">
        <w:rPr>
          <w:rFonts w:asciiTheme="minorHAnsi" w:hAnsiTheme="minorHAnsi" w:cstheme="minorHAnsi"/>
          <w:i/>
          <w:iCs/>
        </w:rPr>
        <w:t>et al.</w:t>
      </w:r>
      <w:r w:rsidRPr="005C453D">
        <w:rPr>
          <w:rFonts w:asciiTheme="minorHAnsi" w:hAnsiTheme="minorHAnsi" w:cstheme="minorHAnsi"/>
        </w:rPr>
        <w:t xml:space="preserve"> (2008) 'Methods of data collection in qualitative research: interviews and focus groups,' </w:t>
      </w:r>
      <w:r w:rsidRPr="005C453D">
        <w:rPr>
          <w:rFonts w:asciiTheme="minorHAnsi" w:hAnsiTheme="minorHAnsi" w:cstheme="minorHAnsi"/>
          <w:i/>
          <w:iCs/>
        </w:rPr>
        <w:t>British Dental Journal</w:t>
      </w:r>
      <w:r w:rsidRPr="005C453D">
        <w:rPr>
          <w:rFonts w:asciiTheme="minorHAnsi" w:hAnsiTheme="minorHAnsi" w:cstheme="minorHAnsi"/>
        </w:rPr>
        <w:t xml:space="preserve">, 204(6), pp. 291–295. </w:t>
      </w:r>
    </w:p>
    <w:p w14:paraId="0914C26F" w14:textId="77777777" w:rsidR="007760CE" w:rsidRPr="005C453D" w:rsidRDefault="007760CE" w:rsidP="007760CE">
      <w:pPr>
        <w:pStyle w:val="NormalWeb"/>
        <w:spacing w:before="0" w:beforeAutospacing="0" w:after="0" w:afterAutospacing="0"/>
        <w:ind w:left="720" w:hanging="720"/>
        <w:rPr>
          <w:rFonts w:asciiTheme="minorHAnsi" w:hAnsiTheme="minorHAnsi" w:cstheme="minorHAnsi"/>
        </w:rPr>
      </w:pPr>
      <w:r w:rsidRPr="005C453D">
        <w:rPr>
          <w:rFonts w:asciiTheme="minorHAnsi" w:hAnsiTheme="minorHAnsi" w:cstheme="minorHAnsi"/>
        </w:rPr>
        <w:t>Hristov, I. and Chirico, A. (2016) 'The limits of the balanced scorecard,' Open Journal of</w:t>
      </w:r>
    </w:p>
    <w:p w14:paraId="0EB72A7F" w14:textId="1BB7845C" w:rsidR="007760CE" w:rsidRPr="005C453D" w:rsidRDefault="007760CE" w:rsidP="007760CE">
      <w:pPr>
        <w:pStyle w:val="NormalWeb"/>
        <w:spacing w:before="0" w:beforeAutospacing="0" w:after="0" w:afterAutospacing="0"/>
        <w:ind w:left="720" w:hanging="720"/>
        <w:rPr>
          <w:rFonts w:asciiTheme="minorHAnsi" w:hAnsiTheme="minorHAnsi" w:cstheme="minorHAnsi"/>
          <w:lang w:val="fr-FR"/>
        </w:rPr>
      </w:pPr>
      <w:r w:rsidRPr="005C453D">
        <w:rPr>
          <w:rFonts w:asciiTheme="minorHAnsi" w:hAnsiTheme="minorHAnsi" w:cstheme="minorHAnsi"/>
          <w:lang w:val="fr-FR"/>
        </w:rPr>
        <w:t xml:space="preserve">Social Sciences, 04(11), pp. 53–58. </w:t>
      </w:r>
    </w:p>
    <w:p w14:paraId="0183BDD8" w14:textId="0E1299EF"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Kaplan, R.S. (2021) </w:t>
      </w:r>
      <w:r w:rsidRPr="005C453D">
        <w:rPr>
          <w:rFonts w:asciiTheme="minorHAnsi" w:hAnsiTheme="minorHAnsi" w:cstheme="minorHAnsi"/>
          <w:i/>
          <w:iCs/>
        </w:rPr>
        <w:t>The Balanced Scorecard—Measures that Drive Performance</w:t>
      </w:r>
      <w:r w:rsidRPr="005C453D">
        <w:rPr>
          <w:rFonts w:asciiTheme="minorHAnsi" w:hAnsiTheme="minorHAnsi" w:cstheme="minorHAnsi"/>
        </w:rPr>
        <w:t>.</w:t>
      </w:r>
      <w:r w:rsidR="00E2033B" w:rsidRPr="005C453D">
        <w:rPr>
          <w:rFonts w:asciiTheme="minorHAnsi" w:hAnsiTheme="minorHAnsi" w:cstheme="minorHAnsi"/>
        </w:rPr>
        <w:t xml:space="preserve">                      Available at:                                                                                                                </w:t>
      </w:r>
      <w:r w:rsidRPr="005C453D">
        <w:rPr>
          <w:rFonts w:asciiTheme="minorHAnsi" w:hAnsiTheme="minorHAnsi" w:cstheme="minorHAnsi"/>
        </w:rPr>
        <w:t xml:space="preserve"> </w:t>
      </w:r>
      <w:hyperlink r:id="rId14" w:history="1">
        <w:r w:rsidR="00E2033B" w:rsidRPr="005C453D">
          <w:rPr>
            <w:rStyle w:val="Hyperlink"/>
            <w:rFonts w:asciiTheme="minorHAnsi" w:hAnsiTheme="minorHAnsi" w:cstheme="minorHAnsi"/>
          </w:rPr>
          <w:t>https://hbr.org/1992/01/the-balanced-scorecard-measures-that-drive-performance-2</w:t>
        </w:r>
      </w:hyperlink>
      <w:r w:rsidRPr="005C453D">
        <w:rPr>
          <w:rFonts w:asciiTheme="minorHAnsi" w:hAnsiTheme="minorHAnsi" w:cstheme="minorHAnsi"/>
        </w:rPr>
        <w:t>.</w:t>
      </w:r>
      <w:r w:rsidR="00E2033B" w:rsidRPr="005C453D">
        <w:rPr>
          <w:rFonts w:asciiTheme="minorHAnsi" w:hAnsiTheme="minorHAnsi" w:cstheme="minorHAnsi"/>
        </w:rPr>
        <w:t xml:space="preserve">       (Accessed 14 November 2023).</w:t>
      </w:r>
    </w:p>
    <w:p w14:paraId="3616B27B" w14:textId="7AA824C3" w:rsidR="00D06681" w:rsidRPr="005C453D" w:rsidRDefault="00D06681" w:rsidP="00D06681">
      <w:pPr>
        <w:pStyle w:val="NormalWeb"/>
        <w:spacing w:before="240" w:beforeAutospacing="0" w:after="240" w:afterAutospacing="0"/>
        <w:rPr>
          <w:rFonts w:asciiTheme="minorHAnsi" w:hAnsiTheme="minorHAnsi" w:cstheme="minorHAnsi"/>
        </w:rPr>
      </w:pPr>
      <w:proofErr w:type="spellStart"/>
      <w:r w:rsidRPr="005C453D">
        <w:rPr>
          <w:rFonts w:asciiTheme="minorHAnsi" w:hAnsiTheme="minorHAnsi" w:cstheme="minorHAnsi"/>
        </w:rPr>
        <w:t>Kivunja</w:t>
      </w:r>
      <w:proofErr w:type="spellEnd"/>
      <w:r w:rsidRPr="005C453D">
        <w:rPr>
          <w:rFonts w:asciiTheme="minorHAnsi" w:hAnsiTheme="minorHAnsi" w:cstheme="minorHAnsi"/>
        </w:rPr>
        <w:t xml:space="preserve">, C. (2015) 'Using De Bono’s Six Thinking Hats model to teach critical thinking and problem solving skills essential for success in the 21st century economy,' </w:t>
      </w:r>
      <w:r w:rsidRPr="005C453D">
        <w:rPr>
          <w:rFonts w:asciiTheme="minorHAnsi" w:hAnsiTheme="minorHAnsi" w:cstheme="minorHAnsi"/>
          <w:i/>
          <w:iCs/>
        </w:rPr>
        <w:t>Creative Education</w:t>
      </w:r>
      <w:r w:rsidRPr="005C453D">
        <w:rPr>
          <w:rFonts w:asciiTheme="minorHAnsi" w:hAnsiTheme="minorHAnsi" w:cstheme="minorHAnsi"/>
        </w:rPr>
        <w:t xml:space="preserve">, 06(03), pp. 380–391. </w:t>
      </w:r>
    </w:p>
    <w:p w14:paraId="1FC9D634" w14:textId="7560BE68"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Lee, M. (2012) </w:t>
      </w:r>
      <w:r w:rsidRPr="005C453D">
        <w:rPr>
          <w:rFonts w:asciiTheme="minorHAnsi" w:hAnsiTheme="minorHAnsi" w:cstheme="minorHAnsi"/>
          <w:i/>
          <w:iCs/>
        </w:rPr>
        <w:t>Human resource development as we know it</w:t>
      </w:r>
      <w:r w:rsidRPr="005C453D">
        <w:rPr>
          <w:rFonts w:asciiTheme="minorHAnsi" w:hAnsiTheme="minorHAnsi" w:cstheme="minorHAnsi"/>
        </w:rPr>
        <w:t xml:space="preserve">. </w:t>
      </w:r>
      <w:r w:rsidR="00C65654" w:rsidRPr="005C453D">
        <w:rPr>
          <w:rFonts w:asciiTheme="minorHAnsi" w:hAnsiTheme="minorHAnsi" w:cstheme="minorHAnsi"/>
        </w:rPr>
        <w:t xml:space="preserve">                                                          Available at: </w:t>
      </w:r>
      <w:hyperlink r:id="rId15" w:history="1">
        <w:r w:rsidR="00C65654" w:rsidRPr="005C453D">
          <w:rPr>
            <w:rStyle w:val="Hyperlink"/>
            <w:rFonts w:asciiTheme="minorHAnsi" w:hAnsiTheme="minorHAnsi" w:cstheme="minorHAnsi"/>
          </w:rPr>
          <w:t>https://doi.org/10.4324/9780203126851</w:t>
        </w:r>
      </w:hyperlink>
      <w:r w:rsidRPr="005C453D">
        <w:rPr>
          <w:rFonts w:asciiTheme="minorHAnsi" w:hAnsiTheme="minorHAnsi" w:cstheme="minorHAnsi"/>
        </w:rPr>
        <w:t>.</w:t>
      </w:r>
      <w:r w:rsidR="00C65654" w:rsidRPr="005C453D">
        <w:rPr>
          <w:rFonts w:asciiTheme="minorHAnsi" w:hAnsiTheme="minorHAnsi" w:cstheme="minorHAnsi"/>
        </w:rPr>
        <w:t xml:space="preserve">                                                                                               (Accessed 12 November 2023)</w:t>
      </w:r>
      <w:r w:rsidR="00573C45" w:rsidRPr="005C453D">
        <w:rPr>
          <w:rFonts w:asciiTheme="minorHAnsi" w:hAnsiTheme="minorHAnsi" w:cstheme="minorHAnsi"/>
        </w:rPr>
        <w:t>.</w:t>
      </w:r>
    </w:p>
    <w:p w14:paraId="1D2B4CB4" w14:textId="1B758642"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Mackey, A. and </w:t>
      </w:r>
      <w:proofErr w:type="spellStart"/>
      <w:r w:rsidRPr="005C453D">
        <w:rPr>
          <w:rFonts w:asciiTheme="minorHAnsi" w:hAnsiTheme="minorHAnsi" w:cstheme="minorHAnsi"/>
        </w:rPr>
        <w:t>Bassendowski</w:t>
      </w:r>
      <w:proofErr w:type="spellEnd"/>
      <w:r w:rsidRPr="005C453D">
        <w:rPr>
          <w:rFonts w:asciiTheme="minorHAnsi" w:hAnsiTheme="minorHAnsi" w:cstheme="minorHAnsi"/>
        </w:rPr>
        <w:t xml:space="preserve">, S. (2017) 'The History of Evidence-Based Practice in Nursing Education and Practice,' </w:t>
      </w:r>
      <w:r w:rsidRPr="005C453D">
        <w:rPr>
          <w:rFonts w:asciiTheme="minorHAnsi" w:hAnsiTheme="minorHAnsi" w:cstheme="minorHAnsi"/>
          <w:i/>
          <w:iCs/>
        </w:rPr>
        <w:t>Journal of Professional Nursing</w:t>
      </w:r>
      <w:r w:rsidRPr="005C453D">
        <w:rPr>
          <w:rFonts w:asciiTheme="minorHAnsi" w:hAnsiTheme="minorHAnsi" w:cstheme="minorHAnsi"/>
        </w:rPr>
        <w:t xml:space="preserve">, 33(1), pp. 51–55. </w:t>
      </w:r>
    </w:p>
    <w:p w14:paraId="212A57A1" w14:textId="77777777" w:rsidR="00D06681" w:rsidRPr="005C453D" w:rsidRDefault="00D06681" w:rsidP="00D06681">
      <w:pPr>
        <w:spacing w:before="240" w:after="240" w:line="240" w:lineRule="auto"/>
        <w:rPr>
          <w:rFonts w:asciiTheme="minorHAnsi" w:hAnsiTheme="minorHAnsi" w:cstheme="minorHAnsi"/>
          <w:shd w:val="clear" w:color="auto" w:fill="FFFFFF"/>
        </w:rPr>
      </w:pPr>
      <w:r w:rsidRPr="005C453D">
        <w:rPr>
          <w:rFonts w:asciiTheme="minorHAnsi" w:hAnsiTheme="minorHAnsi" w:cstheme="minorHAnsi"/>
          <w:shd w:val="clear" w:color="auto" w:fill="FFFFFF"/>
        </w:rPr>
        <w:t xml:space="preserve">Markopoulos, E., </w:t>
      </w:r>
      <w:proofErr w:type="spellStart"/>
      <w:r w:rsidRPr="005C453D">
        <w:rPr>
          <w:rFonts w:asciiTheme="minorHAnsi" w:hAnsiTheme="minorHAnsi" w:cstheme="minorHAnsi"/>
          <w:shd w:val="clear" w:color="auto" w:fill="FFFFFF"/>
        </w:rPr>
        <w:t>Refflinghaus</w:t>
      </w:r>
      <w:proofErr w:type="spellEnd"/>
      <w:r w:rsidRPr="005C453D">
        <w:rPr>
          <w:rFonts w:asciiTheme="minorHAnsi" w:hAnsiTheme="minorHAnsi" w:cstheme="minorHAnsi"/>
          <w:shd w:val="clear" w:color="auto" w:fill="FFFFFF"/>
        </w:rPr>
        <w:t xml:space="preserve">, J., Roell, M. and </w:t>
      </w:r>
      <w:proofErr w:type="spellStart"/>
      <w:r w:rsidRPr="005C453D">
        <w:rPr>
          <w:rFonts w:asciiTheme="minorHAnsi" w:hAnsiTheme="minorHAnsi" w:cstheme="minorHAnsi"/>
          <w:shd w:val="clear" w:color="auto" w:fill="FFFFFF"/>
        </w:rPr>
        <w:t>Vanharanta</w:t>
      </w:r>
      <w:proofErr w:type="spellEnd"/>
      <w:r w:rsidRPr="005C453D">
        <w:rPr>
          <w:rFonts w:asciiTheme="minorHAnsi" w:hAnsiTheme="minorHAnsi" w:cstheme="minorHAnsi"/>
          <w:shd w:val="clear" w:color="auto" w:fill="FFFFFF"/>
        </w:rPr>
        <w:t xml:space="preserve">, H., 2022. Understanding </w:t>
      </w:r>
      <w:proofErr w:type="spellStart"/>
      <w:r w:rsidRPr="005C453D">
        <w:rPr>
          <w:rFonts w:asciiTheme="minorHAnsi" w:hAnsiTheme="minorHAnsi" w:cstheme="minorHAnsi"/>
          <w:shd w:val="clear" w:color="auto" w:fill="FFFFFF"/>
        </w:rPr>
        <w:t>Situationality</w:t>
      </w:r>
      <w:proofErr w:type="spellEnd"/>
      <w:r w:rsidRPr="005C453D">
        <w:rPr>
          <w:rFonts w:asciiTheme="minorHAnsi" w:hAnsiTheme="minorHAnsi" w:cstheme="minorHAnsi"/>
          <w:shd w:val="clear" w:color="auto" w:fill="FFFFFF"/>
        </w:rPr>
        <w:t xml:space="preserve"> using the Kepner-Tregoe Method in the Company Democracy Model to increase Employee Engagement and Knowledge Contribution. In </w:t>
      </w:r>
      <w:r w:rsidRPr="005C453D">
        <w:rPr>
          <w:rFonts w:asciiTheme="minorHAnsi" w:hAnsiTheme="minorHAnsi" w:cstheme="minorHAnsi"/>
          <w:i/>
          <w:iCs/>
          <w:shd w:val="clear" w:color="auto" w:fill="FFFFFF"/>
        </w:rPr>
        <w:t>Creativity, Innovation and Entrepreneurship</w:t>
      </w:r>
      <w:r w:rsidRPr="005C453D">
        <w:rPr>
          <w:rFonts w:asciiTheme="minorHAnsi" w:hAnsiTheme="minorHAnsi" w:cstheme="minorHAnsi"/>
          <w:shd w:val="clear" w:color="auto" w:fill="FFFFFF"/>
        </w:rPr>
        <w:t> (Vol. 31, pp. 196-207). AHFE International.</w:t>
      </w:r>
    </w:p>
    <w:p w14:paraId="707084D7" w14:textId="2720102A"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Ong, M., Wright, C., Espinosa, L., &amp; Orfield, G. (2011). Inside the Double Bind: A Synthesis of Empirical Research on Undergraduate and Graduate Women of Colo</w:t>
      </w:r>
      <w:r w:rsidR="00CF08A0" w:rsidRPr="005C453D">
        <w:rPr>
          <w:rFonts w:asciiTheme="minorHAnsi" w:hAnsiTheme="minorHAnsi" w:cstheme="minorHAnsi"/>
        </w:rPr>
        <w:t>u</w:t>
      </w:r>
      <w:r w:rsidRPr="005C453D">
        <w:rPr>
          <w:rFonts w:asciiTheme="minorHAnsi" w:hAnsiTheme="minorHAnsi" w:cstheme="minorHAnsi"/>
        </w:rPr>
        <w:t xml:space="preserve">r in Science, Technology, Engineering, and Mathematics. Harvard Educational Review, 81(2), 172–209. </w:t>
      </w:r>
    </w:p>
    <w:p w14:paraId="27A525A4" w14:textId="33F58CDD" w:rsidR="00D06681" w:rsidRPr="005C453D" w:rsidRDefault="00D06681" w:rsidP="00D06681">
      <w:pPr>
        <w:pStyle w:val="NormalWeb"/>
        <w:spacing w:before="240" w:beforeAutospacing="0" w:after="240" w:afterAutospacing="0"/>
        <w:rPr>
          <w:rFonts w:asciiTheme="minorHAnsi" w:eastAsiaTheme="minorHAnsi" w:hAnsiTheme="minorHAnsi" w:cstheme="minorHAnsi"/>
          <w:kern w:val="2"/>
          <w:shd w:val="clear" w:color="auto" w:fill="FFFFFF"/>
          <w:lang w:eastAsia="en-US"/>
          <w14:ligatures w14:val="standardContextual"/>
        </w:rPr>
      </w:pPr>
      <w:r w:rsidRPr="005C453D">
        <w:rPr>
          <w:rFonts w:asciiTheme="minorHAnsi" w:eastAsiaTheme="minorHAnsi" w:hAnsiTheme="minorHAnsi" w:cstheme="minorHAnsi"/>
          <w:kern w:val="2"/>
          <w:shd w:val="clear" w:color="auto" w:fill="FFFFFF"/>
          <w:lang w:eastAsia="en-US"/>
          <w14:ligatures w14:val="standardContextual"/>
        </w:rPr>
        <w:t>Opara, V., Sealy, R., &amp; Ryan, M. K. (2020). The workplace experiences of BAME professional women: Understanding experiences at the intersection. Gender, Work &amp;Amp; Organi</w:t>
      </w:r>
      <w:r w:rsidR="00CF08A0" w:rsidRPr="005C453D">
        <w:rPr>
          <w:rFonts w:asciiTheme="minorHAnsi" w:eastAsiaTheme="minorHAnsi" w:hAnsiTheme="minorHAnsi" w:cstheme="minorHAnsi"/>
          <w:kern w:val="2"/>
          <w:shd w:val="clear" w:color="auto" w:fill="FFFFFF"/>
          <w:lang w:eastAsia="en-US"/>
          <w14:ligatures w14:val="standardContextual"/>
        </w:rPr>
        <w:t>s</w:t>
      </w:r>
      <w:r w:rsidRPr="005C453D">
        <w:rPr>
          <w:rFonts w:asciiTheme="minorHAnsi" w:eastAsiaTheme="minorHAnsi" w:hAnsiTheme="minorHAnsi" w:cstheme="minorHAnsi"/>
          <w:kern w:val="2"/>
          <w:shd w:val="clear" w:color="auto" w:fill="FFFFFF"/>
          <w:lang w:eastAsia="en-US"/>
          <w14:ligatures w14:val="standardContextual"/>
        </w:rPr>
        <w:t>ation, 27(6)</w:t>
      </w:r>
    </w:p>
    <w:p w14:paraId="05A1D009" w14:textId="77777777" w:rsidR="00D06681" w:rsidRPr="005C453D" w:rsidRDefault="00D06681" w:rsidP="00D06681">
      <w:pPr>
        <w:spacing w:before="240" w:after="240" w:line="240" w:lineRule="auto"/>
        <w:rPr>
          <w:rFonts w:asciiTheme="minorHAnsi" w:hAnsiTheme="minorHAnsi" w:cstheme="minorHAnsi"/>
          <w:shd w:val="clear" w:color="auto" w:fill="FFFFFF"/>
        </w:rPr>
      </w:pPr>
      <w:r w:rsidRPr="005C453D">
        <w:rPr>
          <w:rFonts w:asciiTheme="minorHAnsi" w:hAnsiTheme="minorHAnsi" w:cstheme="minorHAnsi"/>
          <w:shd w:val="clear" w:color="auto" w:fill="FFFFFF"/>
        </w:rPr>
        <w:t>Parmar, B.L., Freeman, R.E., Harrison, J.S., Wicks, A.C., Purnell, L. and De Colle, S., 2010. Stakeholder theory: The state of the art. </w:t>
      </w:r>
      <w:r w:rsidRPr="005C453D">
        <w:rPr>
          <w:rFonts w:asciiTheme="minorHAnsi" w:hAnsiTheme="minorHAnsi" w:cstheme="minorHAnsi"/>
          <w:i/>
          <w:iCs/>
          <w:shd w:val="clear" w:color="auto" w:fill="FFFFFF"/>
        </w:rPr>
        <w:t>Academy of Management Annals</w:t>
      </w:r>
      <w:r w:rsidRPr="005C453D">
        <w:rPr>
          <w:rFonts w:asciiTheme="minorHAnsi" w:hAnsiTheme="minorHAnsi" w:cstheme="minorHAnsi"/>
          <w:shd w:val="clear" w:color="auto" w:fill="FFFFFF"/>
        </w:rPr>
        <w:t>, </w:t>
      </w:r>
      <w:r w:rsidRPr="005C453D">
        <w:rPr>
          <w:rFonts w:asciiTheme="minorHAnsi" w:hAnsiTheme="minorHAnsi" w:cstheme="minorHAnsi"/>
          <w:i/>
          <w:iCs/>
          <w:shd w:val="clear" w:color="auto" w:fill="FFFFFF"/>
        </w:rPr>
        <w:t>4</w:t>
      </w:r>
      <w:r w:rsidRPr="005C453D">
        <w:rPr>
          <w:rFonts w:asciiTheme="minorHAnsi" w:hAnsiTheme="minorHAnsi" w:cstheme="minorHAnsi"/>
          <w:shd w:val="clear" w:color="auto" w:fill="FFFFFF"/>
        </w:rPr>
        <w:t>(1), pp.403-445.</w:t>
      </w:r>
    </w:p>
    <w:p w14:paraId="2BB69960" w14:textId="06AC49CD"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Paul, R. and Elder, L. (2009) </w:t>
      </w:r>
      <w:r w:rsidRPr="005C453D">
        <w:rPr>
          <w:rFonts w:asciiTheme="minorHAnsi" w:hAnsiTheme="minorHAnsi" w:cstheme="minorHAnsi"/>
          <w:i/>
          <w:iCs/>
        </w:rPr>
        <w:t>The Miniature Guide to Critical Thinking Concepts &amp; Tools</w:t>
      </w:r>
      <w:r w:rsidRPr="005C453D">
        <w:rPr>
          <w:rFonts w:asciiTheme="minorHAnsi" w:hAnsiTheme="minorHAnsi" w:cstheme="minorHAnsi"/>
        </w:rPr>
        <w:t xml:space="preserve">. </w:t>
      </w:r>
    </w:p>
    <w:p w14:paraId="1726C2E2" w14:textId="77777777"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shd w:val="clear" w:color="auto" w:fill="FFFFFF"/>
        </w:rPr>
        <w:t>Payette, P. and Barnes, B., 2017, March. Teaching for critical thinking: Edward de Bono's six thinking hats. In </w:t>
      </w:r>
      <w:r w:rsidRPr="005C453D">
        <w:rPr>
          <w:rFonts w:asciiTheme="minorHAnsi" w:hAnsiTheme="minorHAnsi" w:cstheme="minorHAnsi"/>
          <w:i/>
          <w:iCs/>
          <w:shd w:val="clear" w:color="auto" w:fill="FFFFFF"/>
        </w:rPr>
        <w:t>The National Teaching &amp; Learning Forum</w:t>
      </w:r>
      <w:r w:rsidRPr="005C453D">
        <w:rPr>
          <w:rFonts w:asciiTheme="minorHAnsi" w:hAnsiTheme="minorHAnsi" w:cstheme="minorHAnsi"/>
          <w:shd w:val="clear" w:color="auto" w:fill="FFFFFF"/>
        </w:rPr>
        <w:t> (Vol. 26, No. 3, pp. 8-10).</w:t>
      </w:r>
    </w:p>
    <w:p w14:paraId="450F04C2" w14:textId="147DE566"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i/>
          <w:iCs/>
        </w:rPr>
        <w:lastRenderedPageBreak/>
        <w:t>People Analytics</w:t>
      </w:r>
      <w:r w:rsidRPr="005C453D">
        <w:rPr>
          <w:rFonts w:asciiTheme="minorHAnsi" w:hAnsiTheme="minorHAnsi" w:cstheme="minorHAnsi"/>
        </w:rPr>
        <w:t xml:space="preserve"> (2018). </w:t>
      </w:r>
      <w:r w:rsidR="000E4D53" w:rsidRPr="005C453D">
        <w:rPr>
          <w:rFonts w:asciiTheme="minorHAnsi" w:hAnsiTheme="minorHAnsi" w:cstheme="minorHAnsi"/>
        </w:rPr>
        <w:t xml:space="preserve">                                                                                                                       Available at: </w:t>
      </w:r>
      <w:r w:rsidR="00771D52" w:rsidRPr="005C453D">
        <w:rPr>
          <w:rFonts w:asciiTheme="minorHAnsi" w:hAnsiTheme="minorHAnsi" w:cstheme="minorHAnsi"/>
        </w:rPr>
        <w:t xml:space="preserve">                                                           </w:t>
      </w:r>
      <w:r w:rsidRPr="005C453D">
        <w:rPr>
          <w:rFonts w:asciiTheme="minorHAnsi" w:hAnsiTheme="minorHAnsi" w:cstheme="minorHAnsi"/>
        </w:rPr>
        <w:t xml:space="preserve">https://www.cipd.org/globalassets/media/knowledge/knowledge-hub/reports/people-analytics-executive-summary_tcm18-43748.pdf </w:t>
      </w:r>
      <w:r w:rsidR="000E4D53" w:rsidRPr="005C453D">
        <w:rPr>
          <w:rFonts w:asciiTheme="minorHAnsi" w:hAnsiTheme="minorHAnsi" w:cstheme="minorHAnsi"/>
        </w:rPr>
        <w:t xml:space="preserve">                                         </w:t>
      </w:r>
      <w:r w:rsidR="00771D52" w:rsidRPr="005C453D">
        <w:rPr>
          <w:rFonts w:asciiTheme="minorHAnsi" w:hAnsiTheme="minorHAnsi" w:cstheme="minorHAnsi"/>
        </w:rPr>
        <w:t xml:space="preserve">                                     </w:t>
      </w:r>
      <w:r w:rsidRPr="005C453D">
        <w:rPr>
          <w:rFonts w:asciiTheme="minorHAnsi" w:hAnsiTheme="minorHAnsi" w:cstheme="minorHAnsi"/>
        </w:rPr>
        <w:t>(Accessed November 18, 2023).</w:t>
      </w:r>
    </w:p>
    <w:p w14:paraId="7E954406" w14:textId="0F7EB133" w:rsidR="00D06681" w:rsidRPr="005C453D" w:rsidRDefault="00D06681" w:rsidP="00D06681">
      <w:pPr>
        <w:pStyle w:val="NormalWeb"/>
        <w:spacing w:before="0" w:beforeAutospacing="0" w:after="0" w:afterAutospacing="0"/>
        <w:rPr>
          <w:rFonts w:asciiTheme="minorHAnsi" w:hAnsiTheme="minorHAnsi" w:cstheme="minorHAnsi"/>
        </w:rPr>
      </w:pPr>
      <w:proofErr w:type="spellStart"/>
      <w:r w:rsidRPr="005C453D">
        <w:rPr>
          <w:rFonts w:asciiTheme="minorHAnsi" w:hAnsiTheme="minorHAnsi" w:cstheme="minorHAnsi"/>
          <w:lang w:val="fr-FR"/>
        </w:rPr>
        <w:t>Rasool</w:t>
      </w:r>
      <w:proofErr w:type="spellEnd"/>
      <w:r w:rsidRPr="005C453D">
        <w:rPr>
          <w:rFonts w:asciiTheme="minorHAnsi" w:hAnsiTheme="minorHAnsi" w:cstheme="minorHAnsi"/>
          <w:lang w:val="fr-FR"/>
        </w:rPr>
        <w:t xml:space="preserve">, S.F. </w:t>
      </w:r>
      <w:r w:rsidRPr="005C453D">
        <w:rPr>
          <w:rFonts w:asciiTheme="minorHAnsi" w:hAnsiTheme="minorHAnsi" w:cstheme="minorHAnsi"/>
          <w:i/>
          <w:iCs/>
          <w:lang w:val="fr-FR"/>
        </w:rPr>
        <w:t>et al.</w:t>
      </w:r>
      <w:r w:rsidRPr="005C453D">
        <w:rPr>
          <w:rFonts w:asciiTheme="minorHAnsi" w:hAnsiTheme="minorHAnsi" w:cstheme="minorHAnsi"/>
          <w:lang w:val="fr-FR"/>
        </w:rPr>
        <w:t xml:space="preserve"> </w:t>
      </w:r>
      <w:r w:rsidRPr="005C453D">
        <w:rPr>
          <w:rFonts w:asciiTheme="minorHAnsi" w:hAnsiTheme="minorHAnsi" w:cstheme="minorHAnsi"/>
        </w:rPr>
        <w:t>(2019) '&lt;p&gt;How Human Resource Management Practices Translate Into Sustainable Organi</w:t>
      </w:r>
      <w:r w:rsidR="00CF08A0" w:rsidRPr="005C453D">
        <w:rPr>
          <w:rFonts w:asciiTheme="minorHAnsi" w:hAnsiTheme="minorHAnsi" w:cstheme="minorHAnsi"/>
        </w:rPr>
        <w:t>s</w:t>
      </w:r>
      <w:r w:rsidRPr="005C453D">
        <w:rPr>
          <w:rFonts w:asciiTheme="minorHAnsi" w:hAnsiTheme="minorHAnsi" w:cstheme="minorHAnsi"/>
        </w:rPr>
        <w:t xml:space="preserve">ational Performance: The Mediating Role Of Product, Process And Knowledge Innovation&lt;/p&gt;,' </w:t>
      </w:r>
      <w:r w:rsidRPr="005C453D">
        <w:rPr>
          <w:rFonts w:asciiTheme="minorHAnsi" w:hAnsiTheme="minorHAnsi" w:cstheme="minorHAnsi"/>
          <w:i/>
          <w:iCs/>
        </w:rPr>
        <w:t xml:space="preserve">Psychology Research and </w:t>
      </w:r>
      <w:proofErr w:type="spellStart"/>
      <w:r w:rsidRPr="005C453D">
        <w:rPr>
          <w:rFonts w:asciiTheme="minorHAnsi" w:hAnsiTheme="minorHAnsi" w:cstheme="minorHAnsi"/>
          <w:i/>
          <w:iCs/>
        </w:rPr>
        <w:t>Behavior</w:t>
      </w:r>
      <w:proofErr w:type="spellEnd"/>
      <w:r w:rsidRPr="005C453D">
        <w:rPr>
          <w:rFonts w:asciiTheme="minorHAnsi" w:hAnsiTheme="minorHAnsi" w:cstheme="minorHAnsi"/>
          <w:i/>
          <w:iCs/>
        </w:rPr>
        <w:t xml:space="preserve"> Management</w:t>
      </w:r>
      <w:r w:rsidRPr="005C453D">
        <w:rPr>
          <w:rFonts w:asciiTheme="minorHAnsi" w:hAnsiTheme="minorHAnsi" w:cstheme="minorHAnsi"/>
        </w:rPr>
        <w:t xml:space="preserve">, Volume 12, pp. 1009–1025. </w:t>
      </w:r>
    </w:p>
    <w:p w14:paraId="3AF14EA7" w14:textId="77777777" w:rsidR="00771D52" w:rsidRPr="005C453D" w:rsidRDefault="00771D52" w:rsidP="00D06681">
      <w:pPr>
        <w:pStyle w:val="NormalWeb"/>
        <w:spacing w:before="0" w:beforeAutospacing="0" w:after="0" w:afterAutospacing="0"/>
        <w:rPr>
          <w:rFonts w:asciiTheme="minorHAnsi" w:hAnsiTheme="minorHAnsi" w:cstheme="minorHAnsi"/>
        </w:rPr>
      </w:pPr>
    </w:p>
    <w:p w14:paraId="3F5F9330" w14:textId="7A1FBE8A" w:rsidR="00D06681" w:rsidRPr="005C453D" w:rsidRDefault="00D06681" w:rsidP="00D06681">
      <w:pPr>
        <w:pStyle w:val="NormalWeb"/>
        <w:spacing w:before="0" w:beforeAutospacing="0" w:after="0" w:afterAutospacing="0"/>
        <w:rPr>
          <w:rFonts w:asciiTheme="minorHAnsi" w:eastAsiaTheme="minorHAnsi" w:hAnsiTheme="minorHAnsi" w:cstheme="minorHAnsi"/>
          <w:kern w:val="2"/>
          <w:lang w:eastAsia="en-US"/>
          <w14:ligatures w14:val="standardContextual"/>
        </w:rPr>
      </w:pPr>
      <w:r w:rsidRPr="005C453D">
        <w:rPr>
          <w:rFonts w:asciiTheme="minorHAnsi" w:eastAsiaTheme="minorHAnsi" w:hAnsiTheme="minorHAnsi" w:cstheme="minorHAnsi"/>
          <w:kern w:val="2"/>
          <w:lang w:eastAsia="en-US"/>
          <w14:ligatures w14:val="standardContextual"/>
        </w:rPr>
        <w:t xml:space="preserve">Taylor, </w:t>
      </w:r>
      <w:proofErr w:type="spellStart"/>
      <w:r w:rsidRPr="005C453D">
        <w:rPr>
          <w:rFonts w:asciiTheme="minorHAnsi" w:eastAsiaTheme="minorHAnsi" w:hAnsiTheme="minorHAnsi" w:cstheme="minorHAnsi"/>
          <w:kern w:val="2"/>
          <w:lang w:eastAsia="en-US"/>
          <w14:ligatures w14:val="standardContextual"/>
        </w:rPr>
        <w:t>Stephen.W</w:t>
      </w:r>
      <w:proofErr w:type="spellEnd"/>
      <w:r w:rsidRPr="005C453D">
        <w:rPr>
          <w:rFonts w:asciiTheme="minorHAnsi" w:eastAsiaTheme="minorHAnsi" w:hAnsiTheme="minorHAnsi" w:cstheme="minorHAnsi"/>
          <w:kern w:val="2"/>
          <w:lang w:eastAsia="en-US"/>
          <w14:ligatures w14:val="standardContextual"/>
        </w:rPr>
        <w:t>. and Woodhams, C. (2022) Studying human resource management: A Guide to the Study, Context and Practice of HR</w:t>
      </w:r>
      <w:r w:rsidR="00CC42F7" w:rsidRPr="005C453D">
        <w:rPr>
          <w:rFonts w:asciiTheme="minorHAnsi" w:eastAsiaTheme="minorHAnsi" w:hAnsiTheme="minorHAnsi" w:cstheme="minorHAnsi"/>
          <w:kern w:val="2"/>
          <w:lang w:eastAsia="en-US"/>
          <w14:ligatures w14:val="standardContextual"/>
        </w:rPr>
        <w:t xml:space="preserve">, </w:t>
      </w:r>
      <w:r w:rsidR="0034165C" w:rsidRPr="005C453D">
        <w:rPr>
          <w:rFonts w:asciiTheme="minorHAnsi" w:eastAsiaTheme="minorHAnsi" w:hAnsiTheme="minorHAnsi" w:cstheme="minorHAnsi"/>
          <w:kern w:val="2"/>
          <w:lang w:eastAsia="en-US"/>
          <w14:ligatures w14:val="standardContextual"/>
        </w:rPr>
        <w:t>London: Kogan Page</w:t>
      </w:r>
      <w:r w:rsidR="00201B9C" w:rsidRPr="005C453D">
        <w:rPr>
          <w:rFonts w:asciiTheme="minorHAnsi" w:eastAsiaTheme="minorHAnsi" w:hAnsiTheme="minorHAnsi" w:cstheme="minorHAnsi"/>
          <w:kern w:val="2"/>
          <w:lang w:eastAsia="en-US"/>
          <w14:ligatures w14:val="standardContextual"/>
        </w:rPr>
        <w:t xml:space="preserve"> Publishers</w:t>
      </w:r>
    </w:p>
    <w:p w14:paraId="509E7FC3" w14:textId="1E942562" w:rsidR="00D06681" w:rsidRPr="005C453D" w:rsidRDefault="00D06681" w:rsidP="00D06681">
      <w:pPr>
        <w:pStyle w:val="NormalWeb"/>
        <w:spacing w:before="240" w:beforeAutospacing="0" w:after="240" w:afterAutospacing="0"/>
        <w:rPr>
          <w:rFonts w:asciiTheme="minorHAnsi" w:hAnsiTheme="minorHAnsi" w:cstheme="minorHAnsi"/>
        </w:rPr>
      </w:pPr>
      <w:proofErr w:type="spellStart"/>
      <w:r w:rsidRPr="005C453D">
        <w:rPr>
          <w:rFonts w:asciiTheme="minorHAnsi" w:hAnsiTheme="minorHAnsi" w:cstheme="minorHAnsi"/>
        </w:rPr>
        <w:t>Yawson</w:t>
      </w:r>
      <w:proofErr w:type="spellEnd"/>
      <w:r w:rsidRPr="005C453D">
        <w:rPr>
          <w:rFonts w:asciiTheme="minorHAnsi" w:hAnsiTheme="minorHAnsi" w:cstheme="minorHAnsi"/>
        </w:rPr>
        <w:t xml:space="preserve">, R.M. and Greiman, B.C. (2014) 'Stakeholder Analysis as a Tool for Systems Approach Research in HRD,' </w:t>
      </w:r>
      <w:r w:rsidRPr="005C453D">
        <w:rPr>
          <w:rFonts w:asciiTheme="minorHAnsi" w:hAnsiTheme="minorHAnsi" w:cstheme="minorHAnsi"/>
          <w:i/>
          <w:iCs/>
        </w:rPr>
        <w:t xml:space="preserve">Munich Personal </w:t>
      </w:r>
      <w:proofErr w:type="spellStart"/>
      <w:r w:rsidRPr="005C453D">
        <w:rPr>
          <w:rFonts w:asciiTheme="minorHAnsi" w:hAnsiTheme="minorHAnsi" w:cstheme="minorHAnsi"/>
          <w:i/>
          <w:iCs/>
        </w:rPr>
        <w:t>RePEc</w:t>
      </w:r>
      <w:proofErr w:type="spellEnd"/>
      <w:r w:rsidRPr="005C453D">
        <w:rPr>
          <w:rFonts w:asciiTheme="minorHAnsi" w:hAnsiTheme="minorHAnsi" w:cstheme="minorHAnsi"/>
          <w:i/>
          <w:iCs/>
        </w:rPr>
        <w:t xml:space="preserve"> Archive</w:t>
      </w:r>
      <w:r w:rsidRPr="005C453D">
        <w:rPr>
          <w:rFonts w:asciiTheme="minorHAnsi" w:hAnsiTheme="minorHAnsi" w:cstheme="minorHAnsi"/>
        </w:rPr>
        <w:t xml:space="preserve"> [Preprint]. </w:t>
      </w:r>
    </w:p>
    <w:p w14:paraId="6B98482F" w14:textId="346AE024" w:rsidR="00D06681" w:rsidRPr="005C453D" w:rsidRDefault="00D06681" w:rsidP="00D06681">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Yeung, A. and Berman, B. (1997) 'Adding value through human resources: Reorienting human resource measurement to drive business performance,' </w:t>
      </w:r>
      <w:r w:rsidRPr="005C453D">
        <w:rPr>
          <w:rFonts w:asciiTheme="minorHAnsi" w:hAnsiTheme="minorHAnsi" w:cstheme="minorHAnsi"/>
          <w:i/>
          <w:iCs/>
        </w:rPr>
        <w:t>Human Resource Management</w:t>
      </w:r>
      <w:r w:rsidRPr="005C453D">
        <w:rPr>
          <w:rFonts w:asciiTheme="minorHAnsi" w:hAnsiTheme="minorHAnsi" w:cstheme="minorHAnsi"/>
        </w:rPr>
        <w:t xml:space="preserve">, 36(3), pp. 321–335. </w:t>
      </w:r>
    </w:p>
    <w:p w14:paraId="4C1625F0" w14:textId="77777777" w:rsidR="00D06681" w:rsidRPr="005C453D" w:rsidRDefault="00D06681" w:rsidP="00D06681">
      <w:pPr>
        <w:spacing w:before="240" w:after="240" w:line="240" w:lineRule="auto"/>
        <w:rPr>
          <w:rFonts w:asciiTheme="minorHAnsi" w:hAnsiTheme="minorHAnsi" w:cstheme="minorHAnsi"/>
          <w:shd w:val="clear" w:color="auto" w:fill="FFFFFF"/>
        </w:rPr>
      </w:pPr>
      <w:proofErr w:type="spellStart"/>
      <w:r w:rsidRPr="005C453D">
        <w:rPr>
          <w:rFonts w:asciiTheme="minorHAnsi" w:hAnsiTheme="minorHAnsi" w:cstheme="minorHAnsi"/>
          <w:shd w:val="clear" w:color="auto" w:fill="FFFFFF"/>
        </w:rPr>
        <w:t>Zafirovski</w:t>
      </w:r>
      <w:proofErr w:type="spellEnd"/>
      <w:r w:rsidRPr="005C453D">
        <w:rPr>
          <w:rFonts w:asciiTheme="minorHAnsi" w:hAnsiTheme="minorHAnsi" w:cstheme="minorHAnsi"/>
          <w:shd w:val="clear" w:color="auto" w:fill="FFFFFF"/>
        </w:rPr>
        <w:t>, M., 2005. Social exchange theory under scrutiny: A positive critique of its economic-</w:t>
      </w:r>
      <w:proofErr w:type="spellStart"/>
      <w:r w:rsidRPr="005C453D">
        <w:rPr>
          <w:rFonts w:asciiTheme="minorHAnsi" w:hAnsiTheme="minorHAnsi" w:cstheme="minorHAnsi"/>
          <w:shd w:val="clear" w:color="auto" w:fill="FFFFFF"/>
        </w:rPr>
        <w:t>behaviorist</w:t>
      </w:r>
      <w:proofErr w:type="spellEnd"/>
      <w:r w:rsidRPr="005C453D">
        <w:rPr>
          <w:rFonts w:asciiTheme="minorHAnsi" w:hAnsiTheme="minorHAnsi" w:cstheme="minorHAnsi"/>
          <w:shd w:val="clear" w:color="auto" w:fill="FFFFFF"/>
        </w:rPr>
        <w:t xml:space="preserve"> formulations. </w:t>
      </w:r>
      <w:r w:rsidRPr="005C453D">
        <w:rPr>
          <w:rFonts w:asciiTheme="minorHAnsi" w:hAnsiTheme="minorHAnsi" w:cstheme="minorHAnsi"/>
          <w:i/>
          <w:iCs/>
          <w:shd w:val="clear" w:color="auto" w:fill="FFFFFF"/>
        </w:rPr>
        <w:t>Electronic journal of sociology</w:t>
      </w:r>
      <w:r w:rsidRPr="005C453D">
        <w:rPr>
          <w:rFonts w:asciiTheme="minorHAnsi" w:hAnsiTheme="minorHAnsi" w:cstheme="minorHAnsi"/>
          <w:shd w:val="clear" w:color="auto" w:fill="FFFFFF"/>
        </w:rPr>
        <w:t>, </w:t>
      </w:r>
      <w:r w:rsidRPr="005C453D">
        <w:rPr>
          <w:rFonts w:asciiTheme="minorHAnsi" w:hAnsiTheme="minorHAnsi" w:cstheme="minorHAnsi"/>
          <w:i/>
          <w:iCs/>
          <w:shd w:val="clear" w:color="auto" w:fill="FFFFFF"/>
        </w:rPr>
        <w:t>2</w:t>
      </w:r>
      <w:r w:rsidRPr="005C453D">
        <w:rPr>
          <w:rFonts w:asciiTheme="minorHAnsi" w:hAnsiTheme="minorHAnsi" w:cstheme="minorHAnsi"/>
          <w:shd w:val="clear" w:color="auto" w:fill="FFFFFF"/>
        </w:rPr>
        <w:t>(2), pp.1-40.</w:t>
      </w:r>
    </w:p>
    <w:p w14:paraId="0632B19D" w14:textId="77777777" w:rsidR="00D06681" w:rsidRPr="005C453D" w:rsidRDefault="00D06681" w:rsidP="00183E6D">
      <w:pPr>
        <w:spacing w:before="240" w:after="240"/>
        <w:rPr>
          <w:rFonts w:asciiTheme="minorHAnsi" w:hAnsiTheme="minorHAnsi" w:cstheme="minorHAnsi"/>
        </w:rPr>
      </w:pPr>
    </w:p>
    <w:p w14:paraId="4448A2E9" w14:textId="77777777" w:rsidR="00D06681" w:rsidRPr="005C453D" w:rsidRDefault="00D06681" w:rsidP="00183E6D">
      <w:pPr>
        <w:spacing w:before="240" w:after="240"/>
        <w:rPr>
          <w:rFonts w:asciiTheme="minorHAnsi" w:hAnsiTheme="minorHAnsi" w:cstheme="minorHAnsi"/>
        </w:rPr>
      </w:pPr>
    </w:p>
    <w:p w14:paraId="2F0197E6" w14:textId="77777777" w:rsidR="00D06681" w:rsidRPr="005C453D" w:rsidRDefault="00D06681" w:rsidP="00183E6D">
      <w:pPr>
        <w:spacing w:before="240" w:after="240"/>
        <w:rPr>
          <w:rFonts w:asciiTheme="minorHAnsi" w:hAnsiTheme="minorHAnsi" w:cstheme="minorHAnsi"/>
        </w:rPr>
      </w:pPr>
    </w:p>
    <w:p w14:paraId="3D49A4AB" w14:textId="77777777" w:rsidR="00D06681" w:rsidRDefault="00D06681" w:rsidP="00183E6D">
      <w:pPr>
        <w:spacing w:before="240" w:after="240"/>
        <w:rPr>
          <w:rFonts w:asciiTheme="minorHAnsi" w:hAnsiTheme="minorHAnsi" w:cstheme="minorHAnsi"/>
        </w:rPr>
      </w:pPr>
    </w:p>
    <w:p w14:paraId="66F2046B" w14:textId="77777777" w:rsidR="004E407D" w:rsidRDefault="004E407D" w:rsidP="00183E6D">
      <w:pPr>
        <w:spacing w:before="240" w:after="240"/>
        <w:rPr>
          <w:rFonts w:asciiTheme="minorHAnsi" w:hAnsiTheme="minorHAnsi" w:cstheme="minorHAnsi"/>
        </w:rPr>
      </w:pPr>
    </w:p>
    <w:p w14:paraId="3C78C6CA" w14:textId="77777777" w:rsidR="004E407D" w:rsidRDefault="004E407D" w:rsidP="00183E6D">
      <w:pPr>
        <w:spacing w:before="240" w:after="240"/>
        <w:rPr>
          <w:rFonts w:asciiTheme="minorHAnsi" w:hAnsiTheme="minorHAnsi" w:cstheme="minorHAnsi"/>
        </w:rPr>
      </w:pPr>
    </w:p>
    <w:p w14:paraId="3CA9346B" w14:textId="77777777" w:rsidR="004E407D" w:rsidRDefault="004E407D" w:rsidP="00183E6D">
      <w:pPr>
        <w:spacing w:before="240" w:after="240"/>
        <w:rPr>
          <w:rFonts w:asciiTheme="minorHAnsi" w:hAnsiTheme="minorHAnsi" w:cstheme="minorHAnsi"/>
        </w:rPr>
      </w:pPr>
    </w:p>
    <w:p w14:paraId="387D5094" w14:textId="77777777" w:rsidR="00072785" w:rsidRDefault="00072785" w:rsidP="00183E6D">
      <w:pPr>
        <w:spacing w:before="240" w:after="240"/>
        <w:rPr>
          <w:rFonts w:asciiTheme="minorHAnsi" w:hAnsiTheme="minorHAnsi" w:cstheme="minorHAnsi"/>
        </w:rPr>
      </w:pPr>
    </w:p>
    <w:p w14:paraId="39A5F81C" w14:textId="77777777" w:rsidR="00072785" w:rsidRDefault="00072785" w:rsidP="00183E6D">
      <w:pPr>
        <w:spacing w:before="240" w:after="240"/>
        <w:rPr>
          <w:rFonts w:asciiTheme="minorHAnsi" w:hAnsiTheme="minorHAnsi" w:cstheme="minorHAnsi"/>
        </w:rPr>
      </w:pPr>
    </w:p>
    <w:p w14:paraId="4954D0F2" w14:textId="77777777" w:rsidR="00072785" w:rsidRDefault="00072785" w:rsidP="00183E6D">
      <w:pPr>
        <w:spacing w:before="240" w:after="240"/>
        <w:rPr>
          <w:rFonts w:asciiTheme="minorHAnsi" w:hAnsiTheme="minorHAnsi" w:cstheme="minorHAnsi"/>
        </w:rPr>
      </w:pPr>
    </w:p>
    <w:p w14:paraId="27E6B1BE" w14:textId="77777777" w:rsidR="00072785" w:rsidRDefault="00072785" w:rsidP="00183E6D">
      <w:pPr>
        <w:spacing w:before="240" w:after="240"/>
        <w:rPr>
          <w:rFonts w:asciiTheme="minorHAnsi" w:hAnsiTheme="minorHAnsi" w:cstheme="minorHAnsi"/>
        </w:rPr>
      </w:pPr>
    </w:p>
    <w:p w14:paraId="00F65F93" w14:textId="77777777" w:rsidR="004E407D" w:rsidRPr="00CC2EC7" w:rsidRDefault="004E407D" w:rsidP="004E407D">
      <w:pPr>
        <w:rPr>
          <w:b/>
          <w:bCs/>
          <w:sz w:val="28"/>
          <w:szCs w:val="28"/>
          <w:u w:val="single"/>
        </w:rPr>
      </w:pPr>
      <w:r w:rsidRPr="00CC2EC7">
        <w:rPr>
          <w:b/>
          <w:bCs/>
          <w:sz w:val="28"/>
          <w:szCs w:val="28"/>
          <w:u w:val="single"/>
        </w:rPr>
        <w:lastRenderedPageBreak/>
        <w:t xml:space="preserve">Task 2 </w:t>
      </w:r>
    </w:p>
    <w:p w14:paraId="06BD4659" w14:textId="77777777" w:rsidR="004E407D" w:rsidRPr="00CC2EC7" w:rsidRDefault="004E407D" w:rsidP="004E407D">
      <w:pPr>
        <w:rPr>
          <w:b/>
          <w:bCs/>
          <w:sz w:val="28"/>
          <w:szCs w:val="28"/>
          <w:u w:val="single"/>
        </w:rPr>
      </w:pPr>
      <w:r w:rsidRPr="00CC2EC7">
        <w:rPr>
          <w:b/>
          <w:bCs/>
          <w:sz w:val="28"/>
          <w:szCs w:val="28"/>
          <w:u w:val="single"/>
        </w:rPr>
        <w:t>Table1 - Equality, Diversity and Inclusion Salary Data</w:t>
      </w:r>
    </w:p>
    <w:p w14:paraId="264083CD" w14:textId="77777777" w:rsidR="004E407D" w:rsidRDefault="004E407D" w:rsidP="004E407D">
      <w:pPr>
        <w:rPr>
          <w:noProof/>
        </w:rPr>
      </w:pPr>
      <w:r>
        <w:rPr>
          <w:noProof/>
        </w:rPr>
        <w:drawing>
          <wp:anchor distT="0" distB="0" distL="114300" distR="114300" simplePos="0" relativeHeight="251660288" behindDoc="1" locked="0" layoutInCell="1" allowOverlap="1" wp14:anchorId="49897A1C" wp14:editId="3A1E53E5">
            <wp:simplePos x="0" y="0"/>
            <wp:positionH relativeFrom="page">
              <wp:posOffset>904875</wp:posOffset>
            </wp:positionH>
            <wp:positionV relativeFrom="paragraph">
              <wp:posOffset>1783715</wp:posOffset>
            </wp:positionV>
            <wp:extent cx="2638425" cy="1876425"/>
            <wp:effectExtent l="0" t="0" r="9525" b="9525"/>
            <wp:wrapTight wrapText="bothSides">
              <wp:wrapPolygon edited="0">
                <wp:start x="0" y="0"/>
                <wp:lineTo x="0" y="21490"/>
                <wp:lineTo x="21522" y="21490"/>
                <wp:lineTo x="21522" y="0"/>
                <wp:lineTo x="0" y="0"/>
              </wp:wrapPolygon>
            </wp:wrapTight>
            <wp:docPr id="795736481" name="Chart 1">
              <a:extLst xmlns:a="http://schemas.openxmlformats.org/drawingml/2006/main">
                <a:ext uri="{FF2B5EF4-FFF2-40B4-BE49-F238E27FC236}">
                  <a16:creationId xmlns:a16="http://schemas.microsoft.com/office/drawing/2014/main" id="{09EAA064-92BC-40E4-AD23-FD2D766893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38855C39" wp14:editId="6F2FBCFD">
            <wp:simplePos x="0" y="0"/>
            <wp:positionH relativeFrom="margin">
              <wp:align>right</wp:align>
            </wp:positionH>
            <wp:positionV relativeFrom="paragraph">
              <wp:posOffset>1774190</wp:posOffset>
            </wp:positionV>
            <wp:extent cx="2933700" cy="1905000"/>
            <wp:effectExtent l="0" t="0" r="0" b="0"/>
            <wp:wrapTight wrapText="bothSides">
              <wp:wrapPolygon edited="0">
                <wp:start x="0" y="0"/>
                <wp:lineTo x="0" y="21384"/>
                <wp:lineTo x="21460" y="21384"/>
                <wp:lineTo x="21460" y="0"/>
                <wp:lineTo x="0" y="0"/>
              </wp:wrapPolygon>
            </wp:wrapTight>
            <wp:docPr id="1335910991" name="Chart 1">
              <a:extLst xmlns:a="http://schemas.openxmlformats.org/drawingml/2006/main">
                <a:ext uri="{FF2B5EF4-FFF2-40B4-BE49-F238E27FC236}">
                  <a16:creationId xmlns:a16="http://schemas.microsoft.com/office/drawing/2014/main" id="{1DCFDCEE-4F3A-44B5-A472-A41B39DC2A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15721E4A" wp14:editId="5600B168">
                <wp:simplePos x="0" y="0"/>
                <wp:positionH relativeFrom="margin">
                  <wp:posOffset>5162550</wp:posOffset>
                </wp:positionH>
                <wp:positionV relativeFrom="paragraph">
                  <wp:posOffset>2726690</wp:posOffset>
                </wp:positionV>
                <wp:extent cx="457200" cy="257175"/>
                <wp:effectExtent l="0" t="0" r="19050" b="28575"/>
                <wp:wrapNone/>
                <wp:docPr id="445963396" name="Text Box 2"/>
                <wp:cNvGraphicFramePr/>
                <a:graphic xmlns:a="http://schemas.openxmlformats.org/drawingml/2006/main">
                  <a:graphicData uri="http://schemas.microsoft.com/office/word/2010/wordprocessingShape">
                    <wps:wsp>
                      <wps:cNvSpPr txBox="1"/>
                      <wps:spPr>
                        <a:xfrm>
                          <a:off x="0" y="0"/>
                          <a:ext cx="457200" cy="257175"/>
                        </a:xfrm>
                        <a:prstGeom prst="rect">
                          <a:avLst/>
                        </a:prstGeom>
                        <a:solidFill>
                          <a:schemeClr val="lt1"/>
                        </a:solidFill>
                        <a:ln w="6350">
                          <a:solidFill>
                            <a:prstClr val="black"/>
                          </a:solidFill>
                        </a:ln>
                      </wps:spPr>
                      <wps:txbx>
                        <w:txbxContent>
                          <w:p w14:paraId="441E82AA" w14:textId="77777777" w:rsidR="004E407D" w:rsidRPr="00146422" w:rsidRDefault="004E407D" w:rsidP="004E407D">
                            <w:pPr>
                              <w:rPr>
                                <w:b/>
                                <w:bCs/>
                              </w:rPr>
                            </w:pPr>
                            <w:r>
                              <w:rPr>
                                <w:b/>
                                <w:bCs/>
                                <w:sz w:val="20"/>
                                <w:szCs w:val="20"/>
                              </w:rPr>
                              <w:t>0.5%</w:t>
                            </w:r>
                            <w:r w:rsidRPr="00146422">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5721E4A" id="_x0000_t202" coordsize="21600,21600" o:spt="202" path="m,l,21600r21600,l21600,xe">
                <v:stroke joinstyle="miter"/>
                <v:path gradientshapeok="t" o:connecttype="rect"/>
              </v:shapetype>
              <v:shape id="Text Box 2" o:spid="_x0000_s1026" type="#_x0000_t202" style="position:absolute;margin-left:406.5pt;margin-top:214.7pt;width:36pt;height:20.2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" fillcolor="white [3201]" strokeweight=".5pt">
                <v:textbox>
                  <w:txbxContent>
                    <w:p w14:paraId="441E82AA" w14:textId="77777777" w:rsidR="004E407D" w:rsidRPr="00146422" w:rsidRDefault="004E407D" w:rsidP="004E407D">
                      <w:pPr>
                        <w:rPr>
                          <w:b/>
                          <w:bCs/>
                        </w:rPr>
                      </w:pPr>
                      <w:r>
                        <w:rPr>
                          <w:b/>
                          <w:bCs/>
                          <w:sz w:val="20"/>
                          <w:szCs w:val="20"/>
                        </w:rPr>
                        <w:t>0.5%</w:t>
                      </w:r>
                      <w:r w:rsidRPr="00146422">
                        <w:rPr>
                          <w:b/>
                          <w:bCs/>
                        </w:rPr>
                        <w:t>%%</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73A2C948" wp14:editId="4710BB94">
                <wp:simplePos x="0" y="0"/>
                <wp:positionH relativeFrom="column">
                  <wp:posOffset>4381500</wp:posOffset>
                </wp:positionH>
                <wp:positionV relativeFrom="paragraph">
                  <wp:posOffset>2726690</wp:posOffset>
                </wp:positionV>
                <wp:extent cx="428625" cy="257175"/>
                <wp:effectExtent l="0" t="0" r="28575" b="28575"/>
                <wp:wrapNone/>
                <wp:docPr id="1130653787" name="Text Box 2"/>
                <wp:cNvGraphicFramePr/>
                <a:graphic xmlns:a="http://schemas.openxmlformats.org/drawingml/2006/main">
                  <a:graphicData uri="http://schemas.microsoft.com/office/word/2010/wordprocessingShape">
                    <wps:wsp>
                      <wps:cNvSpPr txBox="1"/>
                      <wps:spPr>
                        <a:xfrm>
                          <a:off x="0" y="0"/>
                          <a:ext cx="428625" cy="257175"/>
                        </a:xfrm>
                        <a:prstGeom prst="rect">
                          <a:avLst/>
                        </a:prstGeom>
                        <a:solidFill>
                          <a:schemeClr val="lt1"/>
                        </a:solidFill>
                        <a:ln w="6350">
                          <a:solidFill>
                            <a:prstClr val="black"/>
                          </a:solidFill>
                        </a:ln>
                      </wps:spPr>
                      <wps:txbx>
                        <w:txbxContent>
                          <w:p w14:paraId="258FB7F1" w14:textId="77777777" w:rsidR="004E407D" w:rsidRPr="00146422" w:rsidRDefault="004E407D" w:rsidP="004E407D">
                            <w:pPr>
                              <w:rPr>
                                <w:b/>
                                <w:bCs/>
                              </w:rPr>
                            </w:pPr>
                            <w:r>
                              <w:rPr>
                                <w:b/>
                                <w:bCs/>
                                <w:sz w:val="20"/>
                                <w:szCs w:val="20"/>
                              </w:rPr>
                              <w:t>54</w:t>
                            </w:r>
                            <w:r w:rsidRPr="00146422">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A2C948" id="_x0000_s1027" type="#_x0000_t202" style="position:absolute;margin-left:345pt;margin-top:214.7pt;width:33.75pt;height:20.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" fillcolor="white [3201]" strokeweight=".5pt">
                <v:textbox>
                  <w:txbxContent>
                    <w:p w14:paraId="258FB7F1" w14:textId="77777777" w:rsidR="004E407D" w:rsidRPr="00146422" w:rsidRDefault="004E407D" w:rsidP="004E407D">
                      <w:pPr>
                        <w:rPr>
                          <w:b/>
                          <w:bCs/>
                        </w:rPr>
                      </w:pPr>
                      <w:r>
                        <w:rPr>
                          <w:b/>
                          <w:bCs/>
                          <w:sz w:val="20"/>
                          <w:szCs w:val="20"/>
                        </w:rPr>
                        <w:t>54</w:t>
                      </w:r>
                      <w:r w:rsidRPr="00146422">
                        <w:rPr>
                          <w:b/>
                          <w:bCs/>
                        </w:rPr>
                        <w:t>%%</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7F8F04F" wp14:editId="5427F4D8">
                <wp:simplePos x="0" y="0"/>
                <wp:positionH relativeFrom="column">
                  <wp:posOffset>3647440</wp:posOffset>
                </wp:positionH>
                <wp:positionV relativeFrom="paragraph">
                  <wp:posOffset>2717165</wp:posOffset>
                </wp:positionV>
                <wp:extent cx="428625" cy="257175"/>
                <wp:effectExtent l="0" t="0" r="28575" b="28575"/>
                <wp:wrapNone/>
                <wp:docPr id="1294120854" name="Text Box 2"/>
                <wp:cNvGraphicFramePr/>
                <a:graphic xmlns:a="http://schemas.openxmlformats.org/drawingml/2006/main">
                  <a:graphicData uri="http://schemas.microsoft.com/office/word/2010/wordprocessingShape">
                    <wps:wsp>
                      <wps:cNvSpPr txBox="1"/>
                      <wps:spPr>
                        <a:xfrm>
                          <a:off x="0" y="0"/>
                          <a:ext cx="428625" cy="257175"/>
                        </a:xfrm>
                        <a:prstGeom prst="rect">
                          <a:avLst/>
                        </a:prstGeom>
                        <a:solidFill>
                          <a:schemeClr val="lt1"/>
                        </a:solidFill>
                        <a:ln w="6350">
                          <a:solidFill>
                            <a:prstClr val="black"/>
                          </a:solidFill>
                        </a:ln>
                      </wps:spPr>
                      <wps:txbx>
                        <w:txbxContent>
                          <w:p w14:paraId="5D84C5E9" w14:textId="77777777" w:rsidR="004E407D" w:rsidRPr="00146422" w:rsidRDefault="004E407D" w:rsidP="004E407D">
                            <w:pPr>
                              <w:rPr>
                                <w:b/>
                                <w:bCs/>
                              </w:rPr>
                            </w:pPr>
                            <w:r w:rsidRPr="00146422">
                              <w:rPr>
                                <w:b/>
                                <w:bCs/>
                                <w:sz w:val="20"/>
                                <w:szCs w:val="20"/>
                              </w:rPr>
                              <w:t>45</w:t>
                            </w:r>
                            <w:r w:rsidRPr="00146422">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F8F04F" id="_x0000_s1028" type="#_x0000_t202" style="position:absolute;margin-left:287.2pt;margin-top:213.95pt;width:33.75pt;height:20.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" fillcolor="white [3201]" strokeweight=".5pt">
                <v:textbox>
                  <w:txbxContent>
                    <w:p w14:paraId="5D84C5E9" w14:textId="77777777" w:rsidR="004E407D" w:rsidRPr="00146422" w:rsidRDefault="004E407D" w:rsidP="004E407D">
                      <w:pPr>
                        <w:rPr>
                          <w:b/>
                          <w:bCs/>
                        </w:rPr>
                      </w:pPr>
                      <w:r w:rsidRPr="00146422">
                        <w:rPr>
                          <w:b/>
                          <w:bCs/>
                          <w:sz w:val="20"/>
                          <w:szCs w:val="20"/>
                        </w:rPr>
                        <w:t>45</w:t>
                      </w:r>
                      <w:r w:rsidRPr="00146422">
                        <w:rPr>
                          <w:b/>
                          <w:bCs/>
                        </w:rPr>
                        <w:t>%%</w:t>
                      </w:r>
                    </w:p>
                  </w:txbxContent>
                </v:textbox>
              </v:shape>
            </w:pict>
          </mc:Fallback>
        </mc:AlternateContent>
      </w:r>
      <w:r w:rsidRPr="00F9610F">
        <w:t xml:space="preserve"> </w:t>
      </w:r>
      <w:r w:rsidRPr="000970F3">
        <w:rPr>
          <w:noProof/>
        </w:rPr>
        <w:t xml:space="preserve">Qualitative and quantitative data are two different types of data. Generally, quantitative data is based on numbers that could be analysed using specialised data analytical programmes. This data will give an idea of what is happening in organisations. Whereas, qualitative data are based on words and meanings, which usually require trained professionals to analyse it (Taylor and Woodhams, 2022). This </w:t>
      </w:r>
      <w:r>
        <w:rPr>
          <w:noProof/>
        </w:rPr>
        <w:t>helps identify the reasons for</w:t>
      </w:r>
      <w:r w:rsidRPr="000970F3">
        <w:rPr>
          <w:noProof/>
        </w:rPr>
        <w:t xml:space="preserve"> why the issues are happening. These two types of data could complement each other.</w:t>
      </w:r>
    </w:p>
    <w:p w14:paraId="140D08AF" w14:textId="77777777" w:rsidR="004E407D" w:rsidRDefault="004E407D" w:rsidP="004E407D">
      <w:r>
        <w:t>Overall, in terms of the gender distribution of the employees, 54% are males, 45% are females, and 1% are non-binary. A significant amount of research has noted that individuals who identify themselves as LGBTQ or non-binary find it hard to secure employment compared to cisgender individuals (Baker and Lucas, 2017).</w:t>
      </w:r>
    </w:p>
    <w:p w14:paraId="5312DC0E" w14:textId="77777777" w:rsidR="004E407D" w:rsidRPr="009C558C" w:rsidRDefault="004E407D" w:rsidP="004E407D">
      <w:pPr>
        <w:rPr>
          <w:b/>
          <w:bCs/>
          <w:u w:val="single"/>
        </w:rPr>
      </w:pPr>
      <w:r>
        <w:rPr>
          <w:noProof/>
        </w:rPr>
        <w:drawing>
          <wp:anchor distT="0" distB="0" distL="114300" distR="114300" simplePos="0" relativeHeight="251661312" behindDoc="1" locked="0" layoutInCell="1" allowOverlap="1" wp14:anchorId="1BE8DCC3" wp14:editId="4F69D398">
            <wp:simplePos x="0" y="0"/>
            <wp:positionH relativeFrom="column">
              <wp:posOffset>-447675</wp:posOffset>
            </wp:positionH>
            <wp:positionV relativeFrom="paragraph">
              <wp:posOffset>432435</wp:posOffset>
            </wp:positionV>
            <wp:extent cx="3076575" cy="2743200"/>
            <wp:effectExtent l="0" t="0" r="9525" b="0"/>
            <wp:wrapTight wrapText="bothSides">
              <wp:wrapPolygon edited="0">
                <wp:start x="0" y="0"/>
                <wp:lineTo x="0" y="21450"/>
                <wp:lineTo x="21533" y="21450"/>
                <wp:lineTo x="21533" y="0"/>
                <wp:lineTo x="0" y="0"/>
              </wp:wrapPolygon>
            </wp:wrapTight>
            <wp:docPr id="1156008242" name="Chart 1">
              <a:extLst xmlns:a="http://schemas.openxmlformats.org/drawingml/2006/main">
                <a:ext uri="{FF2B5EF4-FFF2-40B4-BE49-F238E27FC236}">
                  <a16:creationId xmlns:a16="http://schemas.microsoft.com/office/drawing/2014/main" id="{AE6040CA-7FFA-4067-A60A-0DD297429C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anchor>
        </w:drawing>
      </w:r>
      <w:r>
        <w:rPr>
          <w:noProof/>
        </w:rPr>
        <w:drawing>
          <wp:anchor distT="0" distB="0" distL="114300" distR="114300" simplePos="0" relativeHeight="251668480" behindDoc="1" locked="0" layoutInCell="1" allowOverlap="1" wp14:anchorId="29E7553F" wp14:editId="2ABE225D">
            <wp:simplePos x="0" y="0"/>
            <wp:positionH relativeFrom="column">
              <wp:posOffset>2695575</wp:posOffset>
            </wp:positionH>
            <wp:positionV relativeFrom="paragraph">
              <wp:posOffset>440055</wp:posOffset>
            </wp:positionV>
            <wp:extent cx="3571875" cy="2714625"/>
            <wp:effectExtent l="0" t="0" r="9525" b="9525"/>
            <wp:wrapTight wrapText="bothSides">
              <wp:wrapPolygon edited="0">
                <wp:start x="0" y="0"/>
                <wp:lineTo x="0" y="21524"/>
                <wp:lineTo x="21542" y="21524"/>
                <wp:lineTo x="21542" y="0"/>
                <wp:lineTo x="0" y="0"/>
              </wp:wrapPolygon>
            </wp:wrapTight>
            <wp:docPr id="762979839" name="Chart 1">
              <a:extLst xmlns:a="http://schemas.openxmlformats.org/drawingml/2006/main">
                <a:ext uri="{FF2B5EF4-FFF2-40B4-BE49-F238E27FC236}">
                  <a16:creationId xmlns:a16="http://schemas.microsoft.com/office/drawing/2014/main" id="{2BF50DCA-6B08-4BFC-B498-40DDDAB4F6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V relativeFrom="margin">
              <wp14:pctHeight>0</wp14:pctHeight>
            </wp14:sizeRelV>
          </wp:anchor>
        </w:drawing>
      </w:r>
      <w:r w:rsidRPr="009C558C">
        <w:rPr>
          <w:b/>
          <w:bCs/>
          <w:u w:val="single"/>
        </w:rPr>
        <w:t>Gender type and Salary Distribution by Gender</w:t>
      </w:r>
    </w:p>
    <w:p w14:paraId="1590E94E" w14:textId="77777777" w:rsidR="004E407D" w:rsidRDefault="004E407D" w:rsidP="004E407D">
      <w:r>
        <w:lastRenderedPageBreak/>
        <w:t>The average salary of a worker is £31,757. The average salary for male employees is slightly lower than that for female employees, whereas the average salary of a non-binary employee is significantly lower than other gender types in the organisation. There are 8.5% more male employees than female employees, and only 1% of the employees are noted as non-binary. This disparity is evident in the overall salary distribution within the organization: 54% of the salary is allocated to males, 45% to females, and only 0.5% to non-binary employees. This highlights the presence of a gender pay gap.</w:t>
      </w:r>
    </w:p>
    <w:p w14:paraId="735319D1" w14:textId="77777777" w:rsidR="004E407D" w:rsidRDefault="004E407D" w:rsidP="004E407D">
      <w:r>
        <w:t>The gender pay gap is complex and multi-faceted, influenced by a multitude of factors such as part-time working, caring responsibilities, discrimination, and occupational segregation (CIPD, 2022). Based on the provided data, some job roles are predominantly occupied by either males or females. For example, Trade operative roles are exclusively held by males.</w:t>
      </w:r>
    </w:p>
    <w:p w14:paraId="561267E0" w14:textId="77777777" w:rsidR="004E407D" w:rsidRPr="00A578E8" w:rsidRDefault="004E407D" w:rsidP="004E407D">
      <w:pPr>
        <w:rPr>
          <w:b/>
          <w:bCs/>
          <w:u w:val="single"/>
        </w:rPr>
      </w:pPr>
      <w:r w:rsidRPr="00A578E8">
        <w:rPr>
          <w:b/>
          <w:bCs/>
          <w:noProof/>
          <w:u w:val="single"/>
        </w:rPr>
        <w:drawing>
          <wp:anchor distT="0" distB="0" distL="114300" distR="114300" simplePos="0" relativeHeight="251669504" behindDoc="1" locked="0" layoutInCell="1" allowOverlap="1" wp14:anchorId="5B390068" wp14:editId="34D17F95">
            <wp:simplePos x="0" y="0"/>
            <wp:positionH relativeFrom="margin">
              <wp:align>center</wp:align>
            </wp:positionH>
            <wp:positionV relativeFrom="paragraph">
              <wp:posOffset>316865</wp:posOffset>
            </wp:positionV>
            <wp:extent cx="6867525" cy="2286000"/>
            <wp:effectExtent l="0" t="0" r="9525" b="0"/>
            <wp:wrapTight wrapText="bothSides">
              <wp:wrapPolygon edited="0">
                <wp:start x="0" y="0"/>
                <wp:lineTo x="0" y="21420"/>
                <wp:lineTo x="21570" y="21420"/>
                <wp:lineTo x="21570" y="0"/>
                <wp:lineTo x="0" y="0"/>
              </wp:wrapPolygon>
            </wp:wrapTight>
            <wp:docPr id="420366613" name="Chart 1">
              <a:extLst xmlns:a="http://schemas.openxmlformats.org/drawingml/2006/main">
                <a:ext uri="{FF2B5EF4-FFF2-40B4-BE49-F238E27FC236}">
                  <a16:creationId xmlns:a16="http://schemas.microsoft.com/office/drawing/2014/main" id="{C06B9194-470C-4360-9347-C6D327221D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Pr="00A578E8">
        <w:rPr>
          <w:b/>
          <w:bCs/>
          <w:u w:val="single"/>
        </w:rPr>
        <w:t>Ethnic Distribution of employees at organisational and work-team levels</w:t>
      </w:r>
    </w:p>
    <w:p w14:paraId="1B27ED72" w14:textId="77777777" w:rsidR="004E407D" w:rsidRDefault="004E407D" w:rsidP="004E407D">
      <w:r w:rsidRPr="00A578E8">
        <w:rPr>
          <w:b/>
          <w:bCs/>
          <w:noProof/>
          <w:u w:val="single"/>
        </w:rPr>
        <w:drawing>
          <wp:anchor distT="0" distB="0" distL="114300" distR="114300" simplePos="0" relativeHeight="251665408" behindDoc="1" locked="0" layoutInCell="1" allowOverlap="1" wp14:anchorId="64183CE3" wp14:editId="10E4AE6E">
            <wp:simplePos x="0" y="0"/>
            <wp:positionH relativeFrom="margin">
              <wp:align>left</wp:align>
            </wp:positionH>
            <wp:positionV relativeFrom="paragraph">
              <wp:posOffset>2490470</wp:posOffset>
            </wp:positionV>
            <wp:extent cx="3590925" cy="1343025"/>
            <wp:effectExtent l="0" t="0" r="9525" b="9525"/>
            <wp:wrapTight wrapText="bothSides">
              <wp:wrapPolygon edited="0">
                <wp:start x="0" y="0"/>
                <wp:lineTo x="0" y="21447"/>
                <wp:lineTo x="21543" y="21447"/>
                <wp:lineTo x="21543" y="0"/>
                <wp:lineTo x="0" y="0"/>
              </wp:wrapPolygon>
            </wp:wrapTight>
            <wp:docPr id="2118272651" name="Chart 1">
              <a:extLst xmlns:a="http://schemas.openxmlformats.org/drawingml/2006/main">
                <a:ext uri="{FF2B5EF4-FFF2-40B4-BE49-F238E27FC236}">
                  <a16:creationId xmlns:a16="http://schemas.microsoft.com/office/drawing/2014/main" id="{F2B822DB-9721-4942-E409-1F3851DACA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65CCE58F" w14:textId="77777777" w:rsidR="004E407D" w:rsidRDefault="004E407D" w:rsidP="004E407D"/>
    <w:p w14:paraId="008F932B" w14:textId="77777777" w:rsidR="004E407D" w:rsidRDefault="004E407D" w:rsidP="004E407D"/>
    <w:p w14:paraId="1F0D8189" w14:textId="77777777" w:rsidR="004E407D" w:rsidRDefault="004E407D" w:rsidP="004E407D"/>
    <w:p w14:paraId="642F1EFD" w14:textId="77777777" w:rsidR="004E407D" w:rsidRDefault="004E407D" w:rsidP="004E407D"/>
    <w:p w14:paraId="7EC4BA6B" w14:textId="77777777" w:rsidR="004E407D" w:rsidRDefault="004E407D" w:rsidP="004E407D">
      <w:r w:rsidRPr="003E399E">
        <w:t>Overall, 94% of the employees belong to a White ethnic group, only 6% are from non-White ethnic groups. Consequently, majority of employees across all work teams come from a White ethnic background. In some teams, there is a complete lack of ethnic diversity, with 100% of the employees are from a White ethnic background.</w:t>
      </w:r>
    </w:p>
    <w:p w14:paraId="5C308F9C" w14:textId="77777777" w:rsidR="004E407D" w:rsidRDefault="004E407D" w:rsidP="004E407D">
      <w:pPr>
        <w:rPr>
          <w:b/>
          <w:bCs/>
          <w:u w:val="single"/>
        </w:rPr>
      </w:pPr>
      <w:r>
        <w:rPr>
          <w:noProof/>
        </w:rPr>
        <w:lastRenderedPageBreak/>
        <w:drawing>
          <wp:anchor distT="0" distB="0" distL="114300" distR="114300" simplePos="0" relativeHeight="251667456" behindDoc="1" locked="0" layoutInCell="1" allowOverlap="1" wp14:anchorId="30045CE5" wp14:editId="326C9A1B">
            <wp:simplePos x="0" y="0"/>
            <wp:positionH relativeFrom="column">
              <wp:posOffset>2009775</wp:posOffset>
            </wp:positionH>
            <wp:positionV relativeFrom="paragraph">
              <wp:posOffset>444500</wp:posOffset>
            </wp:positionV>
            <wp:extent cx="4438650" cy="2562225"/>
            <wp:effectExtent l="0" t="0" r="0" b="9525"/>
            <wp:wrapTight wrapText="bothSides">
              <wp:wrapPolygon edited="0">
                <wp:start x="0" y="0"/>
                <wp:lineTo x="0" y="21520"/>
                <wp:lineTo x="21507" y="21520"/>
                <wp:lineTo x="21507" y="0"/>
                <wp:lineTo x="0" y="0"/>
              </wp:wrapPolygon>
            </wp:wrapTight>
            <wp:docPr id="745711677" name="Chart 1">
              <a:extLst xmlns:a="http://schemas.openxmlformats.org/drawingml/2006/main">
                <a:ext uri="{FF2B5EF4-FFF2-40B4-BE49-F238E27FC236}">
                  <a16:creationId xmlns:a16="http://schemas.microsoft.com/office/drawing/2014/main" id="{98D73B6F-96CA-465C-9245-5E6310B2A3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0B60BA47" wp14:editId="18D6FFAD">
            <wp:simplePos x="0" y="0"/>
            <wp:positionH relativeFrom="column">
              <wp:posOffset>-628650</wp:posOffset>
            </wp:positionH>
            <wp:positionV relativeFrom="paragraph">
              <wp:posOffset>438150</wp:posOffset>
            </wp:positionV>
            <wp:extent cx="2543175" cy="2581275"/>
            <wp:effectExtent l="0" t="0" r="9525" b="9525"/>
            <wp:wrapTight wrapText="bothSides">
              <wp:wrapPolygon edited="0">
                <wp:start x="0" y="0"/>
                <wp:lineTo x="0" y="21520"/>
                <wp:lineTo x="21519" y="21520"/>
                <wp:lineTo x="21519" y="0"/>
                <wp:lineTo x="0" y="0"/>
              </wp:wrapPolygon>
            </wp:wrapTight>
            <wp:docPr id="1205620264" name="Chart 1">
              <a:extLst xmlns:a="http://schemas.openxmlformats.org/drawingml/2006/main">
                <a:ext uri="{FF2B5EF4-FFF2-40B4-BE49-F238E27FC236}">
                  <a16:creationId xmlns:a16="http://schemas.microsoft.com/office/drawing/2014/main" id="{AFCA0481-6861-46A8-92C5-D9BE79E74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Pr>
          <w:b/>
          <w:bCs/>
          <w:u w:val="single"/>
        </w:rPr>
        <w:t>Disability status of employees at organisational and work-team levels</w:t>
      </w:r>
    </w:p>
    <w:p w14:paraId="4E022D83" w14:textId="77777777" w:rsidR="004E407D" w:rsidRDefault="004E407D" w:rsidP="004E407D">
      <w:pPr>
        <w:rPr>
          <w:b/>
          <w:bCs/>
          <w:u w:val="single"/>
        </w:rPr>
      </w:pPr>
      <w:r w:rsidRPr="003A2F17">
        <w:t xml:space="preserve">Overall, nearly 92% of the employees were noted as not disabled, while 8% of the employees were noted to have some form of disability. Some work teams, </w:t>
      </w:r>
      <w:r>
        <w:t>particular</w:t>
      </w:r>
      <w:r w:rsidRPr="003A2F17">
        <w:t>ly Director</w:t>
      </w:r>
      <w:r>
        <w:t xml:space="preserve"> staff group</w:t>
      </w:r>
      <w:r w:rsidRPr="003A2F17">
        <w:t>, d</w:t>
      </w:r>
      <w:r>
        <w:t>idn’</w:t>
      </w:r>
      <w:r w:rsidRPr="003A2F17">
        <w:t>t have any disabled employees.</w:t>
      </w:r>
    </w:p>
    <w:p w14:paraId="4498CC43" w14:textId="77777777" w:rsidR="004E407D" w:rsidRDefault="004E407D" w:rsidP="004E407D">
      <w:pPr>
        <w:rPr>
          <w:b/>
          <w:bCs/>
          <w:u w:val="single"/>
        </w:rPr>
      </w:pPr>
      <w:r>
        <w:rPr>
          <w:b/>
          <w:bCs/>
          <w:u w:val="single"/>
        </w:rPr>
        <w:t>Recommendations</w:t>
      </w:r>
    </w:p>
    <w:p w14:paraId="34E0FFBB" w14:textId="77777777" w:rsidR="004E407D" w:rsidRDefault="004E407D" w:rsidP="004E407D">
      <w:pPr>
        <w:rPr>
          <w:b/>
          <w:bCs/>
          <w:u w:val="single"/>
        </w:rPr>
      </w:pPr>
      <w:r>
        <w:rPr>
          <w:b/>
          <w:bCs/>
          <w:u w:val="single"/>
        </w:rPr>
        <w:t>Increase workforce diversity.</w:t>
      </w:r>
    </w:p>
    <w:p w14:paraId="36BF7729" w14:textId="77777777" w:rsidR="004E407D" w:rsidRDefault="004E407D" w:rsidP="004E407D">
      <w:r>
        <w:t xml:space="preserve">The data highlights workforce diversity issues. The organisation needs to accommodate a more diverse workforce. Workforce diversity is considered as an integral part of the organisation’s development, innovation, and success (Chaudhry, </w:t>
      </w:r>
      <w:proofErr w:type="spellStart"/>
      <w:r>
        <w:t>Paquibut</w:t>
      </w:r>
      <w:proofErr w:type="spellEnd"/>
      <w:r>
        <w:t xml:space="preserve">, and </w:t>
      </w:r>
      <w:proofErr w:type="spellStart"/>
      <w:r>
        <w:t>Tunio</w:t>
      </w:r>
      <w:proofErr w:type="spellEnd"/>
      <w:r>
        <w:t>, 2021). As a starting point, the organisation starts to review its policies to address and accommodate relevant changes; this would be a short to medium term goal. Research indicates good employment practices attract people to organisations and enhance employee dedication (CIPD, 2022). To attract employees from diverse groups, the organisation should identify strategies like focusing on platforms where diverse candidates congregate, also could offer internships for underrepresented groups, which would be a medium-term goal.</w:t>
      </w:r>
    </w:p>
    <w:p w14:paraId="6A4B2BA5" w14:textId="77777777" w:rsidR="004E407D" w:rsidRDefault="004E407D" w:rsidP="004E407D">
      <w:r>
        <w:t xml:space="preserve">Additionally, developing an employer brand showcasing diversity and promoting a disability-friendly organisation is beneficial. Research indicates hiring disabled employees boosts company image, employee loyalty, a diverse customer base, and provides a competitive advantage (Lindsay et al., 2018). The organisation also benefits from building a diverse </w:t>
      </w:r>
      <w:r>
        <w:lastRenderedPageBreak/>
        <w:t>leadership team. Organisations lacking diversity in leadership send a subtle but powerful message that certain individuals go nowhere in terms of career progression (CIPD, 2019).</w:t>
      </w:r>
    </w:p>
    <w:p w14:paraId="60D64B48" w14:textId="77777777" w:rsidR="004E407D" w:rsidRDefault="004E407D" w:rsidP="004E407D">
      <w:pPr>
        <w:rPr>
          <w:b/>
          <w:bCs/>
          <w:u w:val="single"/>
        </w:rPr>
      </w:pPr>
    </w:p>
    <w:p w14:paraId="1812EA0B" w14:textId="77777777" w:rsidR="004E407D" w:rsidRDefault="004E407D" w:rsidP="004E407D">
      <w:pPr>
        <w:spacing w:before="120" w:after="120"/>
        <w:rPr>
          <w:b/>
          <w:bCs/>
          <w:sz w:val="28"/>
          <w:szCs w:val="28"/>
          <w:u w:val="single"/>
        </w:rPr>
      </w:pPr>
      <w:r>
        <w:rPr>
          <w:b/>
          <w:bCs/>
          <w:sz w:val="28"/>
          <w:szCs w:val="28"/>
          <w:u w:val="single"/>
        </w:rPr>
        <w:t>Table 2-</w:t>
      </w:r>
      <w:r w:rsidRPr="0039287F">
        <w:rPr>
          <w:b/>
          <w:bCs/>
          <w:sz w:val="28"/>
          <w:szCs w:val="28"/>
          <w:u w:val="single"/>
        </w:rPr>
        <w:t>Feedback on hybrid working practices.</w:t>
      </w:r>
    </w:p>
    <w:p w14:paraId="28A95627" w14:textId="77777777" w:rsidR="004E407D" w:rsidRPr="00932FF0" w:rsidRDefault="004E407D" w:rsidP="004E407D">
      <w:pPr>
        <w:spacing w:before="120" w:after="120"/>
        <w:rPr>
          <w:sz w:val="28"/>
          <w:szCs w:val="28"/>
          <w:u w:val="single"/>
        </w:rPr>
      </w:pPr>
      <w:r>
        <w:rPr>
          <w:noProof/>
        </w:rPr>
        <w:drawing>
          <wp:inline distT="0" distB="0" distL="0" distR="0" wp14:anchorId="0B1B4713" wp14:editId="3082525C">
            <wp:extent cx="4572000" cy="5772150"/>
            <wp:effectExtent l="0" t="0" r="0" b="0"/>
            <wp:docPr id="839986841" name="Chart 1">
              <a:extLst xmlns:a="http://schemas.openxmlformats.org/drawingml/2006/main">
                <a:ext uri="{FF2B5EF4-FFF2-40B4-BE49-F238E27FC236}">
                  <a16:creationId xmlns:a16="http://schemas.microsoft.com/office/drawing/2014/main" id="{FD350C6D-7CFC-C35A-2D1C-1CF5D18B9B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35AEBD1" w14:textId="77777777" w:rsidR="004E407D" w:rsidRDefault="004E407D" w:rsidP="004E407D">
      <w:pPr>
        <w:spacing w:before="120" w:after="120"/>
      </w:pPr>
      <w:r>
        <w:t>Overall, 56 per cent of the 300 employees noted they enjoy homeworking on some days, while 37% disagreed. Despite 82% acknowledging that hybrid working supports work-life balance, 80% feel unsupported in working from home. Moreover, 64% find separating work and personal lives challenging during homeworking.</w:t>
      </w:r>
    </w:p>
    <w:p w14:paraId="521555A4" w14:textId="77777777" w:rsidR="004E407D" w:rsidRDefault="004E407D" w:rsidP="004E407D">
      <w:pPr>
        <w:spacing w:before="120" w:after="120"/>
      </w:pPr>
      <w:r>
        <w:lastRenderedPageBreak/>
        <w:t>Additionally, 49% express difficulty accessing resources with hybrid work, and the same percentage disagrees that it is more productive. Equally, 66% disagree that homeworking allows them to meet their targets, and 24% noted that remote working is a challenge.</w:t>
      </w:r>
      <w:r w:rsidRPr="009E12BA">
        <w:t xml:space="preserve"> </w:t>
      </w:r>
    </w:p>
    <w:p w14:paraId="17834E92" w14:textId="77777777" w:rsidR="004E407D" w:rsidRDefault="004E407D" w:rsidP="004E407D">
      <w:pPr>
        <w:spacing w:before="120" w:after="120"/>
      </w:pPr>
      <w:r>
        <w:t>It is worth noting that remote working has become a part of work-life after Covid (</w:t>
      </w:r>
      <w:proofErr w:type="spellStart"/>
      <w:r>
        <w:t>Chafi</w:t>
      </w:r>
      <w:proofErr w:type="spellEnd"/>
      <w:r>
        <w:t>, Hultberg and Yams, 2021). Although it brings benefits, there are challenges such as employees need to upskill themselves to use technology to enable themselves to work remotely.</w:t>
      </w:r>
    </w:p>
    <w:p w14:paraId="2369F049" w14:textId="77777777" w:rsidR="004E407D" w:rsidRPr="002A7BFA" w:rsidRDefault="004E407D" w:rsidP="004E407D">
      <w:pPr>
        <w:spacing w:before="120" w:after="120"/>
        <w:rPr>
          <w:b/>
          <w:bCs/>
          <w:u w:val="single"/>
        </w:rPr>
      </w:pPr>
      <w:r w:rsidRPr="002A7BFA">
        <w:rPr>
          <w:b/>
          <w:bCs/>
          <w:u w:val="single"/>
        </w:rPr>
        <w:t>Recommendations</w:t>
      </w:r>
    </w:p>
    <w:p w14:paraId="3233F1AB" w14:textId="77777777" w:rsidR="004E407D" w:rsidRPr="002A7BFA" w:rsidRDefault="004E407D" w:rsidP="004E407D">
      <w:pPr>
        <w:spacing w:before="120" w:after="120"/>
        <w:rPr>
          <w:u w:val="single"/>
        </w:rPr>
      </w:pPr>
      <w:r w:rsidRPr="002A7BFA">
        <w:rPr>
          <w:u w:val="single"/>
        </w:rPr>
        <w:t>Remote working and Organisational responsibilities</w:t>
      </w:r>
    </w:p>
    <w:p w14:paraId="0DCAFC19" w14:textId="77777777" w:rsidR="004E407D" w:rsidRDefault="004E407D" w:rsidP="004E407D">
      <w:r w:rsidRPr="004972B4">
        <w:t>To address the 80% feeling unsupported, the organisation may review and enhance hybrid work arrangements, providing resources and training for remote employees (</w:t>
      </w:r>
      <w:proofErr w:type="spellStart"/>
      <w:r w:rsidRPr="004972B4">
        <w:t>Chafi</w:t>
      </w:r>
      <w:proofErr w:type="spellEnd"/>
      <w:r w:rsidRPr="004972B4">
        <w:t xml:space="preserve">, Hultberg, Yams, 2021). Despite potential initial costs, this investment will benefit employees and the organisations (CIPD, 2021). Hybrid working enables employees to enjoy an outstanding work-life balance, enhancing their productivity </w:t>
      </w:r>
      <w:r>
        <w:t xml:space="preserve">and organisation benefit from having a happy workforce, which will increase productivity and reduce turnover intentions </w:t>
      </w:r>
      <w:r w:rsidRPr="004972B4">
        <w:t>(CIPD, 202</w:t>
      </w:r>
      <w:r>
        <w:t>3</w:t>
      </w:r>
      <w:r w:rsidRPr="004972B4">
        <w:t>). While homeworking is essential to hybrid setups, some roles may n</w:t>
      </w:r>
      <w:r>
        <w:t>ot</w:t>
      </w:r>
      <w:r w:rsidRPr="004972B4">
        <w:t xml:space="preserve"> to be more suitable for remote work (Knight et al., 2022). Considering 82% value homeworking, the organisation should consider offering customised, flexible arrangements for those preferring alternatives such as staggered work hours, long working days, etc. (</w:t>
      </w:r>
      <w:proofErr w:type="spellStart"/>
      <w:r w:rsidRPr="004972B4">
        <w:t>Chafi</w:t>
      </w:r>
      <w:proofErr w:type="spellEnd"/>
      <w:r w:rsidRPr="004972B4">
        <w:t>, Hultberg, Yams, 2021).</w:t>
      </w:r>
    </w:p>
    <w:p w14:paraId="3F360FCB" w14:textId="77777777" w:rsidR="004E407D" w:rsidRDefault="004E407D" w:rsidP="004E407D"/>
    <w:p w14:paraId="1808A7E1" w14:textId="77777777" w:rsidR="004E407D" w:rsidRPr="00A10A5D" w:rsidRDefault="004E407D" w:rsidP="004E407D">
      <w:pPr>
        <w:rPr>
          <w:u w:val="single"/>
        </w:rPr>
      </w:pPr>
      <w:r>
        <w:rPr>
          <w:u w:val="single"/>
        </w:rPr>
        <w:t>I</w:t>
      </w:r>
      <w:r w:rsidRPr="00A10A5D">
        <w:rPr>
          <w:u w:val="single"/>
        </w:rPr>
        <w:t>mportance of communication</w:t>
      </w:r>
      <w:r>
        <w:rPr>
          <w:u w:val="single"/>
        </w:rPr>
        <w:t xml:space="preserve"> in fostering a positive</w:t>
      </w:r>
      <w:r w:rsidRPr="00AC7C69">
        <w:rPr>
          <w:u w:val="single"/>
        </w:rPr>
        <w:t xml:space="preserve"> </w:t>
      </w:r>
      <w:r>
        <w:rPr>
          <w:u w:val="single"/>
        </w:rPr>
        <w:t>o</w:t>
      </w:r>
      <w:r w:rsidRPr="00A10A5D">
        <w:rPr>
          <w:u w:val="single"/>
        </w:rPr>
        <w:t>rganisational culture</w:t>
      </w:r>
    </w:p>
    <w:p w14:paraId="1F1D2102" w14:textId="77777777" w:rsidR="004E407D" w:rsidRDefault="004E407D" w:rsidP="004E407D">
      <w:r>
        <w:t>Considering 83 percent stated that they did not miss engaging with their colleagues, and more than half of the workforce believe that homeworking is a way to avoid conflicts, signalling potentially an unhealthy work environment.  The organisation needs to use effective communication methods to explore the causes deeper, for example, conducting focus groups or interviews to get nuanced and rich data (Gill et al., 2008). Then, find solutions to foster a healthy work environment based on the information (Briner, 2018).  Effective communication is related to job performance, productivity, organisational commitment and job satisfaction (Byrne and LeMay, 2006). A healthy corporate culture contributes to economic performance (</w:t>
      </w:r>
      <w:proofErr w:type="spellStart"/>
      <w:r>
        <w:t>Odiakaose</w:t>
      </w:r>
      <w:proofErr w:type="spellEnd"/>
      <w:r>
        <w:t>, 2018).</w:t>
      </w:r>
    </w:p>
    <w:p w14:paraId="3B87FB08" w14:textId="77777777" w:rsidR="004E407D" w:rsidRDefault="004E407D" w:rsidP="004E407D">
      <w:r>
        <w:lastRenderedPageBreak/>
        <w:t xml:space="preserve">Overall, 53 per cent stated they did not get the same recognition as they did when working in the office, and 60 per cent acknowledged that communication and collaboration within the team were affected. As a solution, the organisation could introduce a reward and recognition process.  Research points out that recognition contributes to performance and reduces turnover intentions (Luthans, 2000). Reducing turnover is important as a fluctuating workforce will reduce the talent pool and increase recruitment costs. As a result, the company may gradually lose its competitive advantage, which comes with the skilled and experienced workforce in the trade (Duda and </w:t>
      </w:r>
      <w:proofErr w:type="spellStart"/>
      <w:r>
        <w:t>Žůrková</w:t>
      </w:r>
      <w:proofErr w:type="spellEnd"/>
      <w:r>
        <w:t>, 2013).</w:t>
      </w:r>
    </w:p>
    <w:p w14:paraId="6AB62950" w14:textId="69994E07" w:rsidR="004E407D" w:rsidRPr="00456B89" w:rsidRDefault="004E407D" w:rsidP="004E407D">
      <w:r>
        <w:t>(</w:t>
      </w:r>
      <w:r w:rsidRPr="009B0057">
        <w:rPr>
          <w:b/>
          <w:bCs/>
        </w:rPr>
        <w:t>Word Count – 10</w:t>
      </w:r>
      <w:r w:rsidR="009B2A25">
        <w:rPr>
          <w:b/>
          <w:bCs/>
        </w:rPr>
        <w:t>68</w:t>
      </w:r>
      <w:r>
        <w:t>)</w:t>
      </w:r>
    </w:p>
    <w:p w14:paraId="695BBFDF" w14:textId="77777777" w:rsidR="004E407D" w:rsidRDefault="004E407D" w:rsidP="004E407D">
      <w:pPr>
        <w:rPr>
          <w:b/>
          <w:bCs/>
          <w:u w:val="single"/>
        </w:rPr>
      </w:pPr>
    </w:p>
    <w:p w14:paraId="7FDCB7BB" w14:textId="77777777" w:rsidR="004E407D" w:rsidRDefault="004E407D" w:rsidP="004E407D">
      <w:pPr>
        <w:rPr>
          <w:b/>
          <w:bCs/>
          <w:u w:val="single"/>
        </w:rPr>
      </w:pPr>
    </w:p>
    <w:p w14:paraId="51818C73" w14:textId="77777777" w:rsidR="004E407D" w:rsidRDefault="004E407D" w:rsidP="004E407D">
      <w:pPr>
        <w:rPr>
          <w:b/>
          <w:bCs/>
          <w:u w:val="single"/>
        </w:rPr>
      </w:pPr>
    </w:p>
    <w:p w14:paraId="71F5FA01" w14:textId="77777777" w:rsidR="004E407D" w:rsidRDefault="004E407D" w:rsidP="004E407D">
      <w:pPr>
        <w:rPr>
          <w:b/>
          <w:bCs/>
          <w:u w:val="single"/>
        </w:rPr>
      </w:pPr>
    </w:p>
    <w:p w14:paraId="0484FD97" w14:textId="77777777" w:rsidR="004E407D" w:rsidRDefault="004E407D" w:rsidP="004E407D">
      <w:pPr>
        <w:rPr>
          <w:b/>
          <w:bCs/>
          <w:u w:val="single"/>
        </w:rPr>
      </w:pPr>
    </w:p>
    <w:p w14:paraId="7D013BD4" w14:textId="77777777" w:rsidR="004E407D" w:rsidRDefault="004E407D" w:rsidP="004E407D">
      <w:pPr>
        <w:rPr>
          <w:b/>
          <w:bCs/>
          <w:u w:val="single"/>
        </w:rPr>
      </w:pPr>
    </w:p>
    <w:p w14:paraId="33613A23" w14:textId="77777777" w:rsidR="004E407D" w:rsidRDefault="004E407D" w:rsidP="004E407D">
      <w:pPr>
        <w:rPr>
          <w:b/>
          <w:bCs/>
          <w:u w:val="single"/>
        </w:rPr>
      </w:pPr>
    </w:p>
    <w:p w14:paraId="34002FF3" w14:textId="77777777" w:rsidR="004E407D" w:rsidRDefault="004E407D" w:rsidP="004E407D">
      <w:pPr>
        <w:rPr>
          <w:b/>
          <w:bCs/>
          <w:u w:val="single"/>
        </w:rPr>
      </w:pPr>
    </w:p>
    <w:p w14:paraId="063C51F3" w14:textId="77777777" w:rsidR="004E407D" w:rsidRDefault="004E407D" w:rsidP="004E407D">
      <w:pPr>
        <w:rPr>
          <w:b/>
          <w:bCs/>
          <w:u w:val="single"/>
        </w:rPr>
      </w:pPr>
    </w:p>
    <w:p w14:paraId="5320947E" w14:textId="77777777" w:rsidR="004E407D" w:rsidRDefault="004E407D" w:rsidP="004E407D">
      <w:pPr>
        <w:rPr>
          <w:b/>
          <w:bCs/>
          <w:u w:val="single"/>
        </w:rPr>
      </w:pPr>
    </w:p>
    <w:p w14:paraId="23ED8EFA" w14:textId="77777777" w:rsidR="004E407D" w:rsidRDefault="004E407D" w:rsidP="004E407D">
      <w:pPr>
        <w:rPr>
          <w:b/>
          <w:bCs/>
          <w:u w:val="single"/>
        </w:rPr>
      </w:pPr>
    </w:p>
    <w:p w14:paraId="6B92C131" w14:textId="77777777" w:rsidR="004E407D" w:rsidRDefault="004E407D" w:rsidP="004E407D">
      <w:pPr>
        <w:rPr>
          <w:b/>
          <w:bCs/>
          <w:u w:val="single"/>
        </w:rPr>
      </w:pPr>
    </w:p>
    <w:p w14:paraId="780A73BA" w14:textId="77777777" w:rsidR="004E407D" w:rsidRDefault="004E407D" w:rsidP="004E407D">
      <w:pPr>
        <w:rPr>
          <w:b/>
          <w:bCs/>
          <w:u w:val="single"/>
        </w:rPr>
      </w:pPr>
    </w:p>
    <w:p w14:paraId="44069B62" w14:textId="77777777" w:rsidR="004E407D" w:rsidRDefault="004E407D" w:rsidP="004E407D">
      <w:pPr>
        <w:rPr>
          <w:b/>
          <w:bCs/>
          <w:u w:val="single"/>
        </w:rPr>
      </w:pPr>
    </w:p>
    <w:p w14:paraId="4C83DF55" w14:textId="77777777" w:rsidR="004E407D" w:rsidRDefault="004E407D" w:rsidP="004E407D">
      <w:pPr>
        <w:rPr>
          <w:b/>
          <w:bCs/>
          <w:u w:val="single"/>
        </w:rPr>
      </w:pPr>
    </w:p>
    <w:p w14:paraId="7A1BACD2" w14:textId="77777777" w:rsidR="004E407D" w:rsidRDefault="004E407D" w:rsidP="004E407D">
      <w:pPr>
        <w:rPr>
          <w:b/>
          <w:bCs/>
          <w:u w:val="single"/>
        </w:rPr>
      </w:pPr>
    </w:p>
    <w:p w14:paraId="432B351D" w14:textId="77777777" w:rsidR="004E407D" w:rsidRDefault="004E407D" w:rsidP="004E407D">
      <w:pPr>
        <w:rPr>
          <w:b/>
          <w:bCs/>
          <w:u w:val="single"/>
        </w:rPr>
      </w:pPr>
    </w:p>
    <w:p w14:paraId="3668908A" w14:textId="77777777" w:rsidR="004E407D" w:rsidRPr="00691480" w:rsidRDefault="004E407D" w:rsidP="004E407D">
      <w:pPr>
        <w:pStyle w:val="NormalWeb"/>
        <w:spacing w:before="240" w:beforeAutospacing="0" w:after="240" w:afterAutospacing="0"/>
        <w:rPr>
          <w:rFonts w:ascii="Calibri" w:hAnsi="Calibri" w:cs="Calibri"/>
          <w:b/>
          <w:bCs/>
          <w:u w:val="single"/>
        </w:rPr>
      </w:pPr>
      <w:r w:rsidRPr="00691480">
        <w:rPr>
          <w:rFonts w:ascii="Calibri" w:hAnsi="Calibri" w:cs="Calibri"/>
          <w:b/>
          <w:bCs/>
          <w:u w:val="single"/>
        </w:rPr>
        <w:lastRenderedPageBreak/>
        <w:t>Reference List</w:t>
      </w:r>
    </w:p>
    <w:p w14:paraId="647DBFC5" w14:textId="77777777" w:rsidR="004E407D"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Baker, S.J. and Lucas, K. (2017) 'Is it safe to bring myself to work? Understanding LGBTQ experiences of workplace dignity,' </w:t>
      </w:r>
      <w:r w:rsidRPr="00691480">
        <w:rPr>
          <w:rFonts w:ascii="Calibri" w:hAnsi="Calibri" w:cs="Calibri"/>
          <w:i/>
          <w:iCs/>
        </w:rPr>
        <w:t xml:space="preserve">Canadian Journal of Administrative Sciences / Revue Canadienne Des Sciences De </w:t>
      </w:r>
      <w:proofErr w:type="spellStart"/>
      <w:r w:rsidRPr="00691480">
        <w:rPr>
          <w:rFonts w:ascii="Calibri" w:hAnsi="Calibri" w:cs="Calibri"/>
          <w:i/>
          <w:iCs/>
        </w:rPr>
        <w:t>L’Administration</w:t>
      </w:r>
      <w:proofErr w:type="spellEnd"/>
      <w:r w:rsidRPr="00691480">
        <w:rPr>
          <w:rFonts w:ascii="Calibri" w:hAnsi="Calibri" w:cs="Calibri"/>
        </w:rPr>
        <w:t xml:space="preserve">, 34(2), pp. 133–148. </w:t>
      </w:r>
    </w:p>
    <w:p w14:paraId="4732C6E7" w14:textId="77777777" w:rsidR="004E407D" w:rsidRPr="005C453D" w:rsidRDefault="004E407D" w:rsidP="004E407D">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Briner, R. (2018) 'The Basics of Evidence Based Practice,' </w:t>
      </w:r>
      <w:r w:rsidRPr="005C453D">
        <w:rPr>
          <w:rFonts w:asciiTheme="minorHAnsi" w:hAnsiTheme="minorHAnsi" w:cstheme="minorHAnsi"/>
          <w:i/>
          <w:iCs/>
        </w:rPr>
        <w:t>People + Strategy</w:t>
      </w:r>
      <w:r w:rsidRPr="005C453D">
        <w:rPr>
          <w:rFonts w:asciiTheme="minorHAnsi" w:hAnsiTheme="minorHAnsi" w:cstheme="minorHAnsi"/>
        </w:rPr>
        <w:t>, 42(1), pp. 16–21.</w:t>
      </w:r>
    </w:p>
    <w:p w14:paraId="020559B3" w14:textId="77777777" w:rsidR="004E407D" w:rsidRPr="00691480" w:rsidRDefault="004E407D" w:rsidP="004E407D">
      <w:pPr>
        <w:pStyle w:val="NormalWeb"/>
        <w:spacing w:before="240" w:beforeAutospacing="0" w:after="240" w:afterAutospacing="0"/>
        <w:rPr>
          <w:rFonts w:ascii="Calibri" w:hAnsi="Calibri" w:cs="Calibri"/>
        </w:rPr>
      </w:pPr>
      <w:proofErr w:type="spellStart"/>
      <w:r w:rsidRPr="00691480">
        <w:rPr>
          <w:rFonts w:ascii="Calibri" w:hAnsi="Calibri" w:cs="Calibri"/>
        </w:rPr>
        <w:t>Chafi</w:t>
      </w:r>
      <w:proofErr w:type="spellEnd"/>
      <w:r w:rsidRPr="00691480">
        <w:rPr>
          <w:rFonts w:ascii="Calibri" w:hAnsi="Calibri" w:cs="Calibri"/>
        </w:rPr>
        <w:t xml:space="preserve">, M.B., Hultberg, A. and Yams, N.B. (2021) 'Post-Pandemic Office work: Perceived challenges and opportunities for a sustainable work environment,' </w:t>
      </w:r>
      <w:r w:rsidRPr="00691480">
        <w:rPr>
          <w:rFonts w:ascii="Calibri" w:hAnsi="Calibri" w:cs="Calibri"/>
          <w:i/>
          <w:iCs/>
        </w:rPr>
        <w:t>Sustainability</w:t>
      </w:r>
      <w:r w:rsidRPr="00691480">
        <w:rPr>
          <w:rFonts w:ascii="Calibri" w:hAnsi="Calibri" w:cs="Calibri"/>
        </w:rPr>
        <w:t xml:space="preserve">, 14(1), p. 294. </w:t>
      </w:r>
    </w:p>
    <w:p w14:paraId="224EC9F9"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Chaudhry, I.S., </w:t>
      </w:r>
      <w:proofErr w:type="spellStart"/>
      <w:r w:rsidRPr="00691480">
        <w:rPr>
          <w:rFonts w:ascii="Calibri" w:hAnsi="Calibri" w:cs="Calibri"/>
        </w:rPr>
        <w:t>Paquibut</w:t>
      </w:r>
      <w:proofErr w:type="spellEnd"/>
      <w:r w:rsidRPr="00691480">
        <w:rPr>
          <w:rFonts w:ascii="Calibri" w:hAnsi="Calibri" w:cs="Calibri"/>
        </w:rPr>
        <w:t xml:space="preserve">, R.Y. and </w:t>
      </w:r>
      <w:proofErr w:type="spellStart"/>
      <w:r w:rsidRPr="00691480">
        <w:rPr>
          <w:rFonts w:ascii="Calibri" w:hAnsi="Calibri" w:cs="Calibri"/>
        </w:rPr>
        <w:t>Tunio</w:t>
      </w:r>
      <w:proofErr w:type="spellEnd"/>
      <w:r w:rsidRPr="00691480">
        <w:rPr>
          <w:rFonts w:ascii="Calibri" w:hAnsi="Calibri" w:cs="Calibri"/>
        </w:rPr>
        <w:t xml:space="preserve">, M.N. (2021) 'Do workforce diversity, inclusion practices, &amp; organizational characteristics contribute to organizational innovation? Evidence from the U.A.E,' </w:t>
      </w:r>
      <w:r w:rsidRPr="00691480">
        <w:rPr>
          <w:rFonts w:ascii="Calibri" w:hAnsi="Calibri" w:cs="Calibri"/>
          <w:i/>
          <w:iCs/>
        </w:rPr>
        <w:t>Cogent Business &amp; Management</w:t>
      </w:r>
      <w:r w:rsidRPr="00691480">
        <w:rPr>
          <w:rFonts w:ascii="Calibri" w:hAnsi="Calibri" w:cs="Calibri"/>
        </w:rPr>
        <w:t xml:space="preserve">, 8(1). </w:t>
      </w:r>
    </w:p>
    <w:p w14:paraId="43A713CD"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 xml:space="preserve">CIPD (17 May 2019) Diversity at the top. </w:t>
      </w:r>
    </w:p>
    <w:p w14:paraId="7BAF6EBE"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 xml:space="preserve">Available at: </w:t>
      </w:r>
      <w:hyperlink r:id="rId25" w:history="1">
        <w:r w:rsidRPr="00691480">
          <w:rPr>
            <w:rStyle w:val="Hyperlink"/>
            <w:rFonts w:ascii="Calibri" w:hAnsi="Calibri" w:cs="Calibri"/>
          </w:rPr>
          <w:t>https://www.cipd.org/uk/knowledge/bitesize-research/diversity-top/</w:t>
        </w:r>
      </w:hyperlink>
    </w:p>
    <w:p w14:paraId="143875F9" w14:textId="77777777" w:rsidR="004E407D" w:rsidRDefault="004E407D" w:rsidP="004E407D">
      <w:pPr>
        <w:pStyle w:val="NormalWeb"/>
        <w:spacing w:before="0" w:beforeAutospacing="0" w:after="0" w:afterAutospacing="0"/>
        <w:rPr>
          <w:rFonts w:ascii="Calibri" w:hAnsi="Calibri" w:cs="Calibri"/>
        </w:rPr>
      </w:pPr>
      <w:r w:rsidRPr="00691480">
        <w:rPr>
          <w:rFonts w:ascii="Calibri" w:hAnsi="Calibri" w:cs="Calibri"/>
        </w:rPr>
        <w:t>(Accessed 20 Nov 2023)</w:t>
      </w:r>
      <w:r>
        <w:rPr>
          <w:rFonts w:ascii="Calibri" w:hAnsi="Calibri" w:cs="Calibri"/>
        </w:rPr>
        <w:t>.</w:t>
      </w:r>
    </w:p>
    <w:p w14:paraId="55128A2D" w14:textId="77777777" w:rsidR="004E407D" w:rsidRDefault="004E407D" w:rsidP="004E407D">
      <w:pPr>
        <w:pStyle w:val="NormalWeb"/>
        <w:spacing w:before="0" w:beforeAutospacing="0" w:after="0" w:afterAutospacing="0"/>
        <w:rPr>
          <w:rFonts w:ascii="Calibri" w:hAnsi="Calibri" w:cs="Calibri"/>
        </w:rPr>
      </w:pPr>
    </w:p>
    <w:p w14:paraId="434BCD72" w14:textId="77777777" w:rsidR="004E407D" w:rsidRPr="00691480" w:rsidRDefault="004E407D" w:rsidP="004E407D">
      <w:pPr>
        <w:spacing w:after="0" w:line="240" w:lineRule="auto"/>
        <w:rPr>
          <w:rFonts w:asciiTheme="minorHAnsi" w:hAnsiTheme="minorHAnsi" w:cstheme="minorHAnsi"/>
          <w:shd w:val="clear" w:color="auto" w:fill="FFFFFF"/>
        </w:rPr>
      </w:pPr>
      <w:r w:rsidRPr="00691480">
        <w:rPr>
          <w:rFonts w:asciiTheme="minorHAnsi" w:hAnsiTheme="minorHAnsi" w:cstheme="minorHAnsi"/>
          <w:shd w:val="clear" w:color="auto" w:fill="FFFFFF"/>
        </w:rPr>
        <w:t>CIPD (2021), ‘</w:t>
      </w:r>
      <w:r w:rsidRPr="00691480">
        <w:rPr>
          <w:rFonts w:asciiTheme="minorHAnsi" w:hAnsiTheme="minorHAnsi" w:cstheme="minorHAnsi"/>
          <w:i/>
          <w:iCs/>
          <w:shd w:val="clear" w:color="auto" w:fill="FFFFFF"/>
        </w:rPr>
        <w:t>Hybrid Working: Practical Guidance</w:t>
      </w:r>
      <w:r w:rsidRPr="00691480">
        <w:rPr>
          <w:rFonts w:asciiTheme="minorHAnsi" w:hAnsiTheme="minorHAnsi" w:cstheme="minorHAnsi"/>
          <w:shd w:val="clear" w:color="auto" w:fill="FFFFFF"/>
        </w:rPr>
        <w:t xml:space="preserve">’ </w:t>
      </w:r>
    </w:p>
    <w:p w14:paraId="4E1553DF" w14:textId="77777777" w:rsidR="004E407D" w:rsidRPr="00691480" w:rsidRDefault="004E407D" w:rsidP="004E407D">
      <w:pPr>
        <w:spacing w:after="0" w:line="240" w:lineRule="auto"/>
        <w:rPr>
          <w:rFonts w:asciiTheme="minorHAnsi" w:hAnsiTheme="minorHAnsi" w:cstheme="minorHAnsi"/>
          <w:shd w:val="clear" w:color="auto" w:fill="FFFFFF"/>
        </w:rPr>
      </w:pPr>
      <w:r w:rsidRPr="00691480">
        <w:rPr>
          <w:rFonts w:asciiTheme="minorHAnsi" w:hAnsiTheme="minorHAnsi" w:cstheme="minorHAnsi"/>
          <w:shd w:val="clear" w:color="auto" w:fill="FFFFFF"/>
        </w:rPr>
        <w:t xml:space="preserve">Available at: </w:t>
      </w:r>
      <w:r>
        <w:rPr>
          <w:rFonts w:asciiTheme="minorHAnsi" w:hAnsiTheme="minorHAnsi" w:cstheme="minorHAnsi"/>
          <w:shd w:val="clear" w:color="auto" w:fill="FFFFFF"/>
        </w:rPr>
        <w:t xml:space="preserve">                                           </w:t>
      </w:r>
      <w:hyperlink r:id="rId26" w:history="1">
        <w:r w:rsidRPr="00D635D4">
          <w:rPr>
            <w:rStyle w:val="Hyperlink"/>
            <w:rFonts w:asciiTheme="minorHAnsi" w:hAnsiTheme="minorHAnsi" w:cstheme="minorHAnsi"/>
            <w:shd w:val="clear" w:color="auto" w:fill="FFFFFF"/>
          </w:rPr>
          <w:t>https://www.cipd.org/globalassets/media/knowledge/knowledge-hub/guides/hybrid-working-practical-guidance-2021_tcm18-103709.pdf</w:t>
        </w:r>
      </w:hyperlink>
    </w:p>
    <w:p w14:paraId="233F7A77" w14:textId="77777777" w:rsidR="004E407D" w:rsidRPr="00691480" w:rsidRDefault="004E407D" w:rsidP="004E407D">
      <w:pPr>
        <w:spacing w:after="0" w:line="240" w:lineRule="auto"/>
        <w:rPr>
          <w:rFonts w:asciiTheme="minorHAnsi" w:hAnsiTheme="minorHAnsi" w:cstheme="minorHAnsi"/>
          <w:shd w:val="clear" w:color="auto" w:fill="FFFFFF"/>
        </w:rPr>
      </w:pPr>
      <w:r w:rsidRPr="00691480">
        <w:rPr>
          <w:rFonts w:asciiTheme="minorHAnsi" w:hAnsiTheme="minorHAnsi" w:cstheme="minorHAnsi"/>
          <w:shd w:val="clear" w:color="auto" w:fill="FFFFFF"/>
        </w:rPr>
        <w:t>(Accessed 15 Nov 2023)</w:t>
      </w:r>
      <w:r>
        <w:rPr>
          <w:rFonts w:asciiTheme="minorHAnsi" w:hAnsiTheme="minorHAnsi" w:cstheme="minorHAnsi"/>
          <w:shd w:val="clear" w:color="auto" w:fill="FFFFFF"/>
        </w:rPr>
        <w:t>.</w:t>
      </w:r>
    </w:p>
    <w:p w14:paraId="5549E2A6" w14:textId="77777777" w:rsidR="004E407D" w:rsidRDefault="004E407D" w:rsidP="004E407D">
      <w:pPr>
        <w:pStyle w:val="NormalWeb"/>
        <w:spacing w:before="0" w:beforeAutospacing="0" w:after="0" w:afterAutospacing="0"/>
        <w:rPr>
          <w:rFonts w:ascii="Calibri" w:hAnsi="Calibri" w:cs="Calibri"/>
        </w:rPr>
      </w:pPr>
    </w:p>
    <w:p w14:paraId="0E88D5B8"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 xml:space="preserve">CIPD (01 Nov 2022) Equality, diversity and inclusion (EDI) in the workplace. </w:t>
      </w:r>
    </w:p>
    <w:p w14:paraId="327BBE66"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 xml:space="preserve">Available at: </w:t>
      </w:r>
      <w:r>
        <w:rPr>
          <w:rFonts w:ascii="Calibri" w:hAnsi="Calibri" w:cs="Calibri"/>
        </w:rPr>
        <w:t xml:space="preserve">                                                            </w:t>
      </w:r>
      <w:hyperlink r:id="rId27" w:anchor="Equality" w:history="1">
        <w:r w:rsidRPr="00D635D4">
          <w:rPr>
            <w:rStyle w:val="Hyperlink"/>
            <w:rFonts w:ascii="Calibri" w:hAnsi="Calibri" w:cs="Calibri"/>
          </w:rPr>
          <w:t>https://www.cipd.org/uk/knowledge/factsheets/diversity-factsheet/#Equality</w:t>
        </w:r>
      </w:hyperlink>
      <w:r w:rsidRPr="00691480">
        <w:rPr>
          <w:rFonts w:ascii="Calibri" w:hAnsi="Calibri" w:cs="Calibri"/>
        </w:rPr>
        <w:t xml:space="preserve">     </w:t>
      </w:r>
    </w:p>
    <w:p w14:paraId="50441EA1"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(Accessed 20 Nov 2023)</w:t>
      </w:r>
      <w:r>
        <w:rPr>
          <w:rFonts w:ascii="Calibri" w:hAnsi="Calibri" w:cs="Calibri"/>
        </w:rPr>
        <w:t>.</w:t>
      </w:r>
    </w:p>
    <w:p w14:paraId="6057DC94" w14:textId="77777777" w:rsidR="004E407D" w:rsidRPr="00691480" w:rsidRDefault="004E407D" w:rsidP="004E407D">
      <w:pPr>
        <w:pStyle w:val="NormalWeb"/>
        <w:spacing w:before="0" w:beforeAutospacing="0" w:after="0" w:afterAutospacing="0"/>
        <w:rPr>
          <w:rFonts w:ascii="Calibri" w:hAnsi="Calibri" w:cs="Calibri"/>
        </w:rPr>
      </w:pPr>
    </w:p>
    <w:p w14:paraId="25B60EA8"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CIPD (24 Aug 2023) Hybrid working: Guidance for people professionals.</w:t>
      </w:r>
    </w:p>
    <w:p w14:paraId="545D044B"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 xml:space="preserve">Available at: </w:t>
      </w:r>
      <w:r>
        <w:rPr>
          <w:rFonts w:ascii="Calibri" w:hAnsi="Calibri" w:cs="Calibri"/>
        </w:rPr>
        <w:t xml:space="preserve">                                                                     </w:t>
      </w:r>
      <w:hyperlink r:id="rId28" w:history="1">
        <w:r w:rsidRPr="00D635D4">
          <w:rPr>
            <w:rStyle w:val="Hyperlink"/>
            <w:rFonts w:ascii="Calibri" w:hAnsi="Calibri" w:cs="Calibri"/>
          </w:rPr>
          <w:t>https://www.cipd.org/uk/knowledge/guides/planning-hybrid-working/</w:t>
        </w:r>
      </w:hyperlink>
    </w:p>
    <w:p w14:paraId="0F7A931B" w14:textId="77777777" w:rsidR="004E407D" w:rsidRPr="00691480" w:rsidRDefault="004E407D" w:rsidP="004E407D">
      <w:pPr>
        <w:pStyle w:val="NormalWeb"/>
        <w:spacing w:before="0" w:beforeAutospacing="0" w:after="0" w:afterAutospacing="0"/>
        <w:rPr>
          <w:rFonts w:ascii="Calibri" w:hAnsi="Calibri" w:cs="Calibri"/>
        </w:rPr>
      </w:pPr>
      <w:r w:rsidRPr="00691480">
        <w:rPr>
          <w:rFonts w:ascii="Calibri" w:hAnsi="Calibri" w:cs="Calibri"/>
        </w:rPr>
        <w:t>(Accessed 21 Nov 2023)</w:t>
      </w:r>
      <w:r>
        <w:rPr>
          <w:rFonts w:ascii="Calibri" w:hAnsi="Calibri" w:cs="Calibri"/>
        </w:rPr>
        <w:t>.</w:t>
      </w:r>
    </w:p>
    <w:p w14:paraId="6C6A2ED3"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Duda, J. and </w:t>
      </w:r>
      <w:proofErr w:type="spellStart"/>
      <w:r w:rsidRPr="00691480">
        <w:rPr>
          <w:rFonts w:ascii="Calibri" w:hAnsi="Calibri" w:cs="Calibri"/>
        </w:rPr>
        <w:t>Žůrková</w:t>
      </w:r>
      <w:proofErr w:type="spellEnd"/>
      <w:r w:rsidRPr="00691480">
        <w:rPr>
          <w:rFonts w:ascii="Calibri" w:hAnsi="Calibri" w:cs="Calibri"/>
        </w:rPr>
        <w:t xml:space="preserve">, L. (2013) 'Costs of employee turnover,' </w:t>
      </w:r>
      <w:r w:rsidRPr="00691480">
        <w:rPr>
          <w:rFonts w:ascii="Calibri" w:hAnsi="Calibri" w:cs="Calibri"/>
          <w:i/>
          <w:iCs/>
        </w:rPr>
        <w:t xml:space="preserve">Acta Universitatis </w:t>
      </w:r>
      <w:proofErr w:type="spellStart"/>
      <w:r w:rsidRPr="00691480">
        <w:rPr>
          <w:rFonts w:ascii="Calibri" w:hAnsi="Calibri" w:cs="Calibri"/>
          <w:i/>
          <w:iCs/>
        </w:rPr>
        <w:t>Agriculturae</w:t>
      </w:r>
      <w:proofErr w:type="spellEnd"/>
      <w:r w:rsidRPr="00691480">
        <w:rPr>
          <w:rFonts w:ascii="Calibri" w:hAnsi="Calibri" w:cs="Calibri"/>
          <w:i/>
          <w:iCs/>
        </w:rPr>
        <w:t xml:space="preserve"> Et </w:t>
      </w:r>
      <w:proofErr w:type="spellStart"/>
      <w:r w:rsidRPr="00691480">
        <w:rPr>
          <w:rFonts w:ascii="Calibri" w:hAnsi="Calibri" w:cs="Calibri"/>
          <w:i/>
          <w:iCs/>
        </w:rPr>
        <w:t>Silviculturae</w:t>
      </w:r>
      <w:proofErr w:type="spellEnd"/>
      <w:r w:rsidRPr="00691480">
        <w:rPr>
          <w:rFonts w:ascii="Calibri" w:hAnsi="Calibri" w:cs="Calibri"/>
          <w:i/>
          <w:iCs/>
        </w:rPr>
        <w:t xml:space="preserve"> </w:t>
      </w:r>
      <w:proofErr w:type="spellStart"/>
      <w:r w:rsidRPr="00691480">
        <w:rPr>
          <w:rFonts w:ascii="Calibri" w:hAnsi="Calibri" w:cs="Calibri"/>
          <w:i/>
          <w:iCs/>
        </w:rPr>
        <w:t>Mendelianae</w:t>
      </w:r>
      <w:proofErr w:type="spellEnd"/>
      <w:r w:rsidRPr="00691480">
        <w:rPr>
          <w:rFonts w:ascii="Calibri" w:hAnsi="Calibri" w:cs="Calibri"/>
          <w:i/>
          <w:iCs/>
        </w:rPr>
        <w:t xml:space="preserve"> </w:t>
      </w:r>
      <w:proofErr w:type="spellStart"/>
      <w:r w:rsidRPr="00691480">
        <w:rPr>
          <w:rFonts w:ascii="Calibri" w:hAnsi="Calibri" w:cs="Calibri"/>
          <w:i/>
          <w:iCs/>
        </w:rPr>
        <w:t>Brunensis</w:t>
      </w:r>
      <w:proofErr w:type="spellEnd"/>
      <w:r w:rsidRPr="00691480">
        <w:rPr>
          <w:rFonts w:ascii="Calibri" w:hAnsi="Calibri" w:cs="Calibri"/>
        </w:rPr>
        <w:t xml:space="preserve">, 61(7), pp. 2071–2075. </w:t>
      </w:r>
    </w:p>
    <w:p w14:paraId="40934173"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Gill, P. </w:t>
      </w:r>
      <w:r w:rsidRPr="00691480">
        <w:rPr>
          <w:rFonts w:ascii="Calibri" w:hAnsi="Calibri" w:cs="Calibri"/>
          <w:i/>
          <w:iCs/>
        </w:rPr>
        <w:t>et al.</w:t>
      </w:r>
      <w:r w:rsidRPr="00691480">
        <w:rPr>
          <w:rFonts w:ascii="Calibri" w:hAnsi="Calibri" w:cs="Calibri"/>
        </w:rPr>
        <w:t xml:space="preserve"> (2008) 'Methods of data collection in qualitative research: interviews and focus groups,' </w:t>
      </w:r>
      <w:r w:rsidRPr="00691480">
        <w:rPr>
          <w:rFonts w:ascii="Calibri" w:hAnsi="Calibri" w:cs="Calibri"/>
          <w:i/>
          <w:iCs/>
        </w:rPr>
        <w:t>British Dental Journal</w:t>
      </w:r>
      <w:r w:rsidRPr="00691480">
        <w:rPr>
          <w:rFonts w:ascii="Calibri" w:hAnsi="Calibri" w:cs="Calibri"/>
        </w:rPr>
        <w:t xml:space="preserve">, 204(6), pp. 291–295. </w:t>
      </w:r>
    </w:p>
    <w:p w14:paraId="6C42A8B9" w14:textId="77777777" w:rsidR="004E407D" w:rsidRPr="00691480" w:rsidRDefault="004E407D" w:rsidP="004E407D">
      <w:pPr>
        <w:spacing w:before="240" w:after="240" w:line="240" w:lineRule="auto"/>
        <w:rPr>
          <w:rFonts w:ascii="Calibri" w:eastAsia="Times New Roman" w:hAnsi="Calibri" w:cs="Calibri"/>
          <w:i/>
          <w:iCs/>
          <w:lang w:eastAsia="en-GB"/>
        </w:rPr>
      </w:pPr>
      <w:r w:rsidRPr="00691480">
        <w:rPr>
          <w:rFonts w:ascii="Calibri" w:eastAsia="Times New Roman" w:hAnsi="Calibri" w:cs="Calibri"/>
          <w:lang w:eastAsia="en-GB"/>
        </w:rPr>
        <w:t>Knight, C., Olaru, D., Lee, J. and Parker, S., (2022). The loneliness of the hybrid worker. </w:t>
      </w:r>
      <w:r w:rsidRPr="00691480">
        <w:rPr>
          <w:rFonts w:ascii="Calibri" w:eastAsia="Times New Roman" w:hAnsi="Calibri" w:cs="Calibri"/>
          <w:i/>
          <w:iCs/>
          <w:lang w:eastAsia="en-GB"/>
        </w:rPr>
        <w:t>MIT Sloan Management Review.</w:t>
      </w:r>
    </w:p>
    <w:p w14:paraId="544FBA24"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Lindsay, S. </w:t>
      </w:r>
      <w:r w:rsidRPr="00691480">
        <w:rPr>
          <w:rFonts w:ascii="Calibri" w:hAnsi="Calibri" w:cs="Calibri"/>
          <w:i/>
          <w:iCs/>
        </w:rPr>
        <w:t>et al.</w:t>
      </w:r>
      <w:r w:rsidRPr="00691480">
        <w:rPr>
          <w:rFonts w:ascii="Calibri" w:hAnsi="Calibri" w:cs="Calibri"/>
        </w:rPr>
        <w:t xml:space="preserve"> (2018) 'A Systematic Review of the Benefits of Hiring People with Disabilities,' </w:t>
      </w:r>
      <w:r w:rsidRPr="00691480">
        <w:rPr>
          <w:rFonts w:ascii="Calibri" w:hAnsi="Calibri" w:cs="Calibri"/>
          <w:i/>
          <w:iCs/>
        </w:rPr>
        <w:t>Journal of Occupational Rehabilitation</w:t>
      </w:r>
      <w:r w:rsidRPr="00691480">
        <w:rPr>
          <w:rFonts w:ascii="Calibri" w:hAnsi="Calibri" w:cs="Calibri"/>
        </w:rPr>
        <w:t xml:space="preserve">, 28(4), pp. 634–655. </w:t>
      </w:r>
    </w:p>
    <w:p w14:paraId="11A4D784"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Luthans, K.W. (2000) 'Recognition: A Powerful, but often Overlooked, Leadership Tool to Improve Employee Performance,' </w:t>
      </w:r>
      <w:r w:rsidRPr="00691480">
        <w:rPr>
          <w:rFonts w:ascii="Calibri" w:hAnsi="Calibri" w:cs="Calibri"/>
          <w:i/>
          <w:iCs/>
        </w:rPr>
        <w:t>The Journal of Leadership Studies</w:t>
      </w:r>
      <w:r w:rsidRPr="00691480">
        <w:rPr>
          <w:rFonts w:ascii="Calibri" w:hAnsi="Calibri" w:cs="Calibri"/>
        </w:rPr>
        <w:t xml:space="preserve">, 7(1), pp. 31–39. </w:t>
      </w:r>
    </w:p>
    <w:p w14:paraId="7BEC8DA9" w14:textId="77777777" w:rsidR="004E407D" w:rsidRPr="00691480" w:rsidRDefault="004E407D" w:rsidP="004E407D">
      <w:pPr>
        <w:spacing w:before="240" w:after="240" w:line="240" w:lineRule="auto"/>
        <w:rPr>
          <w:rFonts w:asciiTheme="minorHAnsi" w:hAnsiTheme="minorHAnsi" w:cstheme="minorHAnsi"/>
          <w:i/>
          <w:iCs/>
          <w:shd w:val="clear" w:color="auto" w:fill="FFFFFF"/>
        </w:rPr>
      </w:pPr>
      <w:proofErr w:type="spellStart"/>
      <w:r w:rsidRPr="00691480">
        <w:rPr>
          <w:rFonts w:asciiTheme="minorHAnsi" w:hAnsiTheme="minorHAnsi" w:cstheme="minorHAnsi"/>
          <w:shd w:val="clear" w:color="auto" w:fill="FFFFFF"/>
        </w:rPr>
        <w:lastRenderedPageBreak/>
        <w:t>Odiakaose</w:t>
      </w:r>
      <w:proofErr w:type="spellEnd"/>
      <w:r w:rsidRPr="00691480">
        <w:rPr>
          <w:rFonts w:asciiTheme="minorHAnsi" w:hAnsiTheme="minorHAnsi" w:cstheme="minorHAnsi"/>
          <w:shd w:val="clear" w:color="auto" w:fill="FFFFFF"/>
        </w:rPr>
        <w:t>, H. (2018) ‘Organisational Culture and Dynamics’, ‘</w:t>
      </w:r>
      <w:r w:rsidRPr="00691480">
        <w:rPr>
          <w:rFonts w:asciiTheme="minorHAnsi" w:hAnsiTheme="minorHAnsi" w:cstheme="minorHAnsi"/>
          <w:i/>
          <w:iCs/>
          <w:shd w:val="clear" w:color="auto" w:fill="FFFFFF"/>
        </w:rPr>
        <w:t>Global Journal of Management and Business Research: A Administration and Research’, 18(1)</w:t>
      </w:r>
    </w:p>
    <w:p w14:paraId="3D037AC4" w14:textId="77777777" w:rsidR="004E407D" w:rsidRPr="00691480" w:rsidRDefault="004E407D" w:rsidP="004E407D">
      <w:pPr>
        <w:pStyle w:val="NormalWeb"/>
        <w:spacing w:before="240" w:beforeAutospacing="0" w:after="240" w:afterAutospacing="0"/>
        <w:rPr>
          <w:rFonts w:ascii="Calibri" w:hAnsi="Calibri" w:cs="Calibri"/>
        </w:rPr>
      </w:pPr>
      <w:r w:rsidRPr="00691480">
        <w:rPr>
          <w:rFonts w:ascii="Calibri" w:hAnsi="Calibri" w:cs="Calibri"/>
        </w:rPr>
        <w:t xml:space="preserve">Taylor, S. and Woodhams, C. (2022) </w:t>
      </w:r>
      <w:r w:rsidRPr="00691480">
        <w:rPr>
          <w:rFonts w:ascii="Calibri" w:hAnsi="Calibri" w:cs="Calibri"/>
          <w:i/>
          <w:iCs/>
        </w:rPr>
        <w:t>Studying human resource management: A Guide to the Study, Context and Practice of HR</w:t>
      </w:r>
      <w:r w:rsidRPr="00691480">
        <w:rPr>
          <w:rFonts w:ascii="Calibri" w:hAnsi="Calibri" w:cs="Calibri"/>
        </w:rPr>
        <w:t>. Kogan Page Publishers.</w:t>
      </w:r>
    </w:p>
    <w:p w14:paraId="7D0F73FD" w14:textId="77777777" w:rsidR="004E407D" w:rsidRDefault="004E407D" w:rsidP="00183E6D">
      <w:pPr>
        <w:spacing w:before="240" w:after="240"/>
        <w:rPr>
          <w:rFonts w:asciiTheme="minorHAnsi" w:hAnsiTheme="minorHAnsi" w:cstheme="minorHAnsi"/>
        </w:rPr>
      </w:pPr>
    </w:p>
    <w:p w14:paraId="72BBC70A" w14:textId="77777777" w:rsidR="004E407D" w:rsidRPr="005C453D" w:rsidRDefault="004E407D" w:rsidP="00183E6D">
      <w:pPr>
        <w:spacing w:before="240" w:after="240"/>
        <w:rPr>
          <w:rFonts w:asciiTheme="minorHAnsi" w:hAnsiTheme="minorHAnsi" w:cstheme="minorHAnsi"/>
        </w:rPr>
      </w:pPr>
    </w:p>
    <w:sectPr w:rsidR="004E407D" w:rsidRPr="005C453D" w:rsidSect="009D5174">
      <w:pgSz w:w="11906" w:h="16838"/>
      <w:pgMar w:top="1440" w:right="1440" w:bottom="1135"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1A1C2" w14:textId="77777777" w:rsidR="00245E47" w:rsidRDefault="00245E47" w:rsidP="00245E47">
      <w:pPr>
        <w:spacing w:after="0" w:line="240" w:lineRule="auto"/>
      </w:pPr>
      <w:r>
        <w:separator/>
      </w:r>
    </w:p>
  </w:endnote>
  <w:endnote w:type="continuationSeparator" w:id="0">
    <w:p w14:paraId="11ABA7EB" w14:textId="77777777" w:rsidR="00245E47" w:rsidRDefault="00245E47" w:rsidP="00245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A197D" w14:textId="77777777" w:rsidR="00245E47" w:rsidRDefault="00245E47" w:rsidP="00245E47">
      <w:pPr>
        <w:spacing w:after="0" w:line="240" w:lineRule="auto"/>
      </w:pPr>
      <w:r>
        <w:separator/>
      </w:r>
    </w:p>
  </w:footnote>
  <w:footnote w:type="continuationSeparator" w:id="0">
    <w:p w14:paraId="7242504D" w14:textId="77777777" w:rsidR="00245E47" w:rsidRDefault="00245E47" w:rsidP="00245E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668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2584"/>
    <w:rsid w:val="00004E56"/>
    <w:rsid w:val="000054BE"/>
    <w:rsid w:val="00005997"/>
    <w:rsid w:val="00005A08"/>
    <w:rsid w:val="0001032F"/>
    <w:rsid w:val="000127C4"/>
    <w:rsid w:val="00020955"/>
    <w:rsid w:val="00023E99"/>
    <w:rsid w:val="00024460"/>
    <w:rsid w:val="0003377C"/>
    <w:rsid w:val="000338E9"/>
    <w:rsid w:val="00033D7E"/>
    <w:rsid w:val="00034BF3"/>
    <w:rsid w:val="00036436"/>
    <w:rsid w:val="0004072B"/>
    <w:rsid w:val="00041AFF"/>
    <w:rsid w:val="0004260D"/>
    <w:rsid w:val="0004493B"/>
    <w:rsid w:val="00047F44"/>
    <w:rsid w:val="00051566"/>
    <w:rsid w:val="00052762"/>
    <w:rsid w:val="0005345F"/>
    <w:rsid w:val="00053C9C"/>
    <w:rsid w:val="00053D66"/>
    <w:rsid w:val="0005573E"/>
    <w:rsid w:val="000568C8"/>
    <w:rsid w:val="00061173"/>
    <w:rsid w:val="00062127"/>
    <w:rsid w:val="00062C0B"/>
    <w:rsid w:val="0006327C"/>
    <w:rsid w:val="000634B1"/>
    <w:rsid w:val="00063EDC"/>
    <w:rsid w:val="0006507E"/>
    <w:rsid w:val="00071DC3"/>
    <w:rsid w:val="00072785"/>
    <w:rsid w:val="000731C3"/>
    <w:rsid w:val="000749D7"/>
    <w:rsid w:val="00076A6D"/>
    <w:rsid w:val="00080898"/>
    <w:rsid w:val="00080EAE"/>
    <w:rsid w:val="00081BE5"/>
    <w:rsid w:val="00084083"/>
    <w:rsid w:val="00085DB6"/>
    <w:rsid w:val="0008680D"/>
    <w:rsid w:val="000871B3"/>
    <w:rsid w:val="000906C9"/>
    <w:rsid w:val="000952BB"/>
    <w:rsid w:val="000A0CB6"/>
    <w:rsid w:val="000A1C99"/>
    <w:rsid w:val="000A2076"/>
    <w:rsid w:val="000A3CCD"/>
    <w:rsid w:val="000A4174"/>
    <w:rsid w:val="000A5E83"/>
    <w:rsid w:val="000A69F6"/>
    <w:rsid w:val="000B2150"/>
    <w:rsid w:val="000B31B6"/>
    <w:rsid w:val="000B41EC"/>
    <w:rsid w:val="000C17D5"/>
    <w:rsid w:val="000C209C"/>
    <w:rsid w:val="000C2DEE"/>
    <w:rsid w:val="000C4CDB"/>
    <w:rsid w:val="000C5954"/>
    <w:rsid w:val="000C6F32"/>
    <w:rsid w:val="000D0AB3"/>
    <w:rsid w:val="000D2192"/>
    <w:rsid w:val="000D25E1"/>
    <w:rsid w:val="000D3C5C"/>
    <w:rsid w:val="000D4EDC"/>
    <w:rsid w:val="000D59B8"/>
    <w:rsid w:val="000D7189"/>
    <w:rsid w:val="000D7208"/>
    <w:rsid w:val="000E0083"/>
    <w:rsid w:val="000E0A6B"/>
    <w:rsid w:val="000E11A5"/>
    <w:rsid w:val="000E4D53"/>
    <w:rsid w:val="000E6955"/>
    <w:rsid w:val="000E6F00"/>
    <w:rsid w:val="000E7317"/>
    <w:rsid w:val="000E74D4"/>
    <w:rsid w:val="000E7EB7"/>
    <w:rsid w:val="000F0201"/>
    <w:rsid w:val="000F0DB9"/>
    <w:rsid w:val="000F3158"/>
    <w:rsid w:val="000F67DF"/>
    <w:rsid w:val="000F72AE"/>
    <w:rsid w:val="00101703"/>
    <w:rsid w:val="001035F2"/>
    <w:rsid w:val="00103F37"/>
    <w:rsid w:val="00113CE5"/>
    <w:rsid w:val="00114772"/>
    <w:rsid w:val="00115D91"/>
    <w:rsid w:val="00117406"/>
    <w:rsid w:val="00117A4C"/>
    <w:rsid w:val="00131D17"/>
    <w:rsid w:val="00140F1E"/>
    <w:rsid w:val="00141661"/>
    <w:rsid w:val="00141C38"/>
    <w:rsid w:val="0014516D"/>
    <w:rsid w:val="00145486"/>
    <w:rsid w:val="00145957"/>
    <w:rsid w:val="00151E4E"/>
    <w:rsid w:val="00160F3D"/>
    <w:rsid w:val="00161060"/>
    <w:rsid w:val="00161758"/>
    <w:rsid w:val="00161C97"/>
    <w:rsid w:val="00170CC0"/>
    <w:rsid w:val="00170F1A"/>
    <w:rsid w:val="00171A5D"/>
    <w:rsid w:val="00172D96"/>
    <w:rsid w:val="00173ED5"/>
    <w:rsid w:val="00176AD5"/>
    <w:rsid w:val="00181538"/>
    <w:rsid w:val="00181831"/>
    <w:rsid w:val="00181D7C"/>
    <w:rsid w:val="00182D56"/>
    <w:rsid w:val="00183E6D"/>
    <w:rsid w:val="00185D84"/>
    <w:rsid w:val="00187339"/>
    <w:rsid w:val="00190DAC"/>
    <w:rsid w:val="00191990"/>
    <w:rsid w:val="0019524F"/>
    <w:rsid w:val="00196500"/>
    <w:rsid w:val="001A3952"/>
    <w:rsid w:val="001A5263"/>
    <w:rsid w:val="001A6FD8"/>
    <w:rsid w:val="001B01E2"/>
    <w:rsid w:val="001B0742"/>
    <w:rsid w:val="001B0E59"/>
    <w:rsid w:val="001C2D83"/>
    <w:rsid w:val="001C3A93"/>
    <w:rsid w:val="001C4830"/>
    <w:rsid w:val="001C4B3B"/>
    <w:rsid w:val="001C4F03"/>
    <w:rsid w:val="001C51C7"/>
    <w:rsid w:val="001C5DEC"/>
    <w:rsid w:val="001C6A09"/>
    <w:rsid w:val="001C6D8D"/>
    <w:rsid w:val="001D0EAD"/>
    <w:rsid w:val="001D10B2"/>
    <w:rsid w:val="001D12AE"/>
    <w:rsid w:val="001D25BA"/>
    <w:rsid w:val="001D2AFE"/>
    <w:rsid w:val="001D2B50"/>
    <w:rsid w:val="001D7ED8"/>
    <w:rsid w:val="001E1861"/>
    <w:rsid w:val="001E3297"/>
    <w:rsid w:val="001E50D1"/>
    <w:rsid w:val="001E61D4"/>
    <w:rsid w:val="001E6505"/>
    <w:rsid w:val="001E6915"/>
    <w:rsid w:val="001E7172"/>
    <w:rsid w:val="001F099C"/>
    <w:rsid w:val="001F0C3F"/>
    <w:rsid w:val="001F23FC"/>
    <w:rsid w:val="001F24CF"/>
    <w:rsid w:val="001F407A"/>
    <w:rsid w:val="001F4B6A"/>
    <w:rsid w:val="001F6403"/>
    <w:rsid w:val="001F6D2B"/>
    <w:rsid w:val="001F7742"/>
    <w:rsid w:val="00201995"/>
    <w:rsid w:val="00201B9C"/>
    <w:rsid w:val="00202992"/>
    <w:rsid w:val="00202E9E"/>
    <w:rsid w:val="00203186"/>
    <w:rsid w:val="00203CE8"/>
    <w:rsid w:val="00205347"/>
    <w:rsid w:val="00206AE6"/>
    <w:rsid w:val="00207B8D"/>
    <w:rsid w:val="00210639"/>
    <w:rsid w:val="00211DAF"/>
    <w:rsid w:val="00212374"/>
    <w:rsid w:val="0021282A"/>
    <w:rsid w:val="002128A3"/>
    <w:rsid w:val="002145B4"/>
    <w:rsid w:val="00216536"/>
    <w:rsid w:val="00220966"/>
    <w:rsid w:val="00221782"/>
    <w:rsid w:val="00221AB3"/>
    <w:rsid w:val="00223032"/>
    <w:rsid w:val="00223ED5"/>
    <w:rsid w:val="00230499"/>
    <w:rsid w:val="00231ABD"/>
    <w:rsid w:val="002339D9"/>
    <w:rsid w:val="00235051"/>
    <w:rsid w:val="0023591F"/>
    <w:rsid w:val="00235BC0"/>
    <w:rsid w:val="002360C1"/>
    <w:rsid w:val="002372F9"/>
    <w:rsid w:val="00241E5D"/>
    <w:rsid w:val="00242048"/>
    <w:rsid w:val="0024547C"/>
    <w:rsid w:val="00245E47"/>
    <w:rsid w:val="00247718"/>
    <w:rsid w:val="002505A8"/>
    <w:rsid w:val="00251DA9"/>
    <w:rsid w:val="00255247"/>
    <w:rsid w:val="00255CFE"/>
    <w:rsid w:val="00262687"/>
    <w:rsid w:val="00263330"/>
    <w:rsid w:val="0026373A"/>
    <w:rsid w:val="00263DC2"/>
    <w:rsid w:val="002655EE"/>
    <w:rsid w:val="0027103D"/>
    <w:rsid w:val="0027234D"/>
    <w:rsid w:val="00274A04"/>
    <w:rsid w:val="002751B1"/>
    <w:rsid w:val="0027634D"/>
    <w:rsid w:val="00276925"/>
    <w:rsid w:val="00276BA1"/>
    <w:rsid w:val="002820BD"/>
    <w:rsid w:val="0028263F"/>
    <w:rsid w:val="00282BA4"/>
    <w:rsid w:val="00283913"/>
    <w:rsid w:val="00284577"/>
    <w:rsid w:val="00285326"/>
    <w:rsid w:val="00285EAB"/>
    <w:rsid w:val="00286401"/>
    <w:rsid w:val="0028762A"/>
    <w:rsid w:val="00287D68"/>
    <w:rsid w:val="00293981"/>
    <w:rsid w:val="002A0325"/>
    <w:rsid w:val="002A642B"/>
    <w:rsid w:val="002A7C9D"/>
    <w:rsid w:val="002B2346"/>
    <w:rsid w:val="002B5B47"/>
    <w:rsid w:val="002B7675"/>
    <w:rsid w:val="002C0961"/>
    <w:rsid w:val="002C1A56"/>
    <w:rsid w:val="002C4A82"/>
    <w:rsid w:val="002D1569"/>
    <w:rsid w:val="002D20AA"/>
    <w:rsid w:val="002D326C"/>
    <w:rsid w:val="002D71F7"/>
    <w:rsid w:val="002E30F9"/>
    <w:rsid w:val="002E5125"/>
    <w:rsid w:val="002E7887"/>
    <w:rsid w:val="002F05AF"/>
    <w:rsid w:val="002F2D47"/>
    <w:rsid w:val="002F2F1D"/>
    <w:rsid w:val="002F2FD6"/>
    <w:rsid w:val="002F746A"/>
    <w:rsid w:val="00302302"/>
    <w:rsid w:val="0030548C"/>
    <w:rsid w:val="003062DA"/>
    <w:rsid w:val="003105EC"/>
    <w:rsid w:val="00310D52"/>
    <w:rsid w:val="003112C1"/>
    <w:rsid w:val="0031264C"/>
    <w:rsid w:val="00316309"/>
    <w:rsid w:val="003204DC"/>
    <w:rsid w:val="0032072E"/>
    <w:rsid w:val="00321116"/>
    <w:rsid w:val="0032137C"/>
    <w:rsid w:val="00327CE1"/>
    <w:rsid w:val="00330AEE"/>
    <w:rsid w:val="0033115D"/>
    <w:rsid w:val="00331C05"/>
    <w:rsid w:val="00333D95"/>
    <w:rsid w:val="00335331"/>
    <w:rsid w:val="003360BE"/>
    <w:rsid w:val="00336E66"/>
    <w:rsid w:val="00337634"/>
    <w:rsid w:val="00337CD9"/>
    <w:rsid w:val="003413DF"/>
    <w:rsid w:val="0034165C"/>
    <w:rsid w:val="003450F7"/>
    <w:rsid w:val="003502A0"/>
    <w:rsid w:val="00350FD9"/>
    <w:rsid w:val="00352C3E"/>
    <w:rsid w:val="00353FA2"/>
    <w:rsid w:val="00354808"/>
    <w:rsid w:val="00355E2A"/>
    <w:rsid w:val="0035607A"/>
    <w:rsid w:val="003575DC"/>
    <w:rsid w:val="00362EDB"/>
    <w:rsid w:val="00363082"/>
    <w:rsid w:val="00365AFE"/>
    <w:rsid w:val="003720CA"/>
    <w:rsid w:val="003726D7"/>
    <w:rsid w:val="0037373F"/>
    <w:rsid w:val="00380BCB"/>
    <w:rsid w:val="003832B6"/>
    <w:rsid w:val="0038546D"/>
    <w:rsid w:val="00386901"/>
    <w:rsid w:val="00391E64"/>
    <w:rsid w:val="00391EE6"/>
    <w:rsid w:val="003A0EA2"/>
    <w:rsid w:val="003A1467"/>
    <w:rsid w:val="003A41EA"/>
    <w:rsid w:val="003A5C8D"/>
    <w:rsid w:val="003A767F"/>
    <w:rsid w:val="003B2B1D"/>
    <w:rsid w:val="003B3022"/>
    <w:rsid w:val="003B3FA1"/>
    <w:rsid w:val="003B5775"/>
    <w:rsid w:val="003B5B04"/>
    <w:rsid w:val="003B7C83"/>
    <w:rsid w:val="003B7CC3"/>
    <w:rsid w:val="003C1003"/>
    <w:rsid w:val="003C1B83"/>
    <w:rsid w:val="003C48E0"/>
    <w:rsid w:val="003D0A6F"/>
    <w:rsid w:val="003D0B14"/>
    <w:rsid w:val="003D1259"/>
    <w:rsid w:val="003D131A"/>
    <w:rsid w:val="003D38AE"/>
    <w:rsid w:val="003D4707"/>
    <w:rsid w:val="003D5BB6"/>
    <w:rsid w:val="003D5FE1"/>
    <w:rsid w:val="003E007D"/>
    <w:rsid w:val="003E01F6"/>
    <w:rsid w:val="003E225D"/>
    <w:rsid w:val="003E42D9"/>
    <w:rsid w:val="003F2708"/>
    <w:rsid w:val="003F70AF"/>
    <w:rsid w:val="0040038C"/>
    <w:rsid w:val="0040070F"/>
    <w:rsid w:val="00403F79"/>
    <w:rsid w:val="004043E2"/>
    <w:rsid w:val="0040564B"/>
    <w:rsid w:val="00405CEE"/>
    <w:rsid w:val="004060CC"/>
    <w:rsid w:val="00406C83"/>
    <w:rsid w:val="00407572"/>
    <w:rsid w:val="00407CA8"/>
    <w:rsid w:val="004115A2"/>
    <w:rsid w:val="004133A9"/>
    <w:rsid w:val="00416F67"/>
    <w:rsid w:val="00420483"/>
    <w:rsid w:val="00422F5F"/>
    <w:rsid w:val="00423728"/>
    <w:rsid w:val="00423DB9"/>
    <w:rsid w:val="00425022"/>
    <w:rsid w:val="00427DC7"/>
    <w:rsid w:val="00430DB6"/>
    <w:rsid w:val="004323B6"/>
    <w:rsid w:val="00435241"/>
    <w:rsid w:val="00436980"/>
    <w:rsid w:val="0044024F"/>
    <w:rsid w:val="004405EB"/>
    <w:rsid w:val="0044079B"/>
    <w:rsid w:val="00442319"/>
    <w:rsid w:val="00444978"/>
    <w:rsid w:val="00450C80"/>
    <w:rsid w:val="00453076"/>
    <w:rsid w:val="00457E99"/>
    <w:rsid w:val="00460ADC"/>
    <w:rsid w:val="004610A0"/>
    <w:rsid w:val="004637DA"/>
    <w:rsid w:val="00467013"/>
    <w:rsid w:val="0046775F"/>
    <w:rsid w:val="0047032D"/>
    <w:rsid w:val="00470987"/>
    <w:rsid w:val="0047241E"/>
    <w:rsid w:val="004738D5"/>
    <w:rsid w:val="00473927"/>
    <w:rsid w:val="0047786C"/>
    <w:rsid w:val="00477A68"/>
    <w:rsid w:val="0048003B"/>
    <w:rsid w:val="0048040B"/>
    <w:rsid w:val="00480BC2"/>
    <w:rsid w:val="00482043"/>
    <w:rsid w:val="0048290B"/>
    <w:rsid w:val="004829F5"/>
    <w:rsid w:val="0048305E"/>
    <w:rsid w:val="00483793"/>
    <w:rsid w:val="004851A2"/>
    <w:rsid w:val="004862E4"/>
    <w:rsid w:val="0049039E"/>
    <w:rsid w:val="00491877"/>
    <w:rsid w:val="00492EDD"/>
    <w:rsid w:val="00493076"/>
    <w:rsid w:val="00496977"/>
    <w:rsid w:val="004A0A46"/>
    <w:rsid w:val="004A2670"/>
    <w:rsid w:val="004A2878"/>
    <w:rsid w:val="004A363C"/>
    <w:rsid w:val="004A4560"/>
    <w:rsid w:val="004A4A1B"/>
    <w:rsid w:val="004A6075"/>
    <w:rsid w:val="004A642B"/>
    <w:rsid w:val="004A6919"/>
    <w:rsid w:val="004A7A1F"/>
    <w:rsid w:val="004B0BC2"/>
    <w:rsid w:val="004B2403"/>
    <w:rsid w:val="004B2FCE"/>
    <w:rsid w:val="004B3E60"/>
    <w:rsid w:val="004B58B9"/>
    <w:rsid w:val="004C6EB6"/>
    <w:rsid w:val="004C7428"/>
    <w:rsid w:val="004C757D"/>
    <w:rsid w:val="004D0743"/>
    <w:rsid w:val="004D0EB9"/>
    <w:rsid w:val="004D1038"/>
    <w:rsid w:val="004D1A94"/>
    <w:rsid w:val="004D419D"/>
    <w:rsid w:val="004D4C00"/>
    <w:rsid w:val="004D58D4"/>
    <w:rsid w:val="004D705B"/>
    <w:rsid w:val="004D7D3D"/>
    <w:rsid w:val="004E0BE2"/>
    <w:rsid w:val="004E199D"/>
    <w:rsid w:val="004E3017"/>
    <w:rsid w:val="004E407D"/>
    <w:rsid w:val="004E678C"/>
    <w:rsid w:val="004F07A4"/>
    <w:rsid w:val="004F1AAC"/>
    <w:rsid w:val="004F6458"/>
    <w:rsid w:val="004F66E6"/>
    <w:rsid w:val="004F6AEB"/>
    <w:rsid w:val="004F6B3C"/>
    <w:rsid w:val="004F6F54"/>
    <w:rsid w:val="005000E3"/>
    <w:rsid w:val="00501943"/>
    <w:rsid w:val="005177A5"/>
    <w:rsid w:val="00520005"/>
    <w:rsid w:val="00520E34"/>
    <w:rsid w:val="005212D1"/>
    <w:rsid w:val="00522D0C"/>
    <w:rsid w:val="00523DD0"/>
    <w:rsid w:val="0052559E"/>
    <w:rsid w:val="005259F6"/>
    <w:rsid w:val="00531A44"/>
    <w:rsid w:val="005321C9"/>
    <w:rsid w:val="0053535E"/>
    <w:rsid w:val="00535772"/>
    <w:rsid w:val="0053620E"/>
    <w:rsid w:val="00537451"/>
    <w:rsid w:val="00540E03"/>
    <w:rsid w:val="00544318"/>
    <w:rsid w:val="00545385"/>
    <w:rsid w:val="00547339"/>
    <w:rsid w:val="00552B47"/>
    <w:rsid w:val="00552BCF"/>
    <w:rsid w:val="005541AE"/>
    <w:rsid w:val="00554E6F"/>
    <w:rsid w:val="005562E5"/>
    <w:rsid w:val="0055675D"/>
    <w:rsid w:val="00556D09"/>
    <w:rsid w:val="0056130F"/>
    <w:rsid w:val="00563767"/>
    <w:rsid w:val="00563F3D"/>
    <w:rsid w:val="00564DAD"/>
    <w:rsid w:val="00566469"/>
    <w:rsid w:val="00566B63"/>
    <w:rsid w:val="00571248"/>
    <w:rsid w:val="005715C6"/>
    <w:rsid w:val="005718AF"/>
    <w:rsid w:val="00572C2F"/>
    <w:rsid w:val="00573002"/>
    <w:rsid w:val="00573932"/>
    <w:rsid w:val="00573C45"/>
    <w:rsid w:val="00580363"/>
    <w:rsid w:val="00585BD4"/>
    <w:rsid w:val="00591E39"/>
    <w:rsid w:val="005922DE"/>
    <w:rsid w:val="0059359E"/>
    <w:rsid w:val="00593BED"/>
    <w:rsid w:val="00593CCA"/>
    <w:rsid w:val="005941A3"/>
    <w:rsid w:val="00595F4E"/>
    <w:rsid w:val="005A16EA"/>
    <w:rsid w:val="005A470C"/>
    <w:rsid w:val="005A676A"/>
    <w:rsid w:val="005B16B5"/>
    <w:rsid w:val="005B1E39"/>
    <w:rsid w:val="005B2178"/>
    <w:rsid w:val="005B2FAE"/>
    <w:rsid w:val="005B5EC5"/>
    <w:rsid w:val="005B62BC"/>
    <w:rsid w:val="005B7927"/>
    <w:rsid w:val="005C453D"/>
    <w:rsid w:val="005C457C"/>
    <w:rsid w:val="005C532D"/>
    <w:rsid w:val="005C6905"/>
    <w:rsid w:val="005C6C86"/>
    <w:rsid w:val="005D2315"/>
    <w:rsid w:val="005D3FC6"/>
    <w:rsid w:val="005D47BB"/>
    <w:rsid w:val="005D5D9A"/>
    <w:rsid w:val="005D7876"/>
    <w:rsid w:val="005E05BE"/>
    <w:rsid w:val="005E2938"/>
    <w:rsid w:val="005E7237"/>
    <w:rsid w:val="005F346D"/>
    <w:rsid w:val="005F348B"/>
    <w:rsid w:val="005F5A51"/>
    <w:rsid w:val="00600178"/>
    <w:rsid w:val="0060294D"/>
    <w:rsid w:val="00602D19"/>
    <w:rsid w:val="00607A3A"/>
    <w:rsid w:val="006109DF"/>
    <w:rsid w:val="006145DA"/>
    <w:rsid w:val="00614C20"/>
    <w:rsid w:val="006156EF"/>
    <w:rsid w:val="00616A3A"/>
    <w:rsid w:val="00621BE5"/>
    <w:rsid w:val="00631FA3"/>
    <w:rsid w:val="006331D0"/>
    <w:rsid w:val="00634A8A"/>
    <w:rsid w:val="006376A5"/>
    <w:rsid w:val="00644411"/>
    <w:rsid w:val="006449AD"/>
    <w:rsid w:val="006457D0"/>
    <w:rsid w:val="00645FEC"/>
    <w:rsid w:val="00650C53"/>
    <w:rsid w:val="00651342"/>
    <w:rsid w:val="00651523"/>
    <w:rsid w:val="00654055"/>
    <w:rsid w:val="006569B8"/>
    <w:rsid w:val="00656EB1"/>
    <w:rsid w:val="00660128"/>
    <w:rsid w:val="00662564"/>
    <w:rsid w:val="0066282A"/>
    <w:rsid w:val="00662F97"/>
    <w:rsid w:val="00667081"/>
    <w:rsid w:val="006674AE"/>
    <w:rsid w:val="00667519"/>
    <w:rsid w:val="006678A9"/>
    <w:rsid w:val="006727FE"/>
    <w:rsid w:val="006763F1"/>
    <w:rsid w:val="006767F0"/>
    <w:rsid w:val="00677A2C"/>
    <w:rsid w:val="006846A8"/>
    <w:rsid w:val="00684C75"/>
    <w:rsid w:val="0068717B"/>
    <w:rsid w:val="0068792D"/>
    <w:rsid w:val="006938B5"/>
    <w:rsid w:val="006957FE"/>
    <w:rsid w:val="00695A75"/>
    <w:rsid w:val="00695AD9"/>
    <w:rsid w:val="006A07D6"/>
    <w:rsid w:val="006A3537"/>
    <w:rsid w:val="006A5ED5"/>
    <w:rsid w:val="006A6B58"/>
    <w:rsid w:val="006A7C1C"/>
    <w:rsid w:val="006B00F1"/>
    <w:rsid w:val="006B1C78"/>
    <w:rsid w:val="006B1EE6"/>
    <w:rsid w:val="006B3463"/>
    <w:rsid w:val="006B3B7D"/>
    <w:rsid w:val="006B4429"/>
    <w:rsid w:val="006B5545"/>
    <w:rsid w:val="006B5F52"/>
    <w:rsid w:val="006B6669"/>
    <w:rsid w:val="006B6965"/>
    <w:rsid w:val="006B77E0"/>
    <w:rsid w:val="006C138E"/>
    <w:rsid w:val="006C16F9"/>
    <w:rsid w:val="006C2C3B"/>
    <w:rsid w:val="006C3742"/>
    <w:rsid w:val="006C379D"/>
    <w:rsid w:val="006C3F29"/>
    <w:rsid w:val="006C4970"/>
    <w:rsid w:val="006D776E"/>
    <w:rsid w:val="006E168B"/>
    <w:rsid w:val="006E3B0E"/>
    <w:rsid w:val="006E55B7"/>
    <w:rsid w:val="006F081B"/>
    <w:rsid w:val="006F23A6"/>
    <w:rsid w:val="006F6164"/>
    <w:rsid w:val="00702592"/>
    <w:rsid w:val="00703244"/>
    <w:rsid w:val="00705899"/>
    <w:rsid w:val="00706F8B"/>
    <w:rsid w:val="00710380"/>
    <w:rsid w:val="00710F00"/>
    <w:rsid w:val="00711767"/>
    <w:rsid w:val="007117AD"/>
    <w:rsid w:val="00714243"/>
    <w:rsid w:val="00715DA0"/>
    <w:rsid w:val="007173D6"/>
    <w:rsid w:val="00720355"/>
    <w:rsid w:val="00720D16"/>
    <w:rsid w:val="00725A91"/>
    <w:rsid w:val="0072607A"/>
    <w:rsid w:val="00726357"/>
    <w:rsid w:val="0073023D"/>
    <w:rsid w:val="00730243"/>
    <w:rsid w:val="0073031E"/>
    <w:rsid w:val="00732899"/>
    <w:rsid w:val="00732F75"/>
    <w:rsid w:val="00733047"/>
    <w:rsid w:val="007331E0"/>
    <w:rsid w:val="007365D4"/>
    <w:rsid w:val="0073700F"/>
    <w:rsid w:val="00737953"/>
    <w:rsid w:val="007504F2"/>
    <w:rsid w:val="0075301C"/>
    <w:rsid w:val="007538DD"/>
    <w:rsid w:val="00754B43"/>
    <w:rsid w:val="00755486"/>
    <w:rsid w:val="00760C34"/>
    <w:rsid w:val="00763141"/>
    <w:rsid w:val="00765223"/>
    <w:rsid w:val="00765B52"/>
    <w:rsid w:val="00766B5C"/>
    <w:rsid w:val="00771D52"/>
    <w:rsid w:val="007760CE"/>
    <w:rsid w:val="00781C6B"/>
    <w:rsid w:val="00782CE9"/>
    <w:rsid w:val="00784AA2"/>
    <w:rsid w:val="00785EE1"/>
    <w:rsid w:val="00785F4A"/>
    <w:rsid w:val="007925DA"/>
    <w:rsid w:val="00794000"/>
    <w:rsid w:val="00795E04"/>
    <w:rsid w:val="00795F28"/>
    <w:rsid w:val="0079733E"/>
    <w:rsid w:val="007A17B2"/>
    <w:rsid w:val="007A5120"/>
    <w:rsid w:val="007A51F9"/>
    <w:rsid w:val="007A544A"/>
    <w:rsid w:val="007A546B"/>
    <w:rsid w:val="007A6AB9"/>
    <w:rsid w:val="007A7DE0"/>
    <w:rsid w:val="007B16CA"/>
    <w:rsid w:val="007B1DF5"/>
    <w:rsid w:val="007B32E8"/>
    <w:rsid w:val="007B513E"/>
    <w:rsid w:val="007B556A"/>
    <w:rsid w:val="007B5D03"/>
    <w:rsid w:val="007B6681"/>
    <w:rsid w:val="007B6A08"/>
    <w:rsid w:val="007C1069"/>
    <w:rsid w:val="007C1E1C"/>
    <w:rsid w:val="007C4AD5"/>
    <w:rsid w:val="007C51C1"/>
    <w:rsid w:val="007C7D67"/>
    <w:rsid w:val="007D3A6A"/>
    <w:rsid w:val="007D658F"/>
    <w:rsid w:val="007E12BB"/>
    <w:rsid w:val="007E24A7"/>
    <w:rsid w:val="007E4970"/>
    <w:rsid w:val="007E4ED1"/>
    <w:rsid w:val="007E5B04"/>
    <w:rsid w:val="007E618F"/>
    <w:rsid w:val="007F0DEC"/>
    <w:rsid w:val="007F4250"/>
    <w:rsid w:val="007F6BD0"/>
    <w:rsid w:val="007F79BE"/>
    <w:rsid w:val="00800661"/>
    <w:rsid w:val="008017B3"/>
    <w:rsid w:val="00802CB0"/>
    <w:rsid w:val="00802D59"/>
    <w:rsid w:val="008053AE"/>
    <w:rsid w:val="00806315"/>
    <w:rsid w:val="0081085D"/>
    <w:rsid w:val="0081297C"/>
    <w:rsid w:val="00814741"/>
    <w:rsid w:val="00815015"/>
    <w:rsid w:val="00820B96"/>
    <w:rsid w:val="00823453"/>
    <w:rsid w:val="008257E5"/>
    <w:rsid w:val="00826A96"/>
    <w:rsid w:val="00827424"/>
    <w:rsid w:val="008307A7"/>
    <w:rsid w:val="00830B35"/>
    <w:rsid w:val="00831206"/>
    <w:rsid w:val="00831D60"/>
    <w:rsid w:val="00832CC4"/>
    <w:rsid w:val="0083448F"/>
    <w:rsid w:val="00836AC7"/>
    <w:rsid w:val="00841A89"/>
    <w:rsid w:val="00846F78"/>
    <w:rsid w:val="00850221"/>
    <w:rsid w:val="00850251"/>
    <w:rsid w:val="00852422"/>
    <w:rsid w:val="0085330D"/>
    <w:rsid w:val="008538DC"/>
    <w:rsid w:val="0085571F"/>
    <w:rsid w:val="00861527"/>
    <w:rsid w:val="00861AB0"/>
    <w:rsid w:val="00864C5F"/>
    <w:rsid w:val="00865F45"/>
    <w:rsid w:val="00867926"/>
    <w:rsid w:val="008738ED"/>
    <w:rsid w:val="0087613D"/>
    <w:rsid w:val="00876EBE"/>
    <w:rsid w:val="008810D8"/>
    <w:rsid w:val="008817AB"/>
    <w:rsid w:val="008826DC"/>
    <w:rsid w:val="00885BDA"/>
    <w:rsid w:val="0088783B"/>
    <w:rsid w:val="00892A7C"/>
    <w:rsid w:val="00893B84"/>
    <w:rsid w:val="00894346"/>
    <w:rsid w:val="00895C22"/>
    <w:rsid w:val="00896366"/>
    <w:rsid w:val="00897E93"/>
    <w:rsid w:val="008A009C"/>
    <w:rsid w:val="008A01D0"/>
    <w:rsid w:val="008A0213"/>
    <w:rsid w:val="008A3FE7"/>
    <w:rsid w:val="008A5140"/>
    <w:rsid w:val="008A7379"/>
    <w:rsid w:val="008A7A13"/>
    <w:rsid w:val="008B0970"/>
    <w:rsid w:val="008B12B2"/>
    <w:rsid w:val="008B19AE"/>
    <w:rsid w:val="008C1E21"/>
    <w:rsid w:val="008C2916"/>
    <w:rsid w:val="008C2D6D"/>
    <w:rsid w:val="008C44A9"/>
    <w:rsid w:val="008C50B1"/>
    <w:rsid w:val="008C59F9"/>
    <w:rsid w:val="008C6984"/>
    <w:rsid w:val="008C69AB"/>
    <w:rsid w:val="008C7571"/>
    <w:rsid w:val="008D0E13"/>
    <w:rsid w:val="008D146B"/>
    <w:rsid w:val="008D170A"/>
    <w:rsid w:val="008D5E09"/>
    <w:rsid w:val="008D63A0"/>
    <w:rsid w:val="008D747E"/>
    <w:rsid w:val="008E1D34"/>
    <w:rsid w:val="008E2E1B"/>
    <w:rsid w:val="008E340C"/>
    <w:rsid w:val="008E430E"/>
    <w:rsid w:val="008E55E7"/>
    <w:rsid w:val="008E5AE6"/>
    <w:rsid w:val="008E6033"/>
    <w:rsid w:val="008F0CDD"/>
    <w:rsid w:val="008F1533"/>
    <w:rsid w:val="008F15C5"/>
    <w:rsid w:val="008F18AE"/>
    <w:rsid w:val="008F39DD"/>
    <w:rsid w:val="00906015"/>
    <w:rsid w:val="0091101D"/>
    <w:rsid w:val="0091207E"/>
    <w:rsid w:val="0091257D"/>
    <w:rsid w:val="00912E4B"/>
    <w:rsid w:val="00913B98"/>
    <w:rsid w:val="00913BB1"/>
    <w:rsid w:val="009155F3"/>
    <w:rsid w:val="009167B2"/>
    <w:rsid w:val="00916BDE"/>
    <w:rsid w:val="00916E45"/>
    <w:rsid w:val="00917BB5"/>
    <w:rsid w:val="00921419"/>
    <w:rsid w:val="00923A28"/>
    <w:rsid w:val="009256B0"/>
    <w:rsid w:val="00925AFE"/>
    <w:rsid w:val="009262AF"/>
    <w:rsid w:val="00927F6B"/>
    <w:rsid w:val="00930C52"/>
    <w:rsid w:val="00931031"/>
    <w:rsid w:val="00931E6F"/>
    <w:rsid w:val="009326F5"/>
    <w:rsid w:val="00934770"/>
    <w:rsid w:val="009358BC"/>
    <w:rsid w:val="009367A1"/>
    <w:rsid w:val="009418D5"/>
    <w:rsid w:val="00943D30"/>
    <w:rsid w:val="00947607"/>
    <w:rsid w:val="0095195A"/>
    <w:rsid w:val="009521FE"/>
    <w:rsid w:val="00952823"/>
    <w:rsid w:val="00952983"/>
    <w:rsid w:val="009537BB"/>
    <w:rsid w:val="00954EF4"/>
    <w:rsid w:val="009557BA"/>
    <w:rsid w:val="00957864"/>
    <w:rsid w:val="00961941"/>
    <w:rsid w:val="00961C01"/>
    <w:rsid w:val="00962A7D"/>
    <w:rsid w:val="00963D23"/>
    <w:rsid w:val="00966126"/>
    <w:rsid w:val="00967E86"/>
    <w:rsid w:val="009704C9"/>
    <w:rsid w:val="0097070C"/>
    <w:rsid w:val="00971658"/>
    <w:rsid w:val="00971F87"/>
    <w:rsid w:val="00973FB4"/>
    <w:rsid w:val="00974CC9"/>
    <w:rsid w:val="0097798D"/>
    <w:rsid w:val="00980D67"/>
    <w:rsid w:val="009812D7"/>
    <w:rsid w:val="0098289F"/>
    <w:rsid w:val="00985B6D"/>
    <w:rsid w:val="00985F58"/>
    <w:rsid w:val="0098640D"/>
    <w:rsid w:val="00990188"/>
    <w:rsid w:val="0099023B"/>
    <w:rsid w:val="00991697"/>
    <w:rsid w:val="00992666"/>
    <w:rsid w:val="00993307"/>
    <w:rsid w:val="00996937"/>
    <w:rsid w:val="009A4C64"/>
    <w:rsid w:val="009A5B51"/>
    <w:rsid w:val="009B1B44"/>
    <w:rsid w:val="009B2A25"/>
    <w:rsid w:val="009B31DD"/>
    <w:rsid w:val="009B5411"/>
    <w:rsid w:val="009B54D7"/>
    <w:rsid w:val="009B7131"/>
    <w:rsid w:val="009C5C85"/>
    <w:rsid w:val="009C60AB"/>
    <w:rsid w:val="009D01F6"/>
    <w:rsid w:val="009D01FD"/>
    <w:rsid w:val="009D2052"/>
    <w:rsid w:val="009D2968"/>
    <w:rsid w:val="009D2CE5"/>
    <w:rsid w:val="009D5174"/>
    <w:rsid w:val="009E4318"/>
    <w:rsid w:val="009E4A73"/>
    <w:rsid w:val="009E5D82"/>
    <w:rsid w:val="009E6061"/>
    <w:rsid w:val="009E7E77"/>
    <w:rsid w:val="009F03CD"/>
    <w:rsid w:val="009F0D34"/>
    <w:rsid w:val="009F4C1C"/>
    <w:rsid w:val="009F5C11"/>
    <w:rsid w:val="009F775A"/>
    <w:rsid w:val="00A03BD6"/>
    <w:rsid w:val="00A04BE6"/>
    <w:rsid w:val="00A069CF"/>
    <w:rsid w:val="00A12F3E"/>
    <w:rsid w:val="00A138DD"/>
    <w:rsid w:val="00A14EFF"/>
    <w:rsid w:val="00A171A4"/>
    <w:rsid w:val="00A17BF9"/>
    <w:rsid w:val="00A2434F"/>
    <w:rsid w:val="00A262AE"/>
    <w:rsid w:val="00A27039"/>
    <w:rsid w:val="00A35D77"/>
    <w:rsid w:val="00A4056C"/>
    <w:rsid w:val="00A42544"/>
    <w:rsid w:val="00A45475"/>
    <w:rsid w:val="00A45A1F"/>
    <w:rsid w:val="00A51F0E"/>
    <w:rsid w:val="00A523E2"/>
    <w:rsid w:val="00A53BB4"/>
    <w:rsid w:val="00A55453"/>
    <w:rsid w:val="00A5597F"/>
    <w:rsid w:val="00A56B28"/>
    <w:rsid w:val="00A572CF"/>
    <w:rsid w:val="00A60077"/>
    <w:rsid w:val="00A645B9"/>
    <w:rsid w:val="00A649FC"/>
    <w:rsid w:val="00A65346"/>
    <w:rsid w:val="00A65AD9"/>
    <w:rsid w:val="00A66B66"/>
    <w:rsid w:val="00A67B77"/>
    <w:rsid w:val="00A701AB"/>
    <w:rsid w:val="00A71B86"/>
    <w:rsid w:val="00A73089"/>
    <w:rsid w:val="00A7320A"/>
    <w:rsid w:val="00A7715E"/>
    <w:rsid w:val="00A7758F"/>
    <w:rsid w:val="00A82225"/>
    <w:rsid w:val="00A86935"/>
    <w:rsid w:val="00A879EC"/>
    <w:rsid w:val="00A87BC6"/>
    <w:rsid w:val="00A90DC9"/>
    <w:rsid w:val="00A93288"/>
    <w:rsid w:val="00A94018"/>
    <w:rsid w:val="00A95DEA"/>
    <w:rsid w:val="00A96F17"/>
    <w:rsid w:val="00AA38AD"/>
    <w:rsid w:val="00AA3C11"/>
    <w:rsid w:val="00AA4581"/>
    <w:rsid w:val="00AA502D"/>
    <w:rsid w:val="00AA772E"/>
    <w:rsid w:val="00AB35EA"/>
    <w:rsid w:val="00AB6AE2"/>
    <w:rsid w:val="00AC085F"/>
    <w:rsid w:val="00AC19F3"/>
    <w:rsid w:val="00AC1B25"/>
    <w:rsid w:val="00AC770D"/>
    <w:rsid w:val="00AD0259"/>
    <w:rsid w:val="00AD0557"/>
    <w:rsid w:val="00AD3128"/>
    <w:rsid w:val="00AD391C"/>
    <w:rsid w:val="00AD4171"/>
    <w:rsid w:val="00AD5C27"/>
    <w:rsid w:val="00AD62FF"/>
    <w:rsid w:val="00AD6475"/>
    <w:rsid w:val="00AE0236"/>
    <w:rsid w:val="00AE1769"/>
    <w:rsid w:val="00AE1AED"/>
    <w:rsid w:val="00AE1C69"/>
    <w:rsid w:val="00AE2301"/>
    <w:rsid w:val="00AE32CD"/>
    <w:rsid w:val="00AE7030"/>
    <w:rsid w:val="00AF0091"/>
    <w:rsid w:val="00AF135C"/>
    <w:rsid w:val="00AF1EB2"/>
    <w:rsid w:val="00AF28F2"/>
    <w:rsid w:val="00AF66A2"/>
    <w:rsid w:val="00AF6BD6"/>
    <w:rsid w:val="00AF6FA5"/>
    <w:rsid w:val="00B011F5"/>
    <w:rsid w:val="00B01BF7"/>
    <w:rsid w:val="00B03AB0"/>
    <w:rsid w:val="00B059A5"/>
    <w:rsid w:val="00B06805"/>
    <w:rsid w:val="00B07205"/>
    <w:rsid w:val="00B10351"/>
    <w:rsid w:val="00B1267C"/>
    <w:rsid w:val="00B12EAC"/>
    <w:rsid w:val="00B16280"/>
    <w:rsid w:val="00B168F9"/>
    <w:rsid w:val="00B17C21"/>
    <w:rsid w:val="00B232CD"/>
    <w:rsid w:val="00B24CE2"/>
    <w:rsid w:val="00B2540B"/>
    <w:rsid w:val="00B27D36"/>
    <w:rsid w:val="00B3686A"/>
    <w:rsid w:val="00B405DE"/>
    <w:rsid w:val="00B4150E"/>
    <w:rsid w:val="00B41753"/>
    <w:rsid w:val="00B42DEC"/>
    <w:rsid w:val="00B44320"/>
    <w:rsid w:val="00B51A52"/>
    <w:rsid w:val="00B51E7C"/>
    <w:rsid w:val="00B53962"/>
    <w:rsid w:val="00B540F7"/>
    <w:rsid w:val="00B54A79"/>
    <w:rsid w:val="00B55328"/>
    <w:rsid w:val="00B57553"/>
    <w:rsid w:val="00B57F9E"/>
    <w:rsid w:val="00B610BF"/>
    <w:rsid w:val="00B61C6E"/>
    <w:rsid w:val="00B62B57"/>
    <w:rsid w:val="00B6392D"/>
    <w:rsid w:val="00B64BCC"/>
    <w:rsid w:val="00B64D27"/>
    <w:rsid w:val="00B65065"/>
    <w:rsid w:val="00B654BD"/>
    <w:rsid w:val="00B65FEE"/>
    <w:rsid w:val="00B67143"/>
    <w:rsid w:val="00B71C51"/>
    <w:rsid w:val="00B724AC"/>
    <w:rsid w:val="00B73755"/>
    <w:rsid w:val="00B76681"/>
    <w:rsid w:val="00B76E92"/>
    <w:rsid w:val="00B80915"/>
    <w:rsid w:val="00B82936"/>
    <w:rsid w:val="00B8298F"/>
    <w:rsid w:val="00B844EC"/>
    <w:rsid w:val="00B91838"/>
    <w:rsid w:val="00B954C5"/>
    <w:rsid w:val="00B962BC"/>
    <w:rsid w:val="00B9764F"/>
    <w:rsid w:val="00BA0CA4"/>
    <w:rsid w:val="00BA199A"/>
    <w:rsid w:val="00BA308A"/>
    <w:rsid w:val="00BA3C6D"/>
    <w:rsid w:val="00BA5D83"/>
    <w:rsid w:val="00BA6BEA"/>
    <w:rsid w:val="00BA6D4A"/>
    <w:rsid w:val="00BA7633"/>
    <w:rsid w:val="00BA7F99"/>
    <w:rsid w:val="00BB4A13"/>
    <w:rsid w:val="00BB51D2"/>
    <w:rsid w:val="00BB6DEB"/>
    <w:rsid w:val="00BC3B5C"/>
    <w:rsid w:val="00BC56F6"/>
    <w:rsid w:val="00BC73E9"/>
    <w:rsid w:val="00BD045C"/>
    <w:rsid w:val="00BD05E6"/>
    <w:rsid w:val="00BD11BC"/>
    <w:rsid w:val="00BD2855"/>
    <w:rsid w:val="00BD5B4B"/>
    <w:rsid w:val="00BD6412"/>
    <w:rsid w:val="00BE030E"/>
    <w:rsid w:val="00BE35E9"/>
    <w:rsid w:val="00BE5914"/>
    <w:rsid w:val="00BE6B35"/>
    <w:rsid w:val="00BE6B37"/>
    <w:rsid w:val="00BE6E56"/>
    <w:rsid w:val="00BE7505"/>
    <w:rsid w:val="00BF229D"/>
    <w:rsid w:val="00BF24F1"/>
    <w:rsid w:val="00BF479F"/>
    <w:rsid w:val="00BF5F69"/>
    <w:rsid w:val="00BF6826"/>
    <w:rsid w:val="00C061AC"/>
    <w:rsid w:val="00C10383"/>
    <w:rsid w:val="00C10905"/>
    <w:rsid w:val="00C13FEA"/>
    <w:rsid w:val="00C14DC4"/>
    <w:rsid w:val="00C15B8B"/>
    <w:rsid w:val="00C16D0C"/>
    <w:rsid w:val="00C17927"/>
    <w:rsid w:val="00C3085F"/>
    <w:rsid w:val="00C316A9"/>
    <w:rsid w:val="00C35EAB"/>
    <w:rsid w:val="00C36616"/>
    <w:rsid w:val="00C36656"/>
    <w:rsid w:val="00C3739C"/>
    <w:rsid w:val="00C4017D"/>
    <w:rsid w:val="00C44B50"/>
    <w:rsid w:val="00C44E02"/>
    <w:rsid w:val="00C4525F"/>
    <w:rsid w:val="00C46FB7"/>
    <w:rsid w:val="00C4781A"/>
    <w:rsid w:val="00C47C1F"/>
    <w:rsid w:val="00C50EF0"/>
    <w:rsid w:val="00C54F72"/>
    <w:rsid w:val="00C65654"/>
    <w:rsid w:val="00C659D1"/>
    <w:rsid w:val="00C65DF3"/>
    <w:rsid w:val="00C66286"/>
    <w:rsid w:val="00C66D44"/>
    <w:rsid w:val="00C71723"/>
    <w:rsid w:val="00C72A29"/>
    <w:rsid w:val="00C72C7F"/>
    <w:rsid w:val="00C72E87"/>
    <w:rsid w:val="00C72EF7"/>
    <w:rsid w:val="00C7550D"/>
    <w:rsid w:val="00C777D6"/>
    <w:rsid w:val="00C77C77"/>
    <w:rsid w:val="00C81510"/>
    <w:rsid w:val="00C82FE2"/>
    <w:rsid w:val="00C845C0"/>
    <w:rsid w:val="00C852B3"/>
    <w:rsid w:val="00C8728D"/>
    <w:rsid w:val="00C903ED"/>
    <w:rsid w:val="00C90466"/>
    <w:rsid w:val="00C935BF"/>
    <w:rsid w:val="00C94760"/>
    <w:rsid w:val="00C96302"/>
    <w:rsid w:val="00C969CB"/>
    <w:rsid w:val="00CA01A1"/>
    <w:rsid w:val="00CA0943"/>
    <w:rsid w:val="00CA16E2"/>
    <w:rsid w:val="00CA5E84"/>
    <w:rsid w:val="00CA781E"/>
    <w:rsid w:val="00CB1745"/>
    <w:rsid w:val="00CB562E"/>
    <w:rsid w:val="00CB6F49"/>
    <w:rsid w:val="00CC0D26"/>
    <w:rsid w:val="00CC0F61"/>
    <w:rsid w:val="00CC16F4"/>
    <w:rsid w:val="00CC42F7"/>
    <w:rsid w:val="00CC4C15"/>
    <w:rsid w:val="00CC7EE1"/>
    <w:rsid w:val="00CD0948"/>
    <w:rsid w:val="00CD228A"/>
    <w:rsid w:val="00CD3504"/>
    <w:rsid w:val="00CD35ED"/>
    <w:rsid w:val="00CD4023"/>
    <w:rsid w:val="00CD599B"/>
    <w:rsid w:val="00CD60A7"/>
    <w:rsid w:val="00CE3730"/>
    <w:rsid w:val="00CE4D0D"/>
    <w:rsid w:val="00CF08A0"/>
    <w:rsid w:val="00CF1C2B"/>
    <w:rsid w:val="00CF2C0B"/>
    <w:rsid w:val="00CF39A6"/>
    <w:rsid w:val="00CF4868"/>
    <w:rsid w:val="00CF523D"/>
    <w:rsid w:val="00D00B5C"/>
    <w:rsid w:val="00D055E8"/>
    <w:rsid w:val="00D0569A"/>
    <w:rsid w:val="00D06085"/>
    <w:rsid w:val="00D06681"/>
    <w:rsid w:val="00D07DA4"/>
    <w:rsid w:val="00D10519"/>
    <w:rsid w:val="00D10C2A"/>
    <w:rsid w:val="00D121D2"/>
    <w:rsid w:val="00D12E0E"/>
    <w:rsid w:val="00D12ECE"/>
    <w:rsid w:val="00D14499"/>
    <w:rsid w:val="00D15B25"/>
    <w:rsid w:val="00D2465A"/>
    <w:rsid w:val="00D269F2"/>
    <w:rsid w:val="00D26A93"/>
    <w:rsid w:val="00D26D16"/>
    <w:rsid w:val="00D27130"/>
    <w:rsid w:val="00D27EA8"/>
    <w:rsid w:val="00D314A9"/>
    <w:rsid w:val="00D34EC1"/>
    <w:rsid w:val="00D40506"/>
    <w:rsid w:val="00D41FB9"/>
    <w:rsid w:val="00D43302"/>
    <w:rsid w:val="00D45170"/>
    <w:rsid w:val="00D46BA7"/>
    <w:rsid w:val="00D508C2"/>
    <w:rsid w:val="00D55C21"/>
    <w:rsid w:val="00D5690C"/>
    <w:rsid w:val="00D5729C"/>
    <w:rsid w:val="00D60B60"/>
    <w:rsid w:val="00D64BE1"/>
    <w:rsid w:val="00D7047C"/>
    <w:rsid w:val="00D7327E"/>
    <w:rsid w:val="00D75B05"/>
    <w:rsid w:val="00D82337"/>
    <w:rsid w:val="00D82DC2"/>
    <w:rsid w:val="00D844E5"/>
    <w:rsid w:val="00D9157E"/>
    <w:rsid w:val="00D949FA"/>
    <w:rsid w:val="00DA0410"/>
    <w:rsid w:val="00DA1F46"/>
    <w:rsid w:val="00DA30E5"/>
    <w:rsid w:val="00DA3133"/>
    <w:rsid w:val="00DA5C7A"/>
    <w:rsid w:val="00DB0974"/>
    <w:rsid w:val="00DB1F15"/>
    <w:rsid w:val="00DB43B6"/>
    <w:rsid w:val="00DB5666"/>
    <w:rsid w:val="00DB7B8F"/>
    <w:rsid w:val="00DC15DC"/>
    <w:rsid w:val="00DC478E"/>
    <w:rsid w:val="00DC47B4"/>
    <w:rsid w:val="00DC4DAA"/>
    <w:rsid w:val="00DC50A5"/>
    <w:rsid w:val="00DC51F9"/>
    <w:rsid w:val="00DC62CB"/>
    <w:rsid w:val="00DD03A0"/>
    <w:rsid w:val="00DD10A2"/>
    <w:rsid w:val="00DD216D"/>
    <w:rsid w:val="00DD6FAE"/>
    <w:rsid w:val="00DD7464"/>
    <w:rsid w:val="00DE3DA2"/>
    <w:rsid w:val="00DE49FF"/>
    <w:rsid w:val="00DE5CED"/>
    <w:rsid w:val="00DE6654"/>
    <w:rsid w:val="00DE74C6"/>
    <w:rsid w:val="00DE7AF7"/>
    <w:rsid w:val="00DF0383"/>
    <w:rsid w:val="00DF08A9"/>
    <w:rsid w:val="00DF4E9B"/>
    <w:rsid w:val="00E00118"/>
    <w:rsid w:val="00E05EB7"/>
    <w:rsid w:val="00E06196"/>
    <w:rsid w:val="00E105F3"/>
    <w:rsid w:val="00E11B12"/>
    <w:rsid w:val="00E13216"/>
    <w:rsid w:val="00E14383"/>
    <w:rsid w:val="00E1492C"/>
    <w:rsid w:val="00E15628"/>
    <w:rsid w:val="00E2033B"/>
    <w:rsid w:val="00E20BCF"/>
    <w:rsid w:val="00E25771"/>
    <w:rsid w:val="00E27F1D"/>
    <w:rsid w:val="00E30315"/>
    <w:rsid w:val="00E30F14"/>
    <w:rsid w:val="00E30FBD"/>
    <w:rsid w:val="00E31B34"/>
    <w:rsid w:val="00E321FA"/>
    <w:rsid w:val="00E328AA"/>
    <w:rsid w:val="00E3377D"/>
    <w:rsid w:val="00E34299"/>
    <w:rsid w:val="00E344BE"/>
    <w:rsid w:val="00E402E6"/>
    <w:rsid w:val="00E40F42"/>
    <w:rsid w:val="00E414A1"/>
    <w:rsid w:val="00E426E4"/>
    <w:rsid w:val="00E444D0"/>
    <w:rsid w:val="00E44840"/>
    <w:rsid w:val="00E458AD"/>
    <w:rsid w:val="00E46498"/>
    <w:rsid w:val="00E51800"/>
    <w:rsid w:val="00E5251B"/>
    <w:rsid w:val="00E52A10"/>
    <w:rsid w:val="00E56D1F"/>
    <w:rsid w:val="00E56D6C"/>
    <w:rsid w:val="00E57AA7"/>
    <w:rsid w:val="00E60722"/>
    <w:rsid w:val="00E63E51"/>
    <w:rsid w:val="00E651EE"/>
    <w:rsid w:val="00E706A2"/>
    <w:rsid w:val="00E7332B"/>
    <w:rsid w:val="00E74177"/>
    <w:rsid w:val="00E76B4B"/>
    <w:rsid w:val="00E82283"/>
    <w:rsid w:val="00E84985"/>
    <w:rsid w:val="00E85920"/>
    <w:rsid w:val="00E85B49"/>
    <w:rsid w:val="00E868B1"/>
    <w:rsid w:val="00E9141D"/>
    <w:rsid w:val="00E9288C"/>
    <w:rsid w:val="00E94978"/>
    <w:rsid w:val="00E95C8B"/>
    <w:rsid w:val="00EA28B9"/>
    <w:rsid w:val="00EA5905"/>
    <w:rsid w:val="00EB5AC8"/>
    <w:rsid w:val="00EC009D"/>
    <w:rsid w:val="00EC1319"/>
    <w:rsid w:val="00EC2626"/>
    <w:rsid w:val="00EC2EC5"/>
    <w:rsid w:val="00EC3606"/>
    <w:rsid w:val="00EC5BD5"/>
    <w:rsid w:val="00EC6988"/>
    <w:rsid w:val="00ED3BFF"/>
    <w:rsid w:val="00ED44A8"/>
    <w:rsid w:val="00ED5402"/>
    <w:rsid w:val="00ED5E9A"/>
    <w:rsid w:val="00EE16BE"/>
    <w:rsid w:val="00EE1D3B"/>
    <w:rsid w:val="00EE2CDF"/>
    <w:rsid w:val="00EF0727"/>
    <w:rsid w:val="00EF72C8"/>
    <w:rsid w:val="00EF742F"/>
    <w:rsid w:val="00F01CE2"/>
    <w:rsid w:val="00F023B5"/>
    <w:rsid w:val="00F11FEF"/>
    <w:rsid w:val="00F13DA1"/>
    <w:rsid w:val="00F22B3D"/>
    <w:rsid w:val="00F25B1B"/>
    <w:rsid w:val="00F25BD0"/>
    <w:rsid w:val="00F27165"/>
    <w:rsid w:val="00F30BB6"/>
    <w:rsid w:val="00F324C5"/>
    <w:rsid w:val="00F3381E"/>
    <w:rsid w:val="00F339B9"/>
    <w:rsid w:val="00F34226"/>
    <w:rsid w:val="00F351BE"/>
    <w:rsid w:val="00F354C6"/>
    <w:rsid w:val="00F3718A"/>
    <w:rsid w:val="00F3762F"/>
    <w:rsid w:val="00F37AA2"/>
    <w:rsid w:val="00F401A8"/>
    <w:rsid w:val="00F4325C"/>
    <w:rsid w:val="00F52259"/>
    <w:rsid w:val="00F538C9"/>
    <w:rsid w:val="00F54EEB"/>
    <w:rsid w:val="00F556CE"/>
    <w:rsid w:val="00F60EE3"/>
    <w:rsid w:val="00F62630"/>
    <w:rsid w:val="00F700A9"/>
    <w:rsid w:val="00F70375"/>
    <w:rsid w:val="00F71148"/>
    <w:rsid w:val="00F71FE1"/>
    <w:rsid w:val="00F7419C"/>
    <w:rsid w:val="00F74483"/>
    <w:rsid w:val="00F745AC"/>
    <w:rsid w:val="00F75D25"/>
    <w:rsid w:val="00F7677C"/>
    <w:rsid w:val="00F77D81"/>
    <w:rsid w:val="00F8060E"/>
    <w:rsid w:val="00F834A4"/>
    <w:rsid w:val="00F871E5"/>
    <w:rsid w:val="00F91F69"/>
    <w:rsid w:val="00F9489A"/>
    <w:rsid w:val="00F950A3"/>
    <w:rsid w:val="00F95257"/>
    <w:rsid w:val="00F95B21"/>
    <w:rsid w:val="00F973A7"/>
    <w:rsid w:val="00F978A2"/>
    <w:rsid w:val="00FA478E"/>
    <w:rsid w:val="00FA5771"/>
    <w:rsid w:val="00FA7885"/>
    <w:rsid w:val="00FB0F45"/>
    <w:rsid w:val="00FB20C2"/>
    <w:rsid w:val="00FB2E53"/>
    <w:rsid w:val="00FB42AB"/>
    <w:rsid w:val="00FB4918"/>
    <w:rsid w:val="00FB7970"/>
    <w:rsid w:val="00FB7E05"/>
    <w:rsid w:val="00FC0125"/>
    <w:rsid w:val="00FC0B53"/>
    <w:rsid w:val="00FC2A5B"/>
    <w:rsid w:val="00FC3124"/>
    <w:rsid w:val="00FC64D6"/>
    <w:rsid w:val="00FC6B4A"/>
    <w:rsid w:val="00FD223F"/>
    <w:rsid w:val="00FD29BC"/>
    <w:rsid w:val="00FD4959"/>
    <w:rsid w:val="00FD5D3A"/>
    <w:rsid w:val="00FE20AA"/>
    <w:rsid w:val="00FE2E00"/>
    <w:rsid w:val="00FE5078"/>
    <w:rsid w:val="00FE5BA1"/>
    <w:rsid w:val="00FE6F3A"/>
    <w:rsid w:val="00FE77F1"/>
    <w:rsid w:val="00FF2217"/>
    <w:rsid w:val="00FF3EC6"/>
    <w:rsid w:val="00FF4CA0"/>
    <w:rsid w:val="00FF679A"/>
    <w:rsid w:val="00FF67C1"/>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Theme="minorHAnsi" w:hAnsi="Calibri Light" w:cs="Calibri Light"/>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a-head-for-hiring_2015-behavioural-science-of-recruitment-and-selection_tcm18-9557.pdf" TargetMode="External"/><Relationship Id="rId13" Type="http://schemas.openxmlformats.org/officeDocument/2006/relationships/hyperlink" Target="https://www.cipd.org/uk/knowledge/factsheets/evidence-based-practice-factsheet/" TargetMode="External"/><Relationship Id="rId18" Type="http://schemas.openxmlformats.org/officeDocument/2006/relationships/chart" Target="charts/chart3.xml"/><Relationship Id="rId26" Type="http://schemas.openxmlformats.org/officeDocument/2006/relationships/hyperlink" Target="https://www.cipd.org/globalassets/media/knowledge/knowledge-hub/guides/hybrid-working-practical-guidance-2021_tcm18-103709.pdf" TargetMode="Externa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hyperlink" Target="https://www.cipd.org/uk/views-and-insights/thought-leadership/insight/evidence-based-profession/" TargetMode="External"/><Relationship Id="rId17" Type="http://schemas.openxmlformats.org/officeDocument/2006/relationships/chart" Target="charts/chart2.xml"/><Relationship Id="rId25" Type="http://schemas.openxmlformats.org/officeDocument/2006/relationships/hyperlink" Target="https://www.cipd.org/uk/knowledge/bitesize-research/diversity-top/"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24"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hyperlink" Target="https://doi.org/10.4324/9780203126851" TargetMode="External"/><Relationship Id="rId23" Type="http://schemas.openxmlformats.org/officeDocument/2006/relationships/chart" Target="charts/chart8.xml"/><Relationship Id="rId28" Type="http://schemas.openxmlformats.org/officeDocument/2006/relationships/hyperlink" Target="https://www.cipd.org/uk/knowledge/guides/planning-hybrid-working/" TargetMode="External"/><Relationship Id="rId10" Type="http://schemas.openxmlformats.org/officeDocument/2006/relationships/hyperlink" Target="https://www.cipd.org/uk/knowledge/podcasts/critical-thinking/" TargetMode="External"/><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hyperlink" Target="https://www.cipd.org/globalassets/media/knowledge/knowledge-hub/reports/human-capital-theory-assessing-the-evidence_tcm18-22292.pdf" TargetMode="External"/><Relationship Id="rId14" Type="http://schemas.openxmlformats.org/officeDocument/2006/relationships/hyperlink" Target="https://hbr.org/1992/01/the-balanced-scorecard-measures-that-drive-performance-2" TargetMode="External"/><Relationship Id="rId22" Type="http://schemas.openxmlformats.org/officeDocument/2006/relationships/chart" Target="charts/chart7.xml"/><Relationship Id="rId27" Type="http://schemas.openxmlformats.org/officeDocument/2006/relationships/hyperlink" Target="https://www.cipd.org/uk/knowledge/factsheets/diversity-factsheet/"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1%20Evidence%20Based%20Practice%20202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4ee182aff8ce823a/CIPD%20Level%205/Evidance%20Based%20Practice/Excel%20Tables%20for%20Assessment%20Brief%202023-20231014/Worksheet%20table%202%20Evidence%20Based%20Practice%202023.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'[Worksheet table 1 Evidence Based Practice 2023.xlsx]Sheet3'!$F$2</c:f>
              <c:strCache>
                <c:ptCount val="1"/>
                <c:pt idx="0">
                  <c:v>Gender Type</c:v>
                </c:pt>
              </c:strCache>
            </c:strRef>
          </c:tx>
          <c:spPr>
            <a:solidFill>
              <a:schemeClr val="accent1"/>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2023.xlsx]Sheet3'!$E$3:$E$5</c:f>
              <c:strCache>
                <c:ptCount val="3"/>
                <c:pt idx="0">
                  <c:v>Female</c:v>
                </c:pt>
                <c:pt idx="1">
                  <c:v>Male</c:v>
                </c:pt>
                <c:pt idx="2">
                  <c:v>Non-binary</c:v>
                </c:pt>
              </c:strCache>
            </c:strRef>
          </c:cat>
          <c:val>
            <c:numRef>
              <c:f>'[Worksheet table 1 Evidence Based Practice 2023.xlsx]Sheet3'!$F$3:$F$5</c:f>
              <c:numCache>
                <c:formatCode>0.00%</c:formatCode>
                <c:ptCount val="3"/>
                <c:pt idx="0">
                  <c:v>0.45</c:v>
                </c:pt>
                <c:pt idx="1">
                  <c:v>0.54</c:v>
                </c:pt>
                <c:pt idx="2">
                  <c:v>0.01</c:v>
                </c:pt>
              </c:numCache>
            </c:numRef>
          </c:val>
          <c:extLst>
            <c:ext xmlns:c16="http://schemas.microsoft.com/office/drawing/2014/chart" uri="{C3380CC4-5D6E-409C-BE32-E72D297353CC}">
              <c16:uniqueId val="{00000000-A881-43FD-B9FA-119CD4EEBB31}"/>
            </c:ext>
          </c:extLst>
        </c:ser>
        <c:dLbls>
          <c:showLegendKey val="0"/>
          <c:showVal val="0"/>
          <c:showCatName val="0"/>
          <c:showSerName val="0"/>
          <c:showPercent val="0"/>
          <c:showBubbleSize val="0"/>
        </c:dLbls>
        <c:gapWidth val="219"/>
        <c:overlap val="-27"/>
        <c:axId val="527540447"/>
        <c:axId val="1251095631"/>
      </c:barChart>
      <c:catAx>
        <c:axId val="5275404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251095631"/>
        <c:crosses val="autoZero"/>
        <c:auto val="1"/>
        <c:lblAlgn val="ctr"/>
        <c:lblOffset val="100"/>
        <c:noMultiLvlLbl val="0"/>
      </c:catAx>
      <c:valAx>
        <c:axId val="125109563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527540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'[Worksheet table 1 Evidence Based Practice 2023.xlsx]Sheet3'!$D$201</c:f>
              <c:strCache>
                <c:ptCount val="1"/>
                <c:pt idx="0">
                  <c:v>Salary Distribution by gender</c:v>
                </c:pt>
              </c:strCache>
            </c:strRef>
          </c:tx>
          <c:spPr>
            <a:solidFill>
              <a:schemeClr val="accent1"/>
            </a:solidFill>
            <a:ln>
              <a:noFill/>
            </a:ln>
            <a:effectLst/>
          </c:spPr>
          <c:invertIfNegative val="0"/>
          <c:dPt>
            <c:idx val="3"/>
            <c:invertIfNegative val="0"/>
            <c:bubble3D val="0"/>
            <c:spPr>
              <a:solidFill>
                <a:srgbClr val="C00000"/>
              </a:solidFill>
              <a:ln>
                <a:noFill/>
              </a:ln>
              <a:effectLst/>
            </c:spPr>
            <c:extLst>
              <c:ext xmlns:c16="http://schemas.microsoft.com/office/drawing/2014/chart" uri="{C3380CC4-5D6E-409C-BE32-E72D297353CC}">
                <c16:uniqueId val="{00000001-2EE2-4B85-9ED1-B4B09537EDC2}"/>
              </c:ext>
            </c:extLst>
          </c:dPt>
          <c:dLbls>
            <c:dLbl>
              <c:idx val="0"/>
              <c:numFmt formatCode="&quot;£&quot;#,##0" sourceLinked="0"/>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20588744588744584"/>
                      <c:h val="0.1598"/>
                    </c:manualLayout>
                  </c15:layout>
                </c:ext>
                <c:ext xmlns:c16="http://schemas.microsoft.com/office/drawing/2014/chart" uri="{C3380CC4-5D6E-409C-BE32-E72D297353CC}">
                  <c16:uniqueId val="{00000002-2EE2-4B85-9ED1-B4B09537EDC2}"/>
                </c:ext>
              </c:extLst>
            </c:dLbl>
            <c:dLbl>
              <c:idx val="1"/>
              <c:layout>
                <c:manualLayout>
                  <c:x val="2.1645021645021655E-2"/>
                  <c:y val="4.9071153172099542E-2"/>
                </c:manualLayout>
              </c:layout>
              <c:showLegendKey val="0"/>
              <c:showVal val="1"/>
              <c:showCatName val="0"/>
              <c:showSerName val="0"/>
              <c:showPercent val="0"/>
              <c:showBubbleSize val="0"/>
              <c:extLst>
                <c:ext xmlns:c15="http://schemas.microsoft.com/office/drawing/2012/chart" uri="{CE6537A1-D6FC-4f65-9D91-7224C49458BB}">
                  <c15:layout>
                    <c:manualLayout>
                      <c:w val="0.21887445887445889"/>
                      <c:h val="0.17504381352961795"/>
                    </c:manualLayout>
                  </c15:layout>
                </c:ext>
                <c:ext xmlns:c16="http://schemas.microsoft.com/office/drawing/2014/chart" uri="{C3380CC4-5D6E-409C-BE32-E72D297353CC}">
                  <c16:uniqueId val="{00000003-2EE2-4B85-9ED1-B4B09537EDC2}"/>
                </c:ext>
              </c:extLst>
            </c:dLbl>
            <c:numFmt formatCode="&quot;£&quot;#,##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2023.xlsx]Sheet3'!$B$202:$B$204</c:f>
              <c:strCache>
                <c:ptCount val="3"/>
                <c:pt idx="0">
                  <c:v>Females</c:v>
                </c:pt>
                <c:pt idx="1">
                  <c:v>Males</c:v>
                </c:pt>
                <c:pt idx="2">
                  <c:v>Non-Binary</c:v>
                </c:pt>
              </c:strCache>
            </c:strRef>
          </c:cat>
          <c:val>
            <c:numRef>
              <c:f>'[Worksheet table 1 Evidence Based Practice 2023.xlsx]Sheet3'!$D$202:$D$204</c:f>
              <c:numCache>
                <c:formatCode>"£"#,##0.00</c:formatCode>
                <c:ptCount val="3"/>
                <c:pt idx="0">
                  <c:v>3764235</c:v>
                </c:pt>
                <c:pt idx="1">
                  <c:v>4453705</c:v>
                </c:pt>
                <c:pt idx="2">
                  <c:v>39000</c:v>
                </c:pt>
              </c:numCache>
            </c:numRef>
          </c:val>
          <c:extLst>
            <c:ext xmlns:c16="http://schemas.microsoft.com/office/drawing/2014/chart" uri="{C3380CC4-5D6E-409C-BE32-E72D297353CC}">
              <c16:uniqueId val="{00000004-2EE2-4B85-9ED1-B4B09537EDC2}"/>
            </c:ext>
          </c:extLst>
        </c:ser>
        <c:dLbls>
          <c:showLegendKey val="0"/>
          <c:showVal val="0"/>
          <c:showCatName val="0"/>
          <c:showSerName val="0"/>
          <c:showPercent val="0"/>
          <c:showBubbleSize val="0"/>
        </c:dLbls>
        <c:gapWidth val="182"/>
        <c:axId val="1256135855"/>
        <c:axId val="913167919"/>
      </c:barChart>
      <c:catAx>
        <c:axId val="12561358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913167919"/>
        <c:crosses val="autoZero"/>
        <c:auto val="1"/>
        <c:lblAlgn val="ctr"/>
        <c:lblOffset val="100"/>
        <c:noMultiLvlLbl val="0"/>
      </c:catAx>
      <c:valAx>
        <c:axId val="913167919"/>
        <c:scaling>
          <c:orientation val="minMax"/>
        </c:scaling>
        <c:delete val="0"/>
        <c:axPos val="l"/>
        <c:majorGridlines>
          <c:spPr>
            <a:ln w="9525" cap="flat" cmpd="sng" algn="ctr">
              <a:solidFill>
                <a:schemeClr val="tx1">
                  <a:lumMod val="15000"/>
                  <a:lumOff val="85000"/>
                </a:schemeClr>
              </a:solidFill>
              <a:round/>
            </a:ln>
            <a:effectLst/>
          </c:spPr>
        </c:majorGridlines>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2561358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'[Worksheet table 1 Evidence Based Practice 2023.xlsx]Sheet3'!$C$201</c:f>
              <c:strCache>
                <c:ptCount val="1"/>
                <c:pt idx="0">
                  <c:v>Average Salary per gender</c:v>
                </c:pt>
              </c:strCache>
            </c:strRef>
          </c:tx>
          <c:spPr>
            <a:solidFill>
              <a:schemeClr val="accent1"/>
            </a:solidFill>
            <a:ln>
              <a:noFill/>
            </a:ln>
            <a:effectLst/>
          </c:spPr>
          <c:invertIfNegative val="0"/>
          <c:dPt>
            <c:idx val="3"/>
            <c:invertIfNegative val="0"/>
            <c:bubble3D val="0"/>
            <c:spPr>
              <a:solidFill>
                <a:srgbClr val="C00000"/>
              </a:solidFill>
              <a:ln>
                <a:noFill/>
              </a:ln>
              <a:effectLst/>
            </c:spPr>
            <c:extLst>
              <c:ext xmlns:c16="http://schemas.microsoft.com/office/drawing/2014/chart" uri="{C3380CC4-5D6E-409C-BE32-E72D297353CC}">
                <c16:uniqueId val="{00000001-C003-4C9A-85DB-4C5CAF09218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2023.xlsx]Sheet3'!$B$202:$B$205</c:f>
              <c:strCache>
                <c:ptCount val="4"/>
                <c:pt idx="0">
                  <c:v>Females</c:v>
                </c:pt>
                <c:pt idx="1">
                  <c:v>Males</c:v>
                </c:pt>
                <c:pt idx="2">
                  <c:v>Non-Binary</c:v>
                </c:pt>
                <c:pt idx="3">
                  <c:v>Average Salary</c:v>
                </c:pt>
              </c:strCache>
            </c:strRef>
          </c:cat>
          <c:val>
            <c:numRef>
              <c:f>'[Worksheet table 1 Evidence Based Practice 2023.xlsx]Sheet3'!$C$202:$C$205</c:f>
              <c:numCache>
                <c:formatCode>"£"#,##0.00</c:formatCode>
                <c:ptCount val="4"/>
                <c:pt idx="0">
                  <c:v>31900.3</c:v>
                </c:pt>
                <c:pt idx="1">
                  <c:v>31812.18</c:v>
                </c:pt>
                <c:pt idx="2">
                  <c:v>19500</c:v>
                </c:pt>
                <c:pt idx="3">
                  <c:v>31757.46</c:v>
                </c:pt>
              </c:numCache>
            </c:numRef>
          </c:val>
          <c:extLst>
            <c:ext xmlns:c16="http://schemas.microsoft.com/office/drawing/2014/chart" uri="{C3380CC4-5D6E-409C-BE32-E72D297353CC}">
              <c16:uniqueId val="{00000002-C003-4C9A-85DB-4C5CAF092181}"/>
            </c:ext>
          </c:extLst>
        </c:ser>
        <c:dLbls>
          <c:showLegendKey val="0"/>
          <c:showVal val="0"/>
          <c:showCatName val="0"/>
          <c:showSerName val="0"/>
          <c:showPercent val="0"/>
          <c:showBubbleSize val="0"/>
        </c:dLbls>
        <c:gapWidth val="182"/>
        <c:axId val="1256135855"/>
        <c:axId val="913167919"/>
      </c:barChart>
      <c:catAx>
        <c:axId val="1256135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913167919"/>
        <c:crosses val="autoZero"/>
        <c:auto val="1"/>
        <c:lblAlgn val="ctr"/>
        <c:lblOffset val="100"/>
        <c:noMultiLvlLbl val="0"/>
      </c:catAx>
      <c:valAx>
        <c:axId val="913167919"/>
        <c:scaling>
          <c:orientation val="minMax"/>
        </c:scaling>
        <c:delete val="0"/>
        <c:axPos val="b"/>
        <c:majorGridlines>
          <c:spPr>
            <a:ln w="9525" cap="flat" cmpd="sng" algn="ctr">
              <a:solidFill>
                <a:schemeClr val="tx1">
                  <a:lumMod val="15000"/>
                  <a:lumOff val="85000"/>
                </a:schemeClr>
              </a:solidFill>
              <a:round/>
            </a:ln>
            <a:effectLst/>
          </c:spPr>
        </c:majorGridlines>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2561358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US" b="1">
                <a:solidFill>
                  <a:sysClr val="windowText" lastClr="000000"/>
                </a:solidFill>
              </a:rPr>
              <a:t>Potential</a:t>
            </a:r>
            <a:r>
              <a:rPr lang="en-US" b="1" baseline="0">
                <a:solidFill>
                  <a:sysClr val="windowText" lastClr="000000"/>
                </a:solidFill>
              </a:rPr>
              <a:t> occupational segregation</a:t>
            </a:r>
            <a:endParaRPr lang="en-US"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percentStacked"/>
        <c:varyColors val="0"/>
        <c:ser>
          <c:idx val="0"/>
          <c:order val="0"/>
          <c:tx>
            <c:strRef>
              <c:f>'[Worksheet table 1 Evidence Based Practice 2023.xlsx]Sheet5'!$K$10</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2023.xlsx]Sheet5'!$J$11:$J$19</c:f>
              <c:strCache>
                <c:ptCount val="9"/>
                <c:pt idx="0">
                  <c:v>Customer Services Advisor</c:v>
                </c:pt>
                <c:pt idx="1">
                  <c:v>Green Space Operative </c:v>
                </c:pt>
                <c:pt idx="2">
                  <c:v>Lettings Assistant</c:v>
                </c:pt>
                <c:pt idx="3">
                  <c:v>Trades Operative (Electrical)</c:v>
                </c:pt>
                <c:pt idx="4">
                  <c:v>Trades Operative (External Works)</c:v>
                </c:pt>
                <c:pt idx="5">
                  <c:v>Trades Operative (Gas)</c:v>
                </c:pt>
                <c:pt idx="6">
                  <c:v>Trades Operative (Joinery)</c:v>
                </c:pt>
                <c:pt idx="7">
                  <c:v>Trades Operative (Painting)</c:v>
                </c:pt>
                <c:pt idx="8">
                  <c:v>Trades Supervisor</c:v>
                </c:pt>
              </c:strCache>
            </c:strRef>
          </c:cat>
          <c:val>
            <c:numRef>
              <c:f>'[Worksheet table 1 Evidence Based Practice 2023.xlsx]Sheet5'!$K$11:$K$19</c:f>
              <c:numCache>
                <c:formatCode>General</c:formatCode>
                <c:ptCount val="9"/>
                <c:pt idx="0" formatCode="0%">
                  <c:v>0.8</c:v>
                </c:pt>
                <c:pt idx="2" formatCode="0%">
                  <c:v>0.2</c:v>
                </c:pt>
                <c:pt idx="6" formatCode="0.00%">
                  <c:v>7.4999999999999997E-2</c:v>
                </c:pt>
              </c:numCache>
            </c:numRef>
          </c:val>
          <c:extLst>
            <c:ext xmlns:c16="http://schemas.microsoft.com/office/drawing/2014/chart" uri="{C3380CC4-5D6E-409C-BE32-E72D297353CC}">
              <c16:uniqueId val="{00000000-6676-426B-BFB1-EBC67AC7DA65}"/>
            </c:ext>
          </c:extLst>
        </c:ser>
        <c:ser>
          <c:idx val="1"/>
          <c:order val="1"/>
          <c:tx>
            <c:strRef>
              <c:f>'[Worksheet table 1 Evidence Based Practice 2023.xlsx]Sheet5'!$L$10</c:f>
              <c:strCache>
                <c:ptCount val="1"/>
                <c:pt idx="0">
                  <c:v>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2023.xlsx]Sheet5'!$J$11:$J$19</c:f>
              <c:strCache>
                <c:ptCount val="9"/>
                <c:pt idx="0">
                  <c:v>Customer Services Advisor</c:v>
                </c:pt>
                <c:pt idx="1">
                  <c:v>Green Space Operative </c:v>
                </c:pt>
                <c:pt idx="2">
                  <c:v>Lettings Assistant</c:v>
                </c:pt>
                <c:pt idx="3">
                  <c:v>Trades Operative (Electrical)</c:v>
                </c:pt>
                <c:pt idx="4">
                  <c:v>Trades Operative (External Works)</c:v>
                </c:pt>
                <c:pt idx="5">
                  <c:v>Trades Operative (Gas)</c:v>
                </c:pt>
                <c:pt idx="6">
                  <c:v>Trades Operative (Joinery)</c:v>
                </c:pt>
                <c:pt idx="7">
                  <c:v>Trades Operative (Painting)</c:v>
                </c:pt>
                <c:pt idx="8">
                  <c:v>Trades Supervisor</c:v>
                </c:pt>
              </c:strCache>
            </c:strRef>
          </c:cat>
          <c:val>
            <c:numRef>
              <c:f>'[Worksheet table 1 Evidence Based Practice 2023.xlsx]Sheet5'!$L$11:$L$19</c:f>
              <c:numCache>
                <c:formatCode>0%</c:formatCode>
                <c:ptCount val="9"/>
                <c:pt idx="0">
                  <c:v>0.2</c:v>
                </c:pt>
                <c:pt idx="1">
                  <c:v>1</c:v>
                </c:pt>
                <c:pt idx="2">
                  <c:v>0.8</c:v>
                </c:pt>
                <c:pt idx="3">
                  <c:v>1</c:v>
                </c:pt>
                <c:pt idx="4">
                  <c:v>1</c:v>
                </c:pt>
                <c:pt idx="5">
                  <c:v>1</c:v>
                </c:pt>
                <c:pt idx="6" formatCode="0.00%">
                  <c:v>0.92500000000000004</c:v>
                </c:pt>
                <c:pt idx="7">
                  <c:v>1</c:v>
                </c:pt>
                <c:pt idx="8">
                  <c:v>1</c:v>
                </c:pt>
              </c:numCache>
            </c:numRef>
          </c:val>
          <c:extLst>
            <c:ext xmlns:c16="http://schemas.microsoft.com/office/drawing/2014/chart" uri="{C3380CC4-5D6E-409C-BE32-E72D297353CC}">
              <c16:uniqueId val="{00000001-6676-426B-BFB1-EBC67AC7DA65}"/>
            </c:ext>
          </c:extLst>
        </c:ser>
        <c:dLbls>
          <c:showLegendKey val="0"/>
          <c:showVal val="0"/>
          <c:showCatName val="0"/>
          <c:showSerName val="0"/>
          <c:showPercent val="0"/>
          <c:showBubbleSize val="0"/>
        </c:dLbls>
        <c:gapWidth val="219"/>
        <c:overlap val="100"/>
        <c:axId val="546195951"/>
        <c:axId val="2060079695"/>
      </c:barChart>
      <c:catAx>
        <c:axId val="546195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060079695"/>
        <c:crosses val="autoZero"/>
        <c:auto val="1"/>
        <c:lblAlgn val="ctr"/>
        <c:lblOffset val="100"/>
        <c:noMultiLvlLbl val="0"/>
      </c:catAx>
      <c:valAx>
        <c:axId val="206007969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46195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r>
              <a:rPr lang="en-GB" sz="1200" b="1">
                <a:solidFill>
                  <a:sysClr val="windowText" lastClr="000000"/>
                </a:solidFill>
              </a:rPr>
              <a:t>Ethnicity per Team</a:t>
            </a:r>
          </a:p>
        </c:rich>
      </c:tx>
      <c:layout>
        <c:manualLayout>
          <c:xMode val="edge"/>
          <c:yMode val="edge"/>
          <c:x val="0.39119275139151288"/>
          <c:y val="5.5555555555555558E-3"/>
        </c:manualLayout>
      </c:layout>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6.4967831764931816E-2"/>
          <c:y val="0.10843126693853822"/>
          <c:w val="0.74849529479546761"/>
          <c:h val="0.62512975351765254"/>
        </c:manualLayout>
      </c:layout>
      <c:barChart>
        <c:barDir val="col"/>
        <c:grouping val="stacked"/>
        <c:varyColors val="0"/>
        <c:ser>
          <c:idx val="0"/>
          <c:order val="0"/>
          <c:tx>
            <c:strRef>
              <c:f>'[Worksheet table 1 Evidence Based Practice 2023.xlsx]Sheet3'!$C$35</c:f>
              <c:strCache>
                <c:ptCount val="1"/>
                <c:pt idx="0">
                  <c:v>Asian - Bangladesh</c:v>
                </c:pt>
              </c:strCache>
            </c:strRef>
          </c:tx>
          <c:spPr>
            <a:solidFill>
              <a:schemeClr val="accent1"/>
            </a:solidFill>
            <a:ln>
              <a:noFill/>
            </a:ln>
            <a:effectLst/>
          </c:spPr>
          <c:invertIfNegative val="0"/>
          <c:dLbls>
            <c:dLbl>
              <c:idx val="8"/>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2023.xlsx]Sheet3'!$C$36:$C$53</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5041-4AE1-83F2-E496F9B47C49}"/>
            </c:ext>
          </c:extLst>
        </c:ser>
        <c:ser>
          <c:idx val="1"/>
          <c:order val="1"/>
          <c:tx>
            <c:strRef>
              <c:f>'[Worksheet table 1 Evidence Based Practice 2023.xlsx]Sheet3'!$D$35</c:f>
              <c:strCache>
                <c:ptCount val="1"/>
                <c:pt idx="0">
                  <c:v>Black - Other</c:v>
                </c:pt>
              </c:strCache>
            </c:strRef>
          </c:tx>
          <c:spPr>
            <a:solidFill>
              <a:schemeClr val="accent2"/>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2-5041-4AE1-83F2-E496F9B47C49}"/>
                </c:ext>
              </c:extLst>
            </c:dLbl>
            <c:dLbl>
              <c:idx val="1"/>
              <c:delete val="1"/>
              <c:extLst>
                <c:ext xmlns:c15="http://schemas.microsoft.com/office/drawing/2012/chart" uri="{CE6537A1-D6FC-4f65-9D91-7224C49458BB}"/>
                <c:ext xmlns:c16="http://schemas.microsoft.com/office/drawing/2014/chart" uri="{C3380CC4-5D6E-409C-BE32-E72D297353CC}">
                  <c16:uniqueId val="{00000003-5041-4AE1-83F2-E496F9B47C49}"/>
                </c:ext>
              </c:extLst>
            </c:dLbl>
            <c:dLbl>
              <c:idx val="2"/>
              <c:delete val="1"/>
              <c:extLst>
                <c:ext xmlns:c15="http://schemas.microsoft.com/office/drawing/2012/chart" uri="{CE6537A1-D6FC-4f65-9D91-7224C49458BB}"/>
                <c:ext xmlns:c16="http://schemas.microsoft.com/office/drawing/2014/chart" uri="{C3380CC4-5D6E-409C-BE32-E72D297353CC}">
                  <c16:uniqueId val="{00000004-5041-4AE1-83F2-E496F9B47C49}"/>
                </c:ext>
              </c:extLst>
            </c:dLbl>
            <c:dLbl>
              <c:idx val="3"/>
              <c:delete val="1"/>
              <c:extLst>
                <c:ext xmlns:c15="http://schemas.microsoft.com/office/drawing/2012/chart" uri="{CE6537A1-D6FC-4f65-9D91-7224C49458BB}"/>
                <c:ext xmlns:c16="http://schemas.microsoft.com/office/drawing/2014/chart" uri="{C3380CC4-5D6E-409C-BE32-E72D297353CC}">
                  <c16:uniqueId val="{00000005-5041-4AE1-83F2-E496F9B47C49}"/>
                </c:ext>
              </c:extLst>
            </c:dLbl>
            <c:dLbl>
              <c:idx val="4"/>
              <c:delete val="1"/>
              <c:extLst>
                <c:ext xmlns:c15="http://schemas.microsoft.com/office/drawing/2012/chart" uri="{CE6537A1-D6FC-4f65-9D91-7224C49458BB}"/>
                <c:ext xmlns:c16="http://schemas.microsoft.com/office/drawing/2014/chart" uri="{C3380CC4-5D6E-409C-BE32-E72D297353CC}">
                  <c16:uniqueId val="{00000006-5041-4AE1-83F2-E496F9B47C49}"/>
                </c:ext>
              </c:extLst>
            </c:dLbl>
            <c:dLbl>
              <c:idx val="6"/>
              <c:delete val="1"/>
              <c:extLst>
                <c:ext xmlns:c15="http://schemas.microsoft.com/office/drawing/2012/chart" uri="{CE6537A1-D6FC-4f65-9D91-7224C49458BB}"/>
                <c:ext xmlns:c16="http://schemas.microsoft.com/office/drawing/2014/chart" uri="{C3380CC4-5D6E-409C-BE32-E72D297353CC}">
                  <c16:uniqueId val="{00000007-5041-4AE1-83F2-E496F9B47C49}"/>
                </c:ext>
              </c:extLst>
            </c:dLbl>
            <c:dLbl>
              <c:idx val="7"/>
              <c:delete val="1"/>
              <c:extLst>
                <c:ext xmlns:c15="http://schemas.microsoft.com/office/drawing/2012/chart" uri="{CE6537A1-D6FC-4f65-9D91-7224C49458BB}"/>
                <c:ext xmlns:c16="http://schemas.microsoft.com/office/drawing/2014/chart" uri="{C3380CC4-5D6E-409C-BE32-E72D297353CC}">
                  <c16:uniqueId val="{00000008-5041-4AE1-83F2-E496F9B47C49}"/>
                </c:ext>
              </c:extLst>
            </c:dLbl>
            <c:dLbl>
              <c:idx val="8"/>
              <c:delete val="1"/>
              <c:extLst>
                <c:ext xmlns:c15="http://schemas.microsoft.com/office/drawing/2012/chart" uri="{CE6537A1-D6FC-4f65-9D91-7224C49458BB}"/>
                <c:ext xmlns:c16="http://schemas.microsoft.com/office/drawing/2014/chart" uri="{C3380CC4-5D6E-409C-BE32-E72D297353CC}">
                  <c16:uniqueId val="{00000009-5041-4AE1-83F2-E496F9B47C49}"/>
                </c:ext>
              </c:extLst>
            </c:dLbl>
            <c:dLbl>
              <c:idx val="9"/>
              <c:delete val="1"/>
              <c:extLst>
                <c:ext xmlns:c15="http://schemas.microsoft.com/office/drawing/2012/chart" uri="{CE6537A1-D6FC-4f65-9D91-7224C49458BB}"/>
                <c:ext xmlns:c16="http://schemas.microsoft.com/office/drawing/2014/chart" uri="{C3380CC4-5D6E-409C-BE32-E72D297353CC}">
                  <c16:uniqueId val="{0000000A-5041-4AE1-83F2-E496F9B47C49}"/>
                </c:ext>
              </c:extLst>
            </c:dLbl>
            <c:dLbl>
              <c:idx val="11"/>
              <c:delete val="1"/>
              <c:extLst>
                <c:ext xmlns:c15="http://schemas.microsoft.com/office/drawing/2012/chart" uri="{CE6537A1-D6FC-4f65-9D91-7224C49458BB}"/>
                <c:ext xmlns:c16="http://schemas.microsoft.com/office/drawing/2014/chart" uri="{C3380CC4-5D6E-409C-BE32-E72D297353CC}">
                  <c16:uniqueId val="{0000000B-5041-4AE1-83F2-E496F9B47C49}"/>
                </c:ext>
              </c:extLst>
            </c:dLbl>
            <c:dLbl>
              <c:idx val="12"/>
              <c:delete val="1"/>
              <c:extLst>
                <c:ext xmlns:c15="http://schemas.microsoft.com/office/drawing/2012/chart" uri="{CE6537A1-D6FC-4f65-9D91-7224C49458BB}"/>
                <c:ext xmlns:c16="http://schemas.microsoft.com/office/drawing/2014/chart" uri="{C3380CC4-5D6E-409C-BE32-E72D297353CC}">
                  <c16:uniqueId val="{0000000C-5041-4AE1-83F2-E496F9B47C49}"/>
                </c:ext>
              </c:extLst>
            </c:dLbl>
            <c:dLbl>
              <c:idx val="13"/>
              <c:delete val="1"/>
              <c:extLst>
                <c:ext xmlns:c15="http://schemas.microsoft.com/office/drawing/2012/chart" uri="{CE6537A1-D6FC-4f65-9D91-7224C49458BB}"/>
                <c:ext xmlns:c16="http://schemas.microsoft.com/office/drawing/2014/chart" uri="{C3380CC4-5D6E-409C-BE32-E72D297353CC}">
                  <c16:uniqueId val="{0000000D-5041-4AE1-83F2-E496F9B47C49}"/>
                </c:ext>
              </c:extLst>
            </c:dLbl>
            <c:dLbl>
              <c:idx val="14"/>
              <c:delete val="1"/>
              <c:extLst>
                <c:ext xmlns:c15="http://schemas.microsoft.com/office/drawing/2012/chart" uri="{CE6537A1-D6FC-4f65-9D91-7224C49458BB}"/>
                <c:ext xmlns:c16="http://schemas.microsoft.com/office/drawing/2014/chart" uri="{C3380CC4-5D6E-409C-BE32-E72D297353CC}">
                  <c16:uniqueId val="{0000000E-5041-4AE1-83F2-E496F9B47C49}"/>
                </c:ext>
              </c:extLst>
            </c:dLbl>
            <c:dLbl>
              <c:idx val="15"/>
              <c:delete val="1"/>
              <c:extLst>
                <c:ext xmlns:c15="http://schemas.microsoft.com/office/drawing/2012/chart" uri="{CE6537A1-D6FC-4f65-9D91-7224C49458BB}"/>
                <c:ext xmlns:c16="http://schemas.microsoft.com/office/drawing/2014/chart" uri="{C3380CC4-5D6E-409C-BE32-E72D297353CC}">
                  <c16:uniqueId val="{0000000F-5041-4AE1-83F2-E496F9B47C49}"/>
                </c:ext>
              </c:extLst>
            </c:dLbl>
            <c:dLbl>
              <c:idx val="16"/>
              <c:delete val="1"/>
              <c:extLst>
                <c:ext xmlns:c15="http://schemas.microsoft.com/office/drawing/2012/chart" uri="{CE6537A1-D6FC-4f65-9D91-7224C49458BB}"/>
                <c:ext xmlns:c16="http://schemas.microsoft.com/office/drawing/2014/chart" uri="{C3380CC4-5D6E-409C-BE32-E72D297353CC}">
                  <c16:uniqueId val="{00000010-5041-4AE1-83F2-E496F9B47C49}"/>
                </c:ext>
              </c:extLst>
            </c:dLbl>
            <c:dLbl>
              <c:idx val="17"/>
              <c:delete val="1"/>
              <c:extLst>
                <c:ext xmlns:c15="http://schemas.microsoft.com/office/drawing/2012/chart" uri="{CE6537A1-D6FC-4f65-9D91-7224C49458BB}"/>
                <c:ext xmlns:c16="http://schemas.microsoft.com/office/drawing/2014/chart" uri="{C3380CC4-5D6E-409C-BE32-E72D297353CC}">
                  <c16:uniqueId val="{00000011-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2023.xlsx]Sheet3'!$D$36:$D$53</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12-5041-4AE1-83F2-E496F9B47C49}"/>
            </c:ext>
          </c:extLst>
        </c:ser>
        <c:ser>
          <c:idx val="2"/>
          <c:order val="2"/>
          <c:tx>
            <c:strRef>
              <c:f>'[Worksheet table 1 Evidence Based Practice 2023.xlsx]Sheet3'!$E$35</c:f>
              <c:strCache>
                <c:ptCount val="1"/>
                <c:pt idx="0">
                  <c:v>Chinese</c:v>
                </c:pt>
              </c:strCache>
            </c:strRef>
          </c:tx>
          <c:spPr>
            <a:solidFill>
              <a:schemeClr val="accent3"/>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13-5041-4AE1-83F2-E496F9B47C49}"/>
                </c:ext>
              </c:extLst>
            </c:dLbl>
            <c:dLbl>
              <c:idx val="1"/>
              <c:delete val="1"/>
              <c:extLst>
                <c:ext xmlns:c15="http://schemas.microsoft.com/office/drawing/2012/chart" uri="{CE6537A1-D6FC-4f65-9D91-7224C49458BB}"/>
                <c:ext xmlns:c16="http://schemas.microsoft.com/office/drawing/2014/chart" uri="{C3380CC4-5D6E-409C-BE32-E72D297353CC}">
                  <c16:uniqueId val="{00000014-5041-4AE1-83F2-E496F9B47C49}"/>
                </c:ext>
              </c:extLst>
            </c:dLbl>
            <c:dLbl>
              <c:idx val="3"/>
              <c:delete val="1"/>
              <c:extLst>
                <c:ext xmlns:c15="http://schemas.microsoft.com/office/drawing/2012/chart" uri="{CE6537A1-D6FC-4f65-9D91-7224C49458BB}"/>
                <c:ext xmlns:c16="http://schemas.microsoft.com/office/drawing/2014/chart" uri="{C3380CC4-5D6E-409C-BE32-E72D297353CC}">
                  <c16:uniqueId val="{00000015-5041-4AE1-83F2-E496F9B47C49}"/>
                </c:ext>
              </c:extLst>
            </c:dLbl>
            <c:dLbl>
              <c:idx val="4"/>
              <c:delete val="1"/>
              <c:extLst>
                <c:ext xmlns:c15="http://schemas.microsoft.com/office/drawing/2012/chart" uri="{CE6537A1-D6FC-4f65-9D91-7224C49458BB}"/>
                <c:ext xmlns:c16="http://schemas.microsoft.com/office/drawing/2014/chart" uri="{C3380CC4-5D6E-409C-BE32-E72D297353CC}">
                  <c16:uniqueId val="{00000016-5041-4AE1-83F2-E496F9B47C49}"/>
                </c:ext>
              </c:extLst>
            </c:dLbl>
            <c:dLbl>
              <c:idx val="5"/>
              <c:delete val="1"/>
              <c:extLst>
                <c:ext xmlns:c15="http://schemas.microsoft.com/office/drawing/2012/chart" uri="{CE6537A1-D6FC-4f65-9D91-7224C49458BB}"/>
                <c:ext xmlns:c16="http://schemas.microsoft.com/office/drawing/2014/chart" uri="{C3380CC4-5D6E-409C-BE32-E72D297353CC}">
                  <c16:uniqueId val="{00000017-5041-4AE1-83F2-E496F9B47C49}"/>
                </c:ext>
              </c:extLst>
            </c:dLbl>
            <c:dLbl>
              <c:idx val="6"/>
              <c:delete val="1"/>
              <c:extLst>
                <c:ext xmlns:c15="http://schemas.microsoft.com/office/drawing/2012/chart" uri="{CE6537A1-D6FC-4f65-9D91-7224C49458BB}"/>
                <c:ext xmlns:c16="http://schemas.microsoft.com/office/drawing/2014/chart" uri="{C3380CC4-5D6E-409C-BE32-E72D297353CC}">
                  <c16:uniqueId val="{00000018-5041-4AE1-83F2-E496F9B47C49}"/>
                </c:ext>
              </c:extLst>
            </c:dLbl>
            <c:dLbl>
              <c:idx val="7"/>
              <c:delete val="1"/>
              <c:extLst>
                <c:ext xmlns:c15="http://schemas.microsoft.com/office/drawing/2012/chart" uri="{CE6537A1-D6FC-4f65-9D91-7224C49458BB}"/>
                <c:ext xmlns:c16="http://schemas.microsoft.com/office/drawing/2014/chart" uri="{C3380CC4-5D6E-409C-BE32-E72D297353CC}">
                  <c16:uniqueId val="{00000019-5041-4AE1-83F2-E496F9B47C49}"/>
                </c:ext>
              </c:extLst>
            </c:dLbl>
            <c:dLbl>
              <c:idx val="8"/>
              <c:delete val="1"/>
              <c:extLst>
                <c:ext xmlns:c15="http://schemas.microsoft.com/office/drawing/2012/chart" uri="{CE6537A1-D6FC-4f65-9D91-7224C49458BB}"/>
                <c:ext xmlns:c16="http://schemas.microsoft.com/office/drawing/2014/chart" uri="{C3380CC4-5D6E-409C-BE32-E72D297353CC}">
                  <c16:uniqueId val="{0000001A-5041-4AE1-83F2-E496F9B47C49}"/>
                </c:ext>
              </c:extLst>
            </c:dLbl>
            <c:dLbl>
              <c:idx val="9"/>
              <c:delete val="1"/>
              <c:extLst>
                <c:ext xmlns:c15="http://schemas.microsoft.com/office/drawing/2012/chart" uri="{CE6537A1-D6FC-4f65-9D91-7224C49458BB}"/>
                <c:ext xmlns:c16="http://schemas.microsoft.com/office/drawing/2014/chart" uri="{C3380CC4-5D6E-409C-BE32-E72D297353CC}">
                  <c16:uniqueId val="{0000001B-5041-4AE1-83F2-E496F9B47C49}"/>
                </c:ext>
              </c:extLst>
            </c:dLbl>
            <c:dLbl>
              <c:idx val="10"/>
              <c:delete val="1"/>
              <c:extLst>
                <c:ext xmlns:c15="http://schemas.microsoft.com/office/drawing/2012/chart" uri="{CE6537A1-D6FC-4f65-9D91-7224C49458BB}"/>
                <c:ext xmlns:c16="http://schemas.microsoft.com/office/drawing/2014/chart" uri="{C3380CC4-5D6E-409C-BE32-E72D297353CC}">
                  <c16:uniqueId val="{0000001C-5041-4AE1-83F2-E496F9B47C49}"/>
                </c:ext>
              </c:extLst>
            </c:dLbl>
            <c:dLbl>
              <c:idx val="11"/>
              <c:delete val="1"/>
              <c:extLst>
                <c:ext xmlns:c15="http://schemas.microsoft.com/office/drawing/2012/chart" uri="{CE6537A1-D6FC-4f65-9D91-7224C49458BB}"/>
                <c:ext xmlns:c16="http://schemas.microsoft.com/office/drawing/2014/chart" uri="{C3380CC4-5D6E-409C-BE32-E72D297353CC}">
                  <c16:uniqueId val="{0000001D-5041-4AE1-83F2-E496F9B47C49}"/>
                </c:ext>
              </c:extLst>
            </c:dLbl>
            <c:dLbl>
              <c:idx val="12"/>
              <c:delete val="1"/>
              <c:extLst>
                <c:ext xmlns:c15="http://schemas.microsoft.com/office/drawing/2012/chart" uri="{CE6537A1-D6FC-4f65-9D91-7224C49458BB}"/>
                <c:ext xmlns:c16="http://schemas.microsoft.com/office/drawing/2014/chart" uri="{C3380CC4-5D6E-409C-BE32-E72D297353CC}">
                  <c16:uniqueId val="{0000001E-5041-4AE1-83F2-E496F9B47C49}"/>
                </c:ext>
              </c:extLst>
            </c:dLbl>
            <c:dLbl>
              <c:idx val="14"/>
              <c:delete val="1"/>
              <c:extLst>
                <c:ext xmlns:c15="http://schemas.microsoft.com/office/drawing/2012/chart" uri="{CE6537A1-D6FC-4f65-9D91-7224C49458BB}"/>
                <c:ext xmlns:c16="http://schemas.microsoft.com/office/drawing/2014/chart" uri="{C3380CC4-5D6E-409C-BE32-E72D297353CC}">
                  <c16:uniqueId val="{0000001F-5041-4AE1-83F2-E496F9B47C49}"/>
                </c:ext>
              </c:extLst>
            </c:dLbl>
            <c:dLbl>
              <c:idx val="15"/>
              <c:delete val="1"/>
              <c:extLst>
                <c:ext xmlns:c15="http://schemas.microsoft.com/office/drawing/2012/chart" uri="{CE6537A1-D6FC-4f65-9D91-7224C49458BB}"/>
                <c:ext xmlns:c16="http://schemas.microsoft.com/office/drawing/2014/chart" uri="{C3380CC4-5D6E-409C-BE32-E72D297353CC}">
                  <c16:uniqueId val="{00000020-5041-4AE1-83F2-E496F9B47C49}"/>
                </c:ext>
              </c:extLst>
            </c:dLbl>
            <c:dLbl>
              <c:idx val="16"/>
              <c:delete val="1"/>
              <c:extLst>
                <c:ext xmlns:c15="http://schemas.microsoft.com/office/drawing/2012/chart" uri="{CE6537A1-D6FC-4f65-9D91-7224C49458BB}"/>
                <c:ext xmlns:c16="http://schemas.microsoft.com/office/drawing/2014/chart" uri="{C3380CC4-5D6E-409C-BE32-E72D297353CC}">
                  <c16:uniqueId val="{00000021-5041-4AE1-83F2-E496F9B47C49}"/>
                </c:ext>
              </c:extLst>
            </c:dLbl>
            <c:dLbl>
              <c:idx val="17"/>
              <c:delete val="1"/>
              <c:extLst>
                <c:ext xmlns:c15="http://schemas.microsoft.com/office/drawing/2012/chart" uri="{CE6537A1-D6FC-4f65-9D91-7224C49458BB}"/>
                <c:ext xmlns:c16="http://schemas.microsoft.com/office/drawing/2014/chart" uri="{C3380CC4-5D6E-409C-BE32-E72D297353CC}">
                  <c16:uniqueId val="{00000022-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2023.xlsx]Sheet3'!$E$36:$E$53</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23-5041-4AE1-83F2-E496F9B47C49}"/>
            </c:ext>
          </c:extLst>
        </c:ser>
        <c:ser>
          <c:idx val="3"/>
          <c:order val="3"/>
          <c:tx>
            <c:strRef>
              <c:f>'[Worksheet table 1 Evidence Based Practice 2023.xlsx]Sheet3'!$F$35</c:f>
              <c:strCache>
                <c:ptCount val="1"/>
                <c:pt idx="0">
                  <c:v>Indian</c:v>
                </c:pt>
              </c:strCache>
            </c:strRef>
          </c:tx>
          <c:spPr>
            <a:solidFill>
              <a:schemeClr val="accent4"/>
            </a:solidFill>
            <a:ln>
              <a:noFill/>
            </a:ln>
            <a:effectLst/>
          </c:spPr>
          <c:invertIfNegative val="0"/>
          <c:dLbls>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4-5041-4AE1-83F2-E496F9B47C49}"/>
                </c:ext>
              </c:extLst>
            </c:dLbl>
            <c:dLbl>
              <c:idx val="3"/>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5-5041-4AE1-83F2-E496F9B47C49}"/>
                </c:ext>
              </c:extLst>
            </c:dLbl>
            <c:dLbl>
              <c:idx val="5"/>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6-5041-4AE1-83F2-E496F9B47C49}"/>
                </c:ext>
              </c:extLst>
            </c:dLbl>
            <c:dLbl>
              <c:idx val="6"/>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7-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2023.xlsx]Sheet3'!$F$36:$F$53</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28-5041-4AE1-83F2-E496F9B47C49}"/>
            </c:ext>
          </c:extLst>
        </c:ser>
        <c:ser>
          <c:idx val="4"/>
          <c:order val="4"/>
          <c:tx>
            <c:strRef>
              <c:f>'[Worksheet table 1 Evidence Based Practice 2023.xlsx]Sheet3'!$G$35</c:f>
              <c:strCache>
                <c:ptCount val="1"/>
                <c:pt idx="0">
                  <c:v>Mixed - Other</c:v>
                </c:pt>
              </c:strCache>
            </c:strRef>
          </c:tx>
          <c:spPr>
            <a:solidFill>
              <a:schemeClr val="accent5"/>
            </a:solidFill>
            <a:ln>
              <a:noFill/>
            </a:ln>
            <a:effectLst/>
          </c:spPr>
          <c:invertIfNegative val="0"/>
          <c:dLbls>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9-5041-4AE1-83F2-E496F9B47C49}"/>
                </c:ext>
              </c:extLst>
            </c:dLbl>
            <c:numFmt formatCode="0%" sourceLinked="0"/>
            <c:spPr>
              <a:noFill/>
              <a:ln>
                <a:noFill/>
              </a:ln>
              <a:effectLst/>
            </c:spPr>
            <c:txPr>
              <a:bodyPr rot="0" spcFirstLastPara="1" vertOverflow="ellipsis" vert="horz" wrap="square" lIns="38100" tIns="19050" rIns="38100" bIns="19050" anchor="ctr" anchorCtr="0">
                <a:spAutoFit/>
              </a:bodyPr>
              <a:lstStyle/>
              <a:p>
                <a:pPr algn="ctr">
                  <a:defRPr lang="en-US" sz="900" b="1" i="0" u="none" strike="noStrike" kern="1200" baseline="0">
                    <a:solidFill>
                      <a:sysClr val="windowText" lastClr="000000"/>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2023.xlsx]Sheet3'!$G$36:$G$53</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2A-5041-4AE1-83F2-E496F9B47C49}"/>
            </c:ext>
          </c:extLst>
        </c:ser>
        <c:ser>
          <c:idx val="5"/>
          <c:order val="5"/>
          <c:tx>
            <c:strRef>
              <c:f>'[Worksheet table 1 Evidence Based Practice 2023.xlsx]Sheet3'!$H$35</c:f>
              <c:strCache>
                <c:ptCount val="1"/>
                <c:pt idx="0">
                  <c:v>Pakistani</c:v>
                </c:pt>
              </c:strCache>
            </c:strRef>
          </c:tx>
          <c:spPr>
            <a:solidFill>
              <a:schemeClr val="accent6"/>
            </a:solidFill>
            <a:ln>
              <a:noFill/>
            </a:ln>
            <a:effectLst/>
          </c:spPr>
          <c:invertIfNegative val="0"/>
          <c:dLbls>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B-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2023.xlsx]Sheet3'!$H$36:$H$53</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2C-5041-4AE1-83F2-E496F9B47C49}"/>
            </c:ext>
          </c:extLst>
        </c:ser>
        <c:ser>
          <c:idx val="6"/>
          <c:order val="6"/>
          <c:tx>
            <c:strRef>
              <c:f>'[Worksheet table 1 Evidence Based Practice 2023.xlsx]Sheet3'!$I$35</c:f>
              <c:strCache>
                <c:ptCount val="1"/>
                <c:pt idx="0">
                  <c:v>White and Black Caribbean</c:v>
                </c:pt>
              </c:strCache>
            </c:strRef>
          </c:tx>
          <c:spPr>
            <a:solidFill>
              <a:schemeClr val="accent1">
                <a:lumMod val="60000"/>
              </a:schemeClr>
            </a:solidFill>
            <a:ln>
              <a:noFill/>
            </a:ln>
            <a:effectLst/>
          </c:spPr>
          <c:invertIfNegative val="0"/>
          <c:dLbls>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D-5041-4AE1-83F2-E496F9B47C49}"/>
                </c:ext>
              </c:extLst>
            </c:dLbl>
            <c:dLbl>
              <c:idx val="8"/>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E-5041-4AE1-83F2-E496F9B47C49}"/>
                </c:ext>
              </c:extLst>
            </c:dLbl>
            <c:dLbl>
              <c:idx val="16"/>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F-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2023.xlsx]Sheet3'!$I$36:$I$53</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30-5041-4AE1-83F2-E496F9B47C49}"/>
            </c:ext>
          </c:extLst>
        </c:ser>
        <c:ser>
          <c:idx val="7"/>
          <c:order val="7"/>
          <c:tx>
            <c:strRef>
              <c:f>'[Worksheet table 1 Evidence Based Practice 2023.xlsx]Sheet3'!$J$35</c:f>
              <c:strCache>
                <c:ptCount val="1"/>
                <c:pt idx="0">
                  <c:v>White British</c:v>
                </c:pt>
              </c:strCache>
            </c:strRef>
          </c:tx>
          <c:spPr>
            <a:solidFill>
              <a:schemeClr val="accent2">
                <a:lumMod val="75000"/>
              </a:schemeClr>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showLegendKey val="1"/>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2023.xlsx]Sheet3'!$J$36:$J$53</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31-5041-4AE1-83F2-E496F9B47C49}"/>
            </c:ext>
          </c:extLst>
        </c:ser>
        <c:ser>
          <c:idx val="8"/>
          <c:order val="8"/>
          <c:tx>
            <c:strRef>
              <c:f>'[Worksheet table 1 Evidence Based Practice 2023.xlsx]Sheet3'!$K$35</c:f>
              <c:strCache>
                <c:ptCount val="1"/>
                <c:pt idx="0">
                  <c:v>White Irish</c:v>
                </c:pt>
              </c:strCache>
            </c:strRef>
          </c:tx>
          <c:spPr>
            <a:solidFill>
              <a:schemeClr val="accent3">
                <a:lumMod val="60000"/>
              </a:schemeClr>
            </a:solidFill>
            <a:ln>
              <a:noFill/>
            </a:ln>
            <a:effectLst/>
          </c:spPr>
          <c:invertIfNegative val="0"/>
          <c:dLbls>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2-5041-4AE1-83F2-E496F9B47C4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2023.xlsx]Sheet3'!$K$36:$K$53</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33-5041-4AE1-83F2-E496F9B47C49}"/>
            </c:ext>
          </c:extLst>
        </c:ser>
        <c:ser>
          <c:idx val="9"/>
          <c:order val="9"/>
          <c:tx>
            <c:strRef>
              <c:f>'[Worksheet table 1 Evidence Based Practice 2023.xlsx]Sheet3'!$L$35</c:f>
              <c:strCache>
                <c:ptCount val="1"/>
                <c:pt idx="0">
                  <c:v>White Other</c:v>
                </c:pt>
              </c:strCache>
            </c:strRef>
          </c:tx>
          <c:spPr>
            <a:solidFill>
              <a:schemeClr val="accent4">
                <a:lumMod val="60000"/>
              </a:schemeClr>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4-5041-4AE1-83F2-E496F9B47C49}"/>
                </c:ext>
              </c:extLst>
            </c:dLbl>
            <c:dLbl>
              <c:idx val="7"/>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5-5041-4AE1-83F2-E496F9B47C49}"/>
                </c:ext>
              </c:extLst>
            </c:dLbl>
            <c:dLbl>
              <c:idx val="9"/>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6-5041-4AE1-83F2-E496F9B47C49}"/>
                </c:ext>
              </c:extLst>
            </c:dLbl>
            <c:dLbl>
              <c:idx val="17"/>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7-5041-4AE1-83F2-E496F9B47C4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2023.xlsx]Sheet3'!$B$36:$B$53</c:f>
              <c:strCache>
                <c:ptCount val="18"/>
                <c:pt idx="0">
                  <c:v>Business Services</c:v>
                </c:pt>
                <c:pt idx="1">
                  <c:v>Comm.Engagement &amp; Part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2023.xlsx]Sheet3'!$L$36:$L$53</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38-5041-4AE1-83F2-E496F9B47C49}"/>
            </c:ext>
          </c:extLst>
        </c:ser>
        <c:dLbls>
          <c:showLegendKey val="0"/>
          <c:showVal val="0"/>
          <c:showCatName val="0"/>
          <c:showSerName val="0"/>
          <c:showPercent val="0"/>
          <c:showBubbleSize val="0"/>
        </c:dLbls>
        <c:gapWidth val="182"/>
        <c:overlap val="100"/>
        <c:axId val="1071966687"/>
        <c:axId val="1764680031"/>
      </c:barChart>
      <c:catAx>
        <c:axId val="1071966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1" i="0" u="none" strike="noStrike" kern="1200" baseline="0">
                <a:solidFill>
                  <a:sysClr val="windowText" lastClr="000000"/>
                </a:solidFill>
                <a:latin typeface="+mn-lt"/>
                <a:ea typeface="+mn-ea"/>
                <a:cs typeface="+mn-cs"/>
              </a:defRPr>
            </a:pPr>
            <a:endParaRPr lang="en-US"/>
          </a:p>
        </c:txPr>
        <c:crossAx val="1764680031"/>
        <c:crosses val="autoZero"/>
        <c:auto val="1"/>
        <c:lblAlgn val="ctr"/>
        <c:lblOffset val="100"/>
        <c:noMultiLvlLbl val="0"/>
      </c:catAx>
      <c:valAx>
        <c:axId val="1764680031"/>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966687"/>
        <c:crosses val="autoZero"/>
        <c:crossBetween val="between"/>
      </c:valAx>
      <c:spPr>
        <a:noFill/>
        <a:ln>
          <a:noFill/>
        </a:ln>
        <a:effectLst/>
      </c:spPr>
    </c:plotArea>
    <c:legend>
      <c:legendPos val="r"/>
      <c:layout>
        <c:manualLayout>
          <c:xMode val="edge"/>
          <c:yMode val="edge"/>
          <c:x val="0.82359996159016713"/>
          <c:y val="4.4600271871553507E-2"/>
          <c:w val="0.1618270277190961"/>
          <c:h val="0.95188831037814081"/>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r>
              <a:rPr lang="en-GB" sz="1200" b="1">
                <a:solidFill>
                  <a:sysClr val="windowText" lastClr="000000"/>
                </a:solidFill>
              </a:rPr>
              <a:t>Employee</a:t>
            </a:r>
            <a:r>
              <a:rPr lang="en-GB" sz="1200" b="1" baseline="0">
                <a:solidFill>
                  <a:sysClr val="windowText" lastClr="000000"/>
                </a:solidFill>
              </a:rPr>
              <a:t> Ethnicity Distribution</a:t>
            </a:r>
            <a:endParaRPr lang="en-GB" sz="1200" b="1">
              <a:solidFill>
                <a:sysClr val="windowText" lastClr="000000"/>
              </a:solidFill>
            </a:endParaRPr>
          </a:p>
        </c:rich>
      </c:tx>
      <c:layout>
        <c:manualLayout>
          <c:xMode val="edge"/>
          <c:yMode val="edge"/>
          <c:x val="0.2176032426326456"/>
          <c:y val="4.7281323877068557E-2"/>
        </c:manualLayout>
      </c:layout>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10928988848769594"/>
          <c:y val="0.23393336249635463"/>
          <c:w val="0.52359362538246257"/>
          <c:h val="0.65812809857101195"/>
        </c:manualLayout>
      </c:layout>
      <c:pieChart>
        <c:varyColors val="1"/>
        <c:ser>
          <c:idx val="0"/>
          <c:order val="0"/>
          <c:tx>
            <c:strRef>
              <c:f>'[Worksheet table 1 Evidence Based Practice 2023.xlsx]Sheet6'!$L$11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22-4BB8-A134-DB3E48F382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22-4BB8-A134-DB3E48F382DE}"/>
              </c:ext>
            </c:extLst>
          </c:dPt>
          <c:dLbls>
            <c:dLbl>
              <c:idx val="0"/>
              <c:layout>
                <c:manualLayout>
                  <c:x val="0.17600382825075037"/>
                  <c:y val="-0.1143398221055701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A22-4BB8-A134-DB3E48F382DE}"/>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table 1 Evidence Based Practice 2023.xlsx]Sheet6'!$K$12:$K$13</c:f>
              <c:strCache>
                <c:ptCount val="2"/>
                <c:pt idx="0">
                  <c:v>White Ethnic groups</c:v>
                </c:pt>
                <c:pt idx="1">
                  <c:v>Non-White Ethnic groups</c:v>
                </c:pt>
              </c:strCache>
            </c:strRef>
          </c:cat>
          <c:val>
            <c:numRef>
              <c:f>'[Worksheet table 1 Evidence Based Practice 2023.xlsx]Sheet6'!$L$12:$L$13</c:f>
              <c:numCache>
                <c:formatCode>0%</c:formatCode>
                <c:ptCount val="2"/>
                <c:pt idx="0">
                  <c:v>0.93846153846153846</c:v>
                </c:pt>
                <c:pt idx="1">
                  <c:v>6.1538461538461542E-2</c:v>
                </c:pt>
              </c:numCache>
            </c:numRef>
          </c:val>
          <c:extLst>
            <c:ext xmlns:c16="http://schemas.microsoft.com/office/drawing/2014/chart" uri="{C3380CC4-5D6E-409C-BE32-E72D297353CC}">
              <c16:uniqueId val="{00000004-6A22-4BB8-A134-DB3E48F382D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62162474371554621"/>
          <c:y val="0.24594852726742492"/>
          <c:w val="0.34848399269240282"/>
          <c:h val="0.43673349341970552"/>
        </c:manualLayout>
      </c:layout>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r>
              <a:rPr lang="en-GB" sz="1200" b="1">
                <a:solidFill>
                  <a:sysClr val="windowText" lastClr="000000"/>
                </a:solidFill>
              </a:rPr>
              <a:t>Disability Status per</a:t>
            </a:r>
            <a:r>
              <a:rPr lang="en-GB" sz="1200" b="1" baseline="0">
                <a:solidFill>
                  <a:sysClr val="windowText" lastClr="000000"/>
                </a:solidFill>
              </a:rPr>
              <a:t> Team</a:t>
            </a:r>
            <a:endParaRPr lang="en-GB" sz="1200" b="1">
              <a:solidFill>
                <a:sysClr val="windowText" lastClr="000000"/>
              </a:solidFill>
            </a:endParaRP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11021842226803195"/>
          <c:y val="0.21222921484256846"/>
          <c:w val="0.7351106755432395"/>
          <c:h val="0.38931514601567002"/>
        </c:manualLayout>
      </c:layout>
      <c:barChart>
        <c:barDir val="col"/>
        <c:grouping val="clustered"/>
        <c:varyColors val="0"/>
        <c:ser>
          <c:idx val="0"/>
          <c:order val="0"/>
          <c:tx>
            <c:strRef>
              <c:f>'[Worksheet table 1 Evidence Based Practice 2023.xlsx]Sheet3'!$M$58</c:f>
              <c:strCache>
                <c:ptCount val="1"/>
                <c:pt idx="0">
                  <c:v>Disabled</c:v>
                </c:pt>
              </c:strCache>
            </c:strRef>
          </c:tx>
          <c:spPr>
            <a:solidFill>
              <a:schemeClr val="accent1"/>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0-2FE4-47DC-8E8E-DF594C4D0823}"/>
                </c:ext>
              </c:extLst>
            </c:dLbl>
            <c:dLbl>
              <c:idx val="3"/>
              <c:delete val="1"/>
              <c:extLst>
                <c:ext xmlns:c15="http://schemas.microsoft.com/office/drawing/2012/chart" uri="{CE6537A1-D6FC-4f65-9D91-7224C49458BB}"/>
                <c:ext xmlns:c16="http://schemas.microsoft.com/office/drawing/2014/chart" uri="{C3380CC4-5D6E-409C-BE32-E72D297353CC}">
                  <c16:uniqueId val="{00000001-2FE4-47DC-8E8E-DF594C4D0823}"/>
                </c:ext>
              </c:extLst>
            </c:dLbl>
            <c:dLbl>
              <c:idx val="4"/>
              <c:delete val="1"/>
              <c:extLst>
                <c:ext xmlns:c15="http://schemas.microsoft.com/office/drawing/2012/chart" uri="{CE6537A1-D6FC-4f65-9D91-7224C49458BB}"/>
                <c:ext xmlns:c16="http://schemas.microsoft.com/office/drawing/2014/chart" uri="{C3380CC4-5D6E-409C-BE32-E72D297353CC}">
                  <c16:uniqueId val="{00000002-2FE4-47DC-8E8E-DF594C4D0823}"/>
                </c:ext>
              </c:extLst>
            </c:dLbl>
            <c:dLbl>
              <c:idx val="6"/>
              <c:delete val="1"/>
              <c:extLst>
                <c:ext xmlns:c15="http://schemas.microsoft.com/office/drawing/2012/chart" uri="{CE6537A1-D6FC-4f65-9D91-7224C49458BB}"/>
                <c:ext xmlns:c16="http://schemas.microsoft.com/office/drawing/2014/chart" uri="{C3380CC4-5D6E-409C-BE32-E72D297353CC}">
                  <c16:uniqueId val="{00000003-2FE4-47DC-8E8E-DF594C4D0823}"/>
                </c:ext>
              </c:extLst>
            </c:dLbl>
            <c:dLbl>
              <c:idx val="12"/>
              <c:delete val="1"/>
              <c:extLst>
                <c:ext xmlns:c15="http://schemas.microsoft.com/office/drawing/2012/chart" uri="{CE6537A1-D6FC-4f65-9D91-7224C49458BB}"/>
                <c:ext xmlns:c16="http://schemas.microsoft.com/office/drawing/2014/chart" uri="{C3380CC4-5D6E-409C-BE32-E72D297353CC}">
                  <c16:uniqueId val="{00000004-2FE4-47DC-8E8E-DF594C4D0823}"/>
                </c:ext>
              </c:extLst>
            </c:dLbl>
            <c:dLbl>
              <c:idx val="15"/>
              <c:delete val="1"/>
              <c:extLst>
                <c:ext xmlns:c15="http://schemas.microsoft.com/office/drawing/2012/chart" uri="{CE6537A1-D6FC-4f65-9D91-7224C49458BB}"/>
                <c:ext xmlns:c16="http://schemas.microsoft.com/office/drawing/2014/chart" uri="{C3380CC4-5D6E-409C-BE32-E72D297353CC}">
                  <c16:uniqueId val="{00000005-2FE4-47DC-8E8E-DF594C4D0823}"/>
                </c:ext>
              </c:extLst>
            </c:dLbl>
            <c:dLbl>
              <c:idx val="16"/>
              <c:delete val="1"/>
              <c:extLst>
                <c:ext xmlns:c15="http://schemas.microsoft.com/office/drawing/2012/chart" uri="{CE6537A1-D6FC-4f65-9D91-7224C49458BB}"/>
                <c:ext xmlns:c16="http://schemas.microsoft.com/office/drawing/2014/chart" uri="{C3380CC4-5D6E-409C-BE32-E72D297353CC}">
                  <c16:uniqueId val="{00000006-2FE4-47DC-8E8E-DF594C4D0823}"/>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2023.xlsx]Sheet3'!$L$59:$L$76</c:f>
              <c:strCache>
                <c:ptCount val="18"/>
                <c:pt idx="0">
                  <c:v>Business Services</c:v>
                </c:pt>
                <c:pt idx="1">
                  <c:v>Comm.Engagement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2023.xlsx]Sheet3'!$M$59:$M$76</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7-2FE4-47DC-8E8E-DF594C4D0823}"/>
            </c:ext>
          </c:extLst>
        </c:ser>
        <c:ser>
          <c:idx val="1"/>
          <c:order val="1"/>
          <c:tx>
            <c:strRef>
              <c:f>'[Worksheet table 1 Evidence Based Practice 2023.xlsx]Sheet3'!$N$58</c:f>
              <c:strCache>
                <c:ptCount val="1"/>
                <c:pt idx="0">
                  <c:v>Not disabled</c:v>
                </c:pt>
              </c:strCache>
            </c:strRef>
          </c:tx>
          <c:spPr>
            <a:solidFill>
              <a:schemeClr val="accent2"/>
            </a:solidFill>
            <a:ln>
              <a:noFill/>
            </a:ln>
            <a:effectLst/>
          </c:spPr>
          <c:invertIfNegative val="0"/>
          <c:dLbls>
            <c:dLbl>
              <c:idx val="3"/>
              <c:layout>
                <c:manualLayout>
                  <c:x val="-1.1444921316165977E-2"/>
                  <c:y val="-2.973977695167286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2FE4-47DC-8E8E-DF594C4D0823}"/>
                </c:ext>
              </c:extLst>
            </c:dLbl>
            <c:dLbl>
              <c:idx val="15"/>
              <c:layout>
                <c:manualLayout>
                  <c:x val="0"/>
                  <c:y val="-4.460966542750930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2FE4-47DC-8E8E-DF594C4D0823}"/>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2023.xlsx]Sheet3'!$L$59:$L$76</c:f>
              <c:strCache>
                <c:ptCount val="18"/>
                <c:pt idx="0">
                  <c:v>Business Services</c:v>
                </c:pt>
                <c:pt idx="1">
                  <c:v>Comm.Engagement</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2023.xlsx]Sheet3'!$N$59:$N$76</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A-2FE4-47DC-8E8E-DF594C4D0823}"/>
            </c:ext>
          </c:extLst>
        </c:ser>
        <c:dLbls>
          <c:showLegendKey val="0"/>
          <c:showVal val="0"/>
          <c:showCatName val="0"/>
          <c:showSerName val="0"/>
          <c:showPercent val="0"/>
          <c:showBubbleSize val="0"/>
        </c:dLbls>
        <c:gapWidth val="182"/>
        <c:axId val="527539007"/>
        <c:axId val="1120881231"/>
      </c:barChart>
      <c:catAx>
        <c:axId val="527539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120881231"/>
        <c:crosses val="autoZero"/>
        <c:auto val="1"/>
        <c:lblAlgn val="ctr"/>
        <c:lblOffset val="100"/>
        <c:noMultiLvlLbl val="0"/>
      </c:catAx>
      <c:valAx>
        <c:axId val="1120881231"/>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539007"/>
        <c:crosses val="autoZero"/>
        <c:crossBetween val="between"/>
      </c:valAx>
      <c:spPr>
        <a:noFill/>
        <a:ln>
          <a:noFill/>
        </a:ln>
        <a:effectLst/>
      </c:spPr>
    </c:plotArea>
    <c:legend>
      <c:legendPos val="tr"/>
      <c:layout>
        <c:manualLayout>
          <c:xMode val="edge"/>
          <c:yMode val="edge"/>
          <c:x val="0.85659017944645344"/>
          <c:y val="0.24816432728517632"/>
          <c:w val="0.12338120825025627"/>
          <c:h val="0.2764651375099851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r>
              <a:rPr lang="en-US" sz="1200" b="1">
                <a:solidFill>
                  <a:sysClr val="windowText" lastClr="000000"/>
                </a:solidFill>
              </a:rPr>
              <a:t>Disability status in organisational level </a:t>
            </a: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'[Worksheet table 1 Evidence Based Practice 2023.xlsx]Sheet3'!$F$57</c:f>
              <c:strCache>
                <c:ptCount val="1"/>
                <c:pt idx="0">
                  <c:v>Count of Disability status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1 Evidence Based Practice 2023.xlsx]Sheet3'!$E$58:$E$59</c:f>
              <c:strCache>
                <c:ptCount val="2"/>
                <c:pt idx="0">
                  <c:v>Disabled</c:v>
                </c:pt>
                <c:pt idx="1">
                  <c:v>Not disabled</c:v>
                </c:pt>
              </c:strCache>
            </c:strRef>
          </c:cat>
          <c:val>
            <c:numRef>
              <c:f>'[Worksheet table 1 Evidence Based Practice 2023.xlsx]Sheet3'!$F$58:$F$59</c:f>
              <c:numCache>
                <c:formatCode>0.00%</c:formatCode>
                <c:ptCount val="2"/>
                <c:pt idx="0">
                  <c:v>8.0769230769230774E-2</c:v>
                </c:pt>
                <c:pt idx="1">
                  <c:v>0.91923076923076918</c:v>
                </c:pt>
              </c:numCache>
            </c:numRef>
          </c:val>
          <c:extLst>
            <c:ext xmlns:c16="http://schemas.microsoft.com/office/drawing/2014/chart" uri="{C3380CC4-5D6E-409C-BE32-E72D297353CC}">
              <c16:uniqueId val="{00000000-8052-4D78-B6CA-6D28C1DD467F}"/>
            </c:ext>
          </c:extLst>
        </c:ser>
        <c:dLbls>
          <c:showLegendKey val="0"/>
          <c:showVal val="0"/>
          <c:showCatName val="0"/>
          <c:showSerName val="0"/>
          <c:showPercent val="0"/>
          <c:showBubbleSize val="0"/>
        </c:dLbls>
        <c:gapWidth val="219"/>
        <c:overlap val="-27"/>
        <c:axId val="1071976287"/>
        <c:axId val="1251122415"/>
      </c:barChart>
      <c:catAx>
        <c:axId val="1071976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251122415"/>
        <c:crosses val="autoZero"/>
        <c:auto val="1"/>
        <c:lblAlgn val="ctr"/>
        <c:lblOffset val="100"/>
        <c:noMultiLvlLbl val="0"/>
      </c:catAx>
      <c:valAx>
        <c:axId val="125112241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9762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Hybrid working - Employees' Views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'[Worksheet table 2 Evidence Based Practice 2023.xlsx]Sheet1'!$V$26</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2 Evidence Based Practice 2023.xlsx]Sheet1'!$U$27:$U$40</c:f>
              <c:strCache>
                <c:ptCount val="14"/>
                <c:pt idx="0">
                  <c:v>Homeworking Supported</c:v>
                </c:pt>
                <c:pt idx="1">
                  <c:v>Homeworking makes difficult to separate work-personal life</c:v>
                </c:pt>
                <c:pt idx="2">
                  <c:v>Enjoy homeworking some days </c:v>
                </c:pt>
                <c:pt idx="3">
                  <c:v>Hybrid working support work-life balance</c:v>
                </c:pt>
                <c:pt idx="4">
                  <c:v>Hybrid working more productive</c:v>
                </c:pt>
                <c:pt idx="5">
                  <c:v>Easy access to resources</c:v>
                </c:pt>
                <c:pt idx="6">
                  <c:v>Remote working is a challenge</c:v>
                </c:pt>
                <c:pt idx="7">
                  <c:v>Homeworking allows meeting targets</c:v>
                </c:pt>
                <c:pt idx="8">
                  <c:v>Missing engaging with colleagues</c:v>
                </c:pt>
                <c:pt idx="9">
                  <c:v>Homeworking removes conflicts</c:v>
                </c:pt>
                <c:pt idx="10">
                  <c:v>Away from workplace less stressful</c:v>
                </c:pt>
                <c:pt idx="11">
                  <c:v>More connected to company</c:v>
                </c:pt>
                <c:pt idx="12">
                  <c:v>Getting same recogniton</c:v>
                </c:pt>
                <c:pt idx="13">
                  <c:v>Comms &amp; collaboration with team not affected</c:v>
                </c:pt>
              </c:strCache>
            </c:strRef>
          </c:cat>
          <c:val>
            <c:numRef>
              <c:f>'[Worksheet table 2 Evidence Based Practice 2023.xlsx]Sheet1'!$V$27:$V$40</c:f>
              <c:numCache>
                <c:formatCode>0%</c:formatCode>
                <c:ptCount val="14"/>
                <c:pt idx="0">
                  <c:v>0.14000000000000001</c:v>
                </c:pt>
                <c:pt idx="1">
                  <c:v>0.64</c:v>
                </c:pt>
                <c:pt idx="2">
                  <c:v>0.56000000000000005</c:v>
                </c:pt>
                <c:pt idx="3">
                  <c:v>0.82</c:v>
                </c:pt>
                <c:pt idx="4">
                  <c:v>0.49</c:v>
                </c:pt>
                <c:pt idx="5">
                  <c:v>0.49</c:v>
                </c:pt>
                <c:pt idx="6">
                  <c:v>0.24</c:v>
                </c:pt>
                <c:pt idx="7">
                  <c:v>0.33</c:v>
                </c:pt>
                <c:pt idx="8">
                  <c:v>7.0000000000000007E-2</c:v>
                </c:pt>
                <c:pt idx="9">
                  <c:v>0.59</c:v>
                </c:pt>
                <c:pt idx="10">
                  <c:v>0.15</c:v>
                </c:pt>
                <c:pt idx="11">
                  <c:v>0.62</c:v>
                </c:pt>
                <c:pt idx="12">
                  <c:v>0.46</c:v>
                </c:pt>
                <c:pt idx="13">
                  <c:v>0.39</c:v>
                </c:pt>
              </c:numCache>
            </c:numRef>
          </c:val>
          <c:extLst>
            <c:ext xmlns:c16="http://schemas.microsoft.com/office/drawing/2014/chart" uri="{C3380CC4-5D6E-409C-BE32-E72D297353CC}">
              <c16:uniqueId val="{00000000-ABAA-46D6-96E9-280BBC751ACB}"/>
            </c:ext>
          </c:extLst>
        </c:ser>
        <c:ser>
          <c:idx val="1"/>
          <c:order val="1"/>
          <c:tx>
            <c:strRef>
              <c:f>'[Worksheet table 2 Evidence Based Practice 2023.xlsx]Sheet1'!$W$26</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2 Evidence Based Practice 2023.xlsx]Sheet1'!$U$27:$U$40</c:f>
              <c:strCache>
                <c:ptCount val="14"/>
                <c:pt idx="0">
                  <c:v>Homeworking Supported</c:v>
                </c:pt>
                <c:pt idx="1">
                  <c:v>Homeworking makes difficult to separate work-personal life</c:v>
                </c:pt>
                <c:pt idx="2">
                  <c:v>Enjoy homeworking some days </c:v>
                </c:pt>
                <c:pt idx="3">
                  <c:v>Hybrid working support work-life balance</c:v>
                </c:pt>
                <c:pt idx="4">
                  <c:v>Hybrid working more productive</c:v>
                </c:pt>
                <c:pt idx="5">
                  <c:v>Easy access to resources</c:v>
                </c:pt>
                <c:pt idx="6">
                  <c:v>Remote working is a challenge</c:v>
                </c:pt>
                <c:pt idx="7">
                  <c:v>Homeworking allows meeting targets</c:v>
                </c:pt>
                <c:pt idx="8">
                  <c:v>Missing engaging with colleagues</c:v>
                </c:pt>
                <c:pt idx="9">
                  <c:v>Homeworking removes conflicts</c:v>
                </c:pt>
                <c:pt idx="10">
                  <c:v>Away from workplace less stressful</c:v>
                </c:pt>
                <c:pt idx="11">
                  <c:v>More connected to company</c:v>
                </c:pt>
                <c:pt idx="12">
                  <c:v>Getting same recogniton</c:v>
                </c:pt>
                <c:pt idx="13">
                  <c:v>Comms &amp; collaboration with team not affected</c:v>
                </c:pt>
              </c:strCache>
            </c:strRef>
          </c:cat>
          <c:val>
            <c:numRef>
              <c:f>'[Worksheet table 2 Evidence Based Practice 2023.xlsx]Sheet1'!$W$27:$W$40</c:f>
              <c:numCache>
                <c:formatCode>0%</c:formatCode>
                <c:ptCount val="14"/>
                <c:pt idx="0">
                  <c:v>0.8</c:v>
                </c:pt>
                <c:pt idx="1">
                  <c:v>0.28000000000000003</c:v>
                </c:pt>
                <c:pt idx="2">
                  <c:v>0.37</c:v>
                </c:pt>
                <c:pt idx="3">
                  <c:v>0.14000000000000001</c:v>
                </c:pt>
                <c:pt idx="4">
                  <c:v>0.49</c:v>
                </c:pt>
                <c:pt idx="5">
                  <c:v>0.49</c:v>
                </c:pt>
                <c:pt idx="6">
                  <c:v>0.42</c:v>
                </c:pt>
                <c:pt idx="7">
                  <c:v>0.66</c:v>
                </c:pt>
                <c:pt idx="8">
                  <c:v>0.83</c:v>
                </c:pt>
                <c:pt idx="9">
                  <c:v>0.39</c:v>
                </c:pt>
                <c:pt idx="10">
                  <c:v>0.85</c:v>
                </c:pt>
                <c:pt idx="11">
                  <c:v>0.37</c:v>
                </c:pt>
                <c:pt idx="12">
                  <c:v>0.53</c:v>
                </c:pt>
                <c:pt idx="13">
                  <c:v>0.6</c:v>
                </c:pt>
              </c:numCache>
            </c:numRef>
          </c:val>
          <c:extLst>
            <c:ext xmlns:c16="http://schemas.microsoft.com/office/drawing/2014/chart" uri="{C3380CC4-5D6E-409C-BE32-E72D297353CC}">
              <c16:uniqueId val="{00000001-ABAA-46D6-96E9-280BBC751ACB}"/>
            </c:ext>
          </c:extLst>
        </c:ser>
        <c:ser>
          <c:idx val="2"/>
          <c:order val="2"/>
          <c:tx>
            <c:strRef>
              <c:f>'[Worksheet table 2 Evidence Based Practice 2023.xlsx]Sheet1'!$X$26</c:f>
              <c:strCache>
                <c:ptCount val="1"/>
                <c:pt idx="0">
                  <c:v>Neither Agree nor Disagree</c:v>
                </c:pt>
              </c:strCache>
            </c:strRef>
          </c:tx>
          <c:spPr>
            <a:solidFill>
              <a:schemeClr val="accent3"/>
            </a:solidFill>
            <a:ln>
              <a:noFill/>
            </a:ln>
            <a:effectLst/>
          </c:spPr>
          <c:invertIfNegative val="0"/>
          <c:cat>
            <c:strRef>
              <c:f>'[Worksheet table 2 Evidence Based Practice 2023.xlsx]Sheet1'!$U$27:$U$40</c:f>
              <c:strCache>
                <c:ptCount val="14"/>
                <c:pt idx="0">
                  <c:v>Homeworking Supported</c:v>
                </c:pt>
                <c:pt idx="1">
                  <c:v>Homeworking makes difficult to separate work-personal life</c:v>
                </c:pt>
                <c:pt idx="2">
                  <c:v>Enjoy homeworking some days </c:v>
                </c:pt>
                <c:pt idx="3">
                  <c:v>Hybrid working support work-life balance</c:v>
                </c:pt>
                <c:pt idx="4">
                  <c:v>Hybrid working more productive</c:v>
                </c:pt>
                <c:pt idx="5">
                  <c:v>Easy access to resources</c:v>
                </c:pt>
                <c:pt idx="6">
                  <c:v>Remote working is a challenge</c:v>
                </c:pt>
                <c:pt idx="7">
                  <c:v>Homeworking allows meeting targets</c:v>
                </c:pt>
                <c:pt idx="8">
                  <c:v>Missing engaging with colleagues</c:v>
                </c:pt>
                <c:pt idx="9">
                  <c:v>Homeworking removes conflicts</c:v>
                </c:pt>
                <c:pt idx="10">
                  <c:v>Away from workplace less stressful</c:v>
                </c:pt>
                <c:pt idx="11">
                  <c:v>More connected to company</c:v>
                </c:pt>
                <c:pt idx="12">
                  <c:v>Getting same recogniton</c:v>
                </c:pt>
                <c:pt idx="13">
                  <c:v>Comms &amp; collaboration with team not affected</c:v>
                </c:pt>
              </c:strCache>
            </c:strRef>
          </c:cat>
          <c:val>
            <c:numRef>
              <c:f>'[Worksheet table 2 Evidence Based Practice 2023.xlsx]Sheet1'!$X$27:$X$40</c:f>
              <c:numCache>
                <c:formatCode>0%</c:formatCode>
                <c:ptCount val="14"/>
                <c:pt idx="0">
                  <c:v>0.06</c:v>
                </c:pt>
                <c:pt idx="1">
                  <c:v>0.08</c:v>
                </c:pt>
                <c:pt idx="2">
                  <c:v>0.06</c:v>
                </c:pt>
                <c:pt idx="3">
                  <c:v>0.04</c:v>
                </c:pt>
                <c:pt idx="4">
                  <c:v>0.02</c:v>
                </c:pt>
                <c:pt idx="5">
                  <c:v>0.02</c:v>
                </c:pt>
                <c:pt idx="6">
                  <c:v>0.34</c:v>
                </c:pt>
                <c:pt idx="7">
                  <c:v>0</c:v>
                </c:pt>
                <c:pt idx="8">
                  <c:v>0.1</c:v>
                </c:pt>
                <c:pt idx="9">
                  <c:v>0.02</c:v>
                </c:pt>
                <c:pt idx="10">
                  <c:v>0</c:v>
                </c:pt>
                <c:pt idx="11">
                  <c:v>0.01</c:v>
                </c:pt>
                <c:pt idx="12">
                  <c:v>0.01</c:v>
                </c:pt>
                <c:pt idx="13">
                  <c:v>0.02</c:v>
                </c:pt>
              </c:numCache>
            </c:numRef>
          </c:val>
          <c:extLst>
            <c:ext xmlns:c16="http://schemas.microsoft.com/office/drawing/2014/chart" uri="{C3380CC4-5D6E-409C-BE32-E72D297353CC}">
              <c16:uniqueId val="{00000002-ABAA-46D6-96E9-280BBC751ACB}"/>
            </c:ext>
          </c:extLst>
        </c:ser>
        <c:dLbls>
          <c:showLegendKey val="0"/>
          <c:showVal val="0"/>
          <c:showCatName val="0"/>
          <c:showSerName val="0"/>
          <c:showPercent val="0"/>
          <c:showBubbleSize val="0"/>
        </c:dLbls>
        <c:gapWidth val="182"/>
        <c:axId val="1286210688"/>
        <c:axId val="1282716736"/>
      </c:barChart>
      <c:catAx>
        <c:axId val="12862106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282716736"/>
        <c:crosses val="autoZero"/>
        <c:auto val="1"/>
        <c:lblAlgn val="ctr"/>
        <c:lblOffset val="100"/>
        <c:noMultiLvlLbl val="0"/>
      </c:catAx>
      <c:valAx>
        <c:axId val="128271673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6210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6472</Words>
  <Characters>36893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4</cp:revision>
  <dcterms:created xsi:type="dcterms:W3CDTF">2023-12-03T20:15:00Z</dcterms:created>
  <dcterms:modified xsi:type="dcterms:W3CDTF">2023-12-03T20:21:00Z</dcterms:modified>
</cp:coreProperties>
</file>