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8F7AD57" w:rsidP="1FD09425" w:rsidRDefault="68F7AD57" w14:paraId="0F2053CA" w14:textId="5AA3B286">
      <w:pPr>
        <w:pStyle w:val="Normal"/>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sz w:val="22"/>
          <w:szCs w:val="22"/>
        </w:rPr>
      </w:pPr>
      <w:bookmarkStart w:name="_GoBack" w:id="0"/>
      <w:bookmarkEnd w:id="0"/>
      <w:r w:rsidRPr="1FD09425" w:rsidR="68F7AD57">
        <w:rPr>
          <w:rFonts w:ascii="Calibri" w:hAnsi="Calibri" w:eastAsia="Calibri" w:cs="Calibri" w:asciiTheme="minorAscii" w:hAnsiTheme="minorAscii" w:eastAsiaTheme="minorAscii" w:cstheme="minorAscii"/>
          <w:sz w:val="22"/>
          <w:szCs w:val="22"/>
        </w:rPr>
        <w:t>European</w:t>
      </w:r>
      <w:r w:rsidRPr="1FD09425" w:rsidR="33B5CF73">
        <w:rPr>
          <w:rFonts w:ascii="Calibri" w:hAnsi="Calibri" w:eastAsia="Calibri" w:cs="Calibri" w:asciiTheme="minorAscii" w:hAnsiTheme="minorAscii" w:eastAsiaTheme="minorAscii" w:cstheme="minorAscii"/>
          <w:sz w:val="22"/>
          <w:szCs w:val="22"/>
        </w:rPr>
        <w:t xml:space="preserve"> Law</w:t>
      </w:r>
      <w:r w:rsidRPr="1FD09425" w:rsidR="15CEB3FE">
        <w:rPr>
          <w:rFonts w:ascii="Calibri" w:hAnsi="Calibri" w:eastAsia="Calibri" w:cs="Calibri" w:asciiTheme="minorAscii" w:hAnsiTheme="minorAscii" w:eastAsiaTheme="minorAscii" w:cstheme="minorAscii"/>
          <w:sz w:val="22"/>
          <w:szCs w:val="22"/>
        </w:rPr>
        <w:t>- David Jones</w:t>
      </w:r>
    </w:p>
    <w:p w:rsidR="49F3D193" w:rsidP="1FD09425" w:rsidRDefault="49F3D193" w14:paraId="007AC07C" w14:textId="2FDE5772">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sz w:val="22"/>
          <w:szCs w:val="22"/>
        </w:rPr>
      </w:pPr>
      <w:r w:rsidRPr="1FD09425" w:rsidR="49F3D193">
        <w:rPr>
          <w:rFonts w:ascii="Calibri" w:hAnsi="Calibri" w:eastAsia="Calibri" w:cs="Calibri" w:asciiTheme="minorAscii" w:hAnsiTheme="minorAscii" w:eastAsiaTheme="minorAscii" w:cstheme="minorAscii"/>
          <w:sz w:val="22"/>
          <w:szCs w:val="22"/>
        </w:rPr>
        <w:t>Question 1</w:t>
      </w:r>
    </w:p>
    <w:p w:rsidR="49F3D193" w:rsidP="1FD09425" w:rsidRDefault="49F3D193" w14:paraId="106F5281" w14:textId="51C89DBB">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sz w:val="22"/>
          <w:szCs w:val="22"/>
        </w:rPr>
      </w:pPr>
      <w:r w:rsidRPr="1FD09425" w:rsidR="49F3D193">
        <w:rPr>
          <w:rFonts w:ascii="Calibri" w:hAnsi="Calibri" w:eastAsia="Calibri" w:cs="Calibri" w:asciiTheme="minorAscii" w:hAnsiTheme="minorAscii" w:eastAsiaTheme="minorAscii" w:cstheme="minorAscii"/>
          <w:sz w:val="22"/>
          <w:szCs w:val="22"/>
        </w:rPr>
        <w:t xml:space="preserve">In relation to the relevant market in context of competition law, it is important to understand why competition law is </w:t>
      </w:r>
      <w:r w:rsidRPr="1FD09425" w:rsidR="67F96277">
        <w:rPr>
          <w:rFonts w:ascii="Calibri" w:hAnsi="Calibri" w:eastAsia="Calibri" w:cs="Calibri" w:asciiTheme="minorAscii" w:hAnsiTheme="minorAscii" w:eastAsiaTheme="minorAscii" w:cstheme="minorAscii"/>
          <w:sz w:val="22"/>
          <w:szCs w:val="22"/>
        </w:rPr>
        <w:t>in the European Union (EU) and the political reasons considered. Firstly, left wing includes</w:t>
      </w:r>
      <w:r w:rsidRPr="1FD09425" w:rsidR="5EEACF90">
        <w:rPr>
          <w:rFonts w:ascii="Calibri" w:hAnsi="Calibri" w:eastAsia="Calibri" w:cs="Calibri" w:asciiTheme="minorAscii" w:hAnsiTheme="minorAscii" w:eastAsiaTheme="minorAscii" w:cstheme="minorAscii"/>
          <w:sz w:val="22"/>
          <w:szCs w:val="22"/>
        </w:rPr>
        <w:t xml:space="preserve"> the protection of consumers, ensuring that companies do not abuse their market </w:t>
      </w:r>
      <w:r w:rsidRPr="1FD09425" w:rsidR="55A3F0C8">
        <w:rPr>
          <w:rFonts w:ascii="Calibri" w:hAnsi="Calibri" w:eastAsia="Calibri" w:cs="Calibri" w:asciiTheme="minorAscii" w:hAnsiTheme="minorAscii" w:eastAsiaTheme="minorAscii" w:cstheme="minorAscii"/>
          <w:sz w:val="22"/>
          <w:szCs w:val="22"/>
        </w:rPr>
        <w:t>positions</w:t>
      </w:r>
      <w:r w:rsidRPr="1FD09425" w:rsidR="5EEACF90">
        <w:rPr>
          <w:rFonts w:ascii="Calibri" w:hAnsi="Calibri" w:eastAsia="Calibri" w:cs="Calibri" w:asciiTheme="minorAscii" w:hAnsiTheme="minorAscii" w:eastAsiaTheme="minorAscii" w:cstheme="minorAscii"/>
          <w:sz w:val="22"/>
          <w:szCs w:val="22"/>
        </w:rPr>
        <w:t xml:space="preserve"> which could result in a negative influence on consumers. S</w:t>
      </w:r>
      <w:r w:rsidRPr="1FD09425" w:rsidR="3DB91007">
        <w:rPr>
          <w:rFonts w:ascii="Calibri" w:hAnsi="Calibri" w:eastAsia="Calibri" w:cs="Calibri" w:asciiTheme="minorAscii" w:hAnsiTheme="minorAscii" w:eastAsiaTheme="minorAscii" w:cstheme="minorAscii"/>
          <w:sz w:val="22"/>
          <w:szCs w:val="22"/>
        </w:rPr>
        <w:t xml:space="preserve">econdly, right wing looks at the economic idea of having free and fair competition in an open trade market. </w:t>
      </w:r>
      <w:r w:rsidRPr="1FD09425" w:rsidR="6A40CF6A">
        <w:rPr>
          <w:rFonts w:ascii="Calibri" w:hAnsi="Calibri" w:eastAsia="Calibri" w:cs="Calibri" w:asciiTheme="minorAscii" w:hAnsiTheme="minorAscii" w:eastAsiaTheme="minorAscii" w:cstheme="minorAscii"/>
          <w:sz w:val="22"/>
          <w:szCs w:val="22"/>
        </w:rPr>
        <w:t xml:space="preserve">Therefore, it is important to understand these political views in context of competition law. </w:t>
      </w:r>
      <w:r w:rsidRPr="1FD09425" w:rsidR="024E9295">
        <w:rPr>
          <w:rFonts w:ascii="Calibri" w:hAnsi="Calibri" w:eastAsia="Calibri" w:cs="Calibri" w:asciiTheme="minorAscii" w:hAnsiTheme="minorAscii" w:eastAsiaTheme="minorAscii" w:cstheme="minorAscii"/>
          <w:sz w:val="22"/>
          <w:szCs w:val="22"/>
        </w:rPr>
        <w:t xml:space="preserve"> </w:t>
      </w:r>
    </w:p>
    <w:p w:rsidR="024E9295" w:rsidP="1FD09425" w:rsidRDefault="024E9295" w14:paraId="581E38F4" w14:textId="5670A91A">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sz w:val="22"/>
          <w:szCs w:val="22"/>
        </w:rPr>
      </w:pPr>
      <w:r w:rsidRPr="1FD09425" w:rsidR="024E9295">
        <w:rPr>
          <w:rFonts w:ascii="Calibri" w:hAnsi="Calibri" w:eastAsia="Calibri" w:cs="Calibri" w:asciiTheme="minorAscii" w:hAnsiTheme="minorAscii" w:eastAsiaTheme="minorAscii" w:cstheme="minorAscii"/>
          <w:sz w:val="22"/>
          <w:szCs w:val="22"/>
        </w:rPr>
        <w:t xml:space="preserve">Article 101 is </w:t>
      </w:r>
      <w:r w:rsidRPr="1FD09425" w:rsidR="4D64EE20">
        <w:rPr>
          <w:rFonts w:ascii="Calibri" w:hAnsi="Calibri" w:eastAsia="Calibri" w:cs="Calibri" w:asciiTheme="minorAscii" w:hAnsiTheme="minorAscii" w:eastAsiaTheme="minorAscii" w:cstheme="minorAscii"/>
          <w:sz w:val="22"/>
          <w:szCs w:val="22"/>
        </w:rPr>
        <w:t>involved</w:t>
      </w:r>
      <w:r w:rsidRPr="1FD09425" w:rsidR="024E9295">
        <w:rPr>
          <w:rFonts w:ascii="Calibri" w:hAnsi="Calibri" w:eastAsia="Calibri" w:cs="Calibri" w:asciiTheme="minorAscii" w:hAnsiTheme="minorAscii" w:eastAsiaTheme="minorAscii" w:cstheme="minorAscii"/>
          <w:sz w:val="22"/>
          <w:szCs w:val="22"/>
        </w:rPr>
        <w:t xml:space="preserve"> with anti-competitive practises by companies. This is a scenario where companies communicate and </w:t>
      </w:r>
      <w:r w:rsidRPr="1FD09425" w:rsidR="30714BCA">
        <w:rPr>
          <w:rFonts w:ascii="Calibri" w:hAnsi="Calibri" w:eastAsia="Calibri" w:cs="Calibri" w:asciiTheme="minorAscii" w:hAnsiTheme="minorAscii" w:eastAsiaTheme="minorAscii" w:cstheme="minorAscii"/>
          <w:sz w:val="22"/>
          <w:szCs w:val="22"/>
        </w:rPr>
        <w:t>meet</w:t>
      </w:r>
      <w:r w:rsidRPr="1FD09425" w:rsidR="024E9295">
        <w:rPr>
          <w:rFonts w:ascii="Calibri" w:hAnsi="Calibri" w:eastAsia="Calibri" w:cs="Calibri" w:asciiTheme="minorAscii" w:hAnsiTheme="minorAscii" w:eastAsiaTheme="minorAscii" w:cstheme="minorAscii"/>
          <w:sz w:val="22"/>
          <w:szCs w:val="22"/>
        </w:rPr>
        <w:t xml:space="preserve">, agreeing </w:t>
      </w:r>
      <w:r w:rsidRPr="1FD09425" w:rsidR="758165CC">
        <w:rPr>
          <w:rFonts w:ascii="Calibri" w:hAnsi="Calibri" w:eastAsia="Calibri" w:cs="Calibri" w:asciiTheme="minorAscii" w:hAnsiTheme="minorAscii" w:eastAsiaTheme="minorAscii" w:cstheme="minorAscii"/>
          <w:sz w:val="22"/>
          <w:szCs w:val="22"/>
        </w:rPr>
        <w:t xml:space="preserve">on terms that </w:t>
      </w:r>
      <w:r w:rsidRPr="1FD09425" w:rsidR="4D4503CD">
        <w:rPr>
          <w:rFonts w:ascii="Calibri" w:hAnsi="Calibri" w:eastAsia="Calibri" w:cs="Calibri" w:asciiTheme="minorAscii" w:hAnsiTheme="minorAscii" w:eastAsiaTheme="minorAscii" w:cstheme="minorAscii"/>
          <w:sz w:val="22"/>
          <w:szCs w:val="22"/>
        </w:rPr>
        <w:t>harms</w:t>
      </w:r>
      <w:r w:rsidRPr="1FD09425" w:rsidR="758165CC">
        <w:rPr>
          <w:rFonts w:ascii="Calibri" w:hAnsi="Calibri" w:eastAsia="Calibri" w:cs="Calibri" w:asciiTheme="minorAscii" w:hAnsiTheme="minorAscii" w:eastAsiaTheme="minorAscii" w:cstheme="minorAscii"/>
          <w:sz w:val="22"/>
          <w:szCs w:val="22"/>
        </w:rPr>
        <w:t xml:space="preserve"> competition law within the EU. </w:t>
      </w:r>
      <w:r w:rsidRPr="1FD09425" w:rsidR="137795B4">
        <w:rPr>
          <w:rFonts w:ascii="Calibri" w:hAnsi="Calibri" w:eastAsia="Calibri" w:cs="Calibri" w:asciiTheme="minorAscii" w:hAnsiTheme="minorAscii" w:eastAsiaTheme="minorAscii" w:cstheme="minorAscii"/>
          <w:sz w:val="22"/>
          <w:szCs w:val="22"/>
        </w:rPr>
        <w:t>Whereas</w:t>
      </w:r>
      <w:r w:rsidRPr="1FD09425" w:rsidR="758165CC">
        <w:rPr>
          <w:rFonts w:ascii="Calibri" w:hAnsi="Calibri" w:eastAsia="Calibri" w:cs="Calibri" w:asciiTheme="minorAscii" w:hAnsiTheme="minorAscii" w:eastAsiaTheme="minorAscii" w:cstheme="minorAscii"/>
          <w:sz w:val="22"/>
          <w:szCs w:val="22"/>
        </w:rPr>
        <w:t xml:space="preserve"> Article 102 is related to b</w:t>
      </w:r>
      <w:r w:rsidRPr="1FD09425" w:rsidR="0504C832">
        <w:rPr>
          <w:rFonts w:ascii="Calibri" w:hAnsi="Calibri" w:eastAsia="Calibri" w:cs="Calibri" w:asciiTheme="minorAscii" w:hAnsiTheme="minorAscii" w:eastAsiaTheme="minorAscii" w:cstheme="minorAscii"/>
          <w:sz w:val="22"/>
          <w:szCs w:val="22"/>
        </w:rPr>
        <w:t xml:space="preserve">ig companies such as Sony who have a dominant market position, who may abuse this position for own gain. </w:t>
      </w:r>
    </w:p>
    <w:p w:rsidR="0504C832" w:rsidP="1FD09425" w:rsidRDefault="0504C832" w14:paraId="7A61DD18" w14:textId="41634BE6">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sz w:val="22"/>
          <w:szCs w:val="22"/>
        </w:rPr>
      </w:pPr>
      <w:r w:rsidRPr="1FD09425" w:rsidR="0504C832">
        <w:rPr>
          <w:rFonts w:ascii="Calibri" w:hAnsi="Calibri" w:eastAsia="Calibri" w:cs="Calibri" w:asciiTheme="minorAscii" w:hAnsiTheme="minorAscii" w:eastAsiaTheme="minorAscii" w:cstheme="minorAscii"/>
          <w:sz w:val="22"/>
          <w:szCs w:val="22"/>
        </w:rPr>
        <w:t>An undertaking can be</w:t>
      </w:r>
      <w:r w:rsidRPr="1FD09425" w:rsidR="0504C832">
        <w:rPr>
          <w:rFonts w:ascii="Calibri" w:hAnsi="Calibri" w:eastAsia="Calibri" w:cs="Calibri" w:asciiTheme="minorAscii" w:hAnsiTheme="minorAscii" w:eastAsiaTheme="minorAscii" w:cstheme="minorAscii"/>
          <w:i w:val="1"/>
          <w:iCs w:val="1"/>
          <w:sz w:val="22"/>
          <w:szCs w:val="22"/>
        </w:rPr>
        <w:t xml:space="preserve"> ‘any legal person’ (Hofner 1991)</w:t>
      </w:r>
      <w:r w:rsidRPr="1FD09425" w:rsidR="0504C832">
        <w:rPr>
          <w:rFonts w:ascii="Calibri" w:hAnsi="Calibri" w:eastAsia="Calibri" w:cs="Calibri" w:asciiTheme="minorAscii" w:hAnsiTheme="minorAscii" w:eastAsiaTheme="minorAscii" w:cstheme="minorAscii"/>
          <w:sz w:val="22"/>
          <w:szCs w:val="22"/>
        </w:rPr>
        <w:t xml:space="preserve">. However, this is more likely to be a company than </w:t>
      </w:r>
      <w:r w:rsidRPr="1FD09425" w:rsidR="51482C8C">
        <w:rPr>
          <w:rFonts w:ascii="Calibri" w:hAnsi="Calibri" w:eastAsia="Calibri" w:cs="Calibri" w:asciiTheme="minorAscii" w:hAnsiTheme="minorAscii" w:eastAsiaTheme="minorAscii" w:cstheme="minorAscii"/>
          <w:sz w:val="22"/>
          <w:szCs w:val="22"/>
        </w:rPr>
        <w:t>individual</w:t>
      </w:r>
      <w:r w:rsidRPr="1FD09425" w:rsidR="0504C832">
        <w:rPr>
          <w:rFonts w:ascii="Calibri" w:hAnsi="Calibri" w:eastAsia="Calibri" w:cs="Calibri" w:asciiTheme="minorAscii" w:hAnsiTheme="minorAscii" w:eastAsiaTheme="minorAscii" w:cstheme="minorAscii"/>
          <w:sz w:val="22"/>
          <w:szCs w:val="22"/>
        </w:rPr>
        <w:t xml:space="preserve"> person. </w:t>
      </w:r>
      <w:r w:rsidRPr="1FD09425" w:rsidR="33B051F6">
        <w:rPr>
          <w:rFonts w:ascii="Calibri" w:hAnsi="Calibri" w:eastAsia="Calibri" w:cs="Calibri" w:asciiTheme="minorAscii" w:hAnsiTheme="minorAscii" w:eastAsiaTheme="minorAscii" w:cstheme="minorAscii"/>
          <w:sz w:val="22"/>
          <w:szCs w:val="22"/>
        </w:rPr>
        <w:t xml:space="preserve">Another important aspect is that you </w:t>
      </w:r>
      <w:r w:rsidRPr="1FD09425" w:rsidR="77E4D583">
        <w:rPr>
          <w:rFonts w:ascii="Calibri" w:hAnsi="Calibri" w:eastAsia="Calibri" w:cs="Calibri" w:asciiTheme="minorAscii" w:hAnsiTheme="minorAscii" w:eastAsiaTheme="minorAscii" w:cstheme="minorAscii"/>
          <w:sz w:val="22"/>
          <w:szCs w:val="22"/>
        </w:rPr>
        <w:t>must</w:t>
      </w:r>
      <w:r w:rsidRPr="1FD09425" w:rsidR="33B051F6">
        <w:rPr>
          <w:rFonts w:ascii="Calibri" w:hAnsi="Calibri" w:eastAsia="Calibri" w:cs="Calibri" w:asciiTheme="minorAscii" w:hAnsiTheme="minorAscii" w:eastAsiaTheme="minorAscii" w:cstheme="minorAscii"/>
          <w:sz w:val="22"/>
          <w:szCs w:val="22"/>
        </w:rPr>
        <w:t xml:space="preserve"> be </w:t>
      </w:r>
      <w:r w:rsidRPr="1FD09425" w:rsidR="33B051F6">
        <w:rPr>
          <w:rFonts w:ascii="Calibri" w:hAnsi="Calibri" w:eastAsia="Calibri" w:cs="Calibri" w:asciiTheme="minorAscii" w:hAnsiTheme="minorAscii" w:eastAsiaTheme="minorAscii" w:cstheme="minorAscii"/>
          <w:i w:val="1"/>
          <w:iCs w:val="1"/>
          <w:sz w:val="22"/>
          <w:szCs w:val="22"/>
        </w:rPr>
        <w:t>‘</w:t>
      </w:r>
      <w:r w:rsidRPr="1FD09425" w:rsidR="1B2C95C4">
        <w:rPr>
          <w:rFonts w:ascii="Calibri" w:hAnsi="Calibri" w:eastAsia="Calibri" w:cs="Calibri" w:asciiTheme="minorAscii" w:hAnsiTheme="minorAscii" w:eastAsiaTheme="minorAscii" w:cstheme="minorAscii"/>
          <w:i w:val="1"/>
          <w:iCs w:val="1"/>
          <w:sz w:val="22"/>
          <w:szCs w:val="22"/>
        </w:rPr>
        <w:t>engaged</w:t>
      </w:r>
      <w:r w:rsidRPr="1FD09425" w:rsidR="33B051F6">
        <w:rPr>
          <w:rFonts w:ascii="Calibri" w:hAnsi="Calibri" w:eastAsia="Calibri" w:cs="Calibri" w:asciiTheme="minorAscii" w:hAnsiTheme="minorAscii" w:eastAsiaTheme="minorAscii" w:cstheme="minorAscii"/>
          <w:i w:val="1"/>
          <w:iCs w:val="1"/>
          <w:sz w:val="22"/>
          <w:szCs w:val="22"/>
        </w:rPr>
        <w:t xml:space="preserve"> in an economic activity’ (</w:t>
      </w:r>
      <w:proofErr w:type="spellStart"/>
      <w:r w:rsidRPr="1FD09425" w:rsidR="33B051F6">
        <w:rPr>
          <w:rFonts w:ascii="Calibri" w:hAnsi="Calibri" w:eastAsia="Calibri" w:cs="Calibri" w:asciiTheme="minorAscii" w:hAnsiTheme="minorAscii" w:eastAsiaTheme="minorAscii" w:cstheme="minorAscii"/>
          <w:i w:val="1"/>
          <w:iCs w:val="1"/>
          <w:sz w:val="22"/>
          <w:szCs w:val="22"/>
        </w:rPr>
        <w:t>Poucet</w:t>
      </w:r>
      <w:proofErr w:type="spellEnd"/>
      <w:r w:rsidRPr="1FD09425" w:rsidR="33B051F6">
        <w:rPr>
          <w:rFonts w:ascii="Calibri" w:hAnsi="Calibri" w:eastAsia="Calibri" w:cs="Calibri" w:asciiTheme="minorAscii" w:hAnsiTheme="minorAscii" w:eastAsiaTheme="minorAscii" w:cstheme="minorAscii"/>
          <w:i w:val="1"/>
          <w:iCs w:val="1"/>
          <w:sz w:val="22"/>
          <w:szCs w:val="22"/>
        </w:rPr>
        <w:t xml:space="preserve"> 1993)</w:t>
      </w:r>
      <w:r w:rsidRPr="1FD09425" w:rsidR="33B051F6">
        <w:rPr>
          <w:rFonts w:ascii="Calibri" w:hAnsi="Calibri" w:eastAsia="Calibri" w:cs="Calibri" w:asciiTheme="minorAscii" w:hAnsiTheme="minorAscii" w:eastAsiaTheme="minorAscii" w:cstheme="minorAscii"/>
          <w:sz w:val="22"/>
          <w:szCs w:val="22"/>
        </w:rPr>
        <w:t xml:space="preserve">. In </w:t>
      </w:r>
      <w:proofErr w:type="spellStart"/>
      <w:r w:rsidRPr="1FD09425" w:rsidR="33B051F6">
        <w:rPr>
          <w:rFonts w:ascii="Calibri" w:hAnsi="Calibri" w:eastAsia="Calibri" w:cs="Calibri" w:asciiTheme="minorAscii" w:hAnsiTheme="minorAscii" w:eastAsiaTheme="minorAscii" w:cstheme="minorAscii"/>
          <w:sz w:val="22"/>
          <w:szCs w:val="22"/>
        </w:rPr>
        <w:t>Poucet</w:t>
      </w:r>
      <w:proofErr w:type="spellEnd"/>
      <w:r w:rsidRPr="1FD09425" w:rsidR="33B051F6">
        <w:rPr>
          <w:rFonts w:ascii="Calibri" w:hAnsi="Calibri" w:eastAsia="Calibri" w:cs="Calibri" w:asciiTheme="minorAscii" w:hAnsiTheme="minorAscii" w:eastAsiaTheme="minorAscii" w:cstheme="minorAscii"/>
          <w:sz w:val="22"/>
          <w:szCs w:val="22"/>
        </w:rPr>
        <w:t xml:space="preserve"> 1993, the company con</w:t>
      </w:r>
      <w:r w:rsidRPr="1FD09425" w:rsidR="750B6CC4">
        <w:rPr>
          <w:rFonts w:ascii="Calibri" w:hAnsi="Calibri" w:eastAsia="Calibri" w:cs="Calibri" w:asciiTheme="minorAscii" w:hAnsiTheme="minorAscii" w:eastAsiaTheme="minorAscii" w:cstheme="minorAscii"/>
          <w:sz w:val="22"/>
          <w:szCs w:val="22"/>
        </w:rPr>
        <w:t>cerned was dealing with social assistance, because the main objective was not to make money, the company were not considered an undertaking</w:t>
      </w:r>
      <w:r w:rsidRPr="1FD09425" w:rsidR="096FFF86">
        <w:rPr>
          <w:rFonts w:ascii="Calibri" w:hAnsi="Calibri" w:eastAsia="Calibri" w:cs="Calibri" w:asciiTheme="minorAscii" w:hAnsiTheme="minorAscii" w:eastAsiaTheme="minorAscii" w:cstheme="minorAscii"/>
          <w:sz w:val="22"/>
          <w:szCs w:val="22"/>
        </w:rPr>
        <w:t xml:space="preserve">. It is important to establish the facts in competition law as most companies are in the </w:t>
      </w:r>
      <w:r w:rsidRPr="1FD09425" w:rsidR="45CA146F">
        <w:rPr>
          <w:rFonts w:ascii="Calibri" w:hAnsi="Calibri" w:eastAsia="Calibri" w:cs="Calibri" w:asciiTheme="minorAscii" w:hAnsiTheme="minorAscii" w:eastAsiaTheme="minorAscii" w:cstheme="minorAscii"/>
          <w:sz w:val="22"/>
          <w:szCs w:val="22"/>
        </w:rPr>
        <w:t>relevant</w:t>
      </w:r>
      <w:r w:rsidRPr="1FD09425" w:rsidR="096FFF86">
        <w:rPr>
          <w:rFonts w:ascii="Calibri" w:hAnsi="Calibri" w:eastAsia="Calibri" w:cs="Calibri" w:asciiTheme="minorAscii" w:hAnsiTheme="minorAscii" w:eastAsiaTheme="minorAscii" w:cstheme="minorAscii"/>
          <w:sz w:val="22"/>
          <w:szCs w:val="22"/>
        </w:rPr>
        <w:t xml:space="preserve"> markets to make money, meaning they are consid</w:t>
      </w:r>
      <w:r w:rsidRPr="1FD09425" w:rsidR="5B70FBEA">
        <w:rPr>
          <w:rFonts w:ascii="Calibri" w:hAnsi="Calibri" w:eastAsia="Calibri" w:cs="Calibri" w:asciiTheme="minorAscii" w:hAnsiTheme="minorAscii" w:eastAsiaTheme="minorAscii" w:cstheme="minorAscii"/>
          <w:sz w:val="22"/>
          <w:szCs w:val="22"/>
        </w:rPr>
        <w:t>ered an undertaking</w:t>
      </w:r>
      <w:r w:rsidRPr="1FD09425" w:rsidR="61191DD0">
        <w:rPr>
          <w:rFonts w:ascii="Calibri" w:hAnsi="Calibri" w:eastAsia="Calibri" w:cs="Calibri" w:asciiTheme="minorAscii" w:hAnsiTheme="minorAscii" w:eastAsiaTheme="minorAscii" w:cstheme="minorAscii"/>
          <w:sz w:val="22"/>
          <w:szCs w:val="22"/>
        </w:rPr>
        <w:t xml:space="preserve"> and can be held accountable under relevant EU laws. </w:t>
      </w:r>
    </w:p>
    <w:p w:rsidR="61191DD0" w:rsidP="1FD09425" w:rsidRDefault="61191DD0" w14:paraId="5D2CF613" w14:textId="23267C00">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sz w:val="22"/>
          <w:szCs w:val="22"/>
        </w:rPr>
      </w:pPr>
      <w:r w:rsidRPr="1FD09425" w:rsidR="61191DD0">
        <w:rPr>
          <w:rFonts w:ascii="Calibri" w:hAnsi="Calibri" w:eastAsia="Calibri" w:cs="Calibri" w:asciiTheme="minorAscii" w:hAnsiTheme="minorAscii" w:eastAsiaTheme="minorAscii" w:cstheme="minorAscii"/>
          <w:sz w:val="22"/>
          <w:szCs w:val="22"/>
        </w:rPr>
        <w:t>For Article 101, there must be an agreement, decision or concerted practices. An agreement in context with competition law essentially is a ‘contrac</w:t>
      </w:r>
      <w:r w:rsidRPr="1FD09425" w:rsidR="62E71698">
        <w:rPr>
          <w:rFonts w:ascii="Calibri" w:hAnsi="Calibri" w:eastAsia="Calibri" w:cs="Calibri" w:asciiTheme="minorAscii" w:hAnsiTheme="minorAscii" w:eastAsiaTheme="minorAscii" w:cstheme="minorAscii"/>
          <w:sz w:val="22"/>
          <w:szCs w:val="22"/>
        </w:rPr>
        <w:t>t</w:t>
      </w:r>
      <w:r w:rsidRPr="1FD09425" w:rsidR="039BD45E">
        <w:rPr>
          <w:rFonts w:ascii="Calibri" w:hAnsi="Calibri" w:eastAsia="Calibri" w:cs="Calibri" w:asciiTheme="minorAscii" w:hAnsiTheme="minorAscii" w:eastAsiaTheme="minorAscii" w:cstheme="minorAscii"/>
          <w:sz w:val="22"/>
          <w:szCs w:val="22"/>
        </w:rPr>
        <w:t>’ between companies. This can be written or unwritten. The EU has expanded this scope of contractual law further</w:t>
      </w:r>
      <w:r w:rsidRPr="1FD09425" w:rsidR="0F609CE2">
        <w:rPr>
          <w:rFonts w:ascii="Calibri" w:hAnsi="Calibri" w:eastAsia="Calibri" w:cs="Calibri" w:asciiTheme="minorAscii" w:hAnsiTheme="minorAscii" w:eastAsiaTheme="minorAscii" w:cstheme="minorAscii"/>
          <w:sz w:val="22"/>
          <w:szCs w:val="22"/>
        </w:rPr>
        <w:t xml:space="preserve"> under Article 101. In the </w:t>
      </w:r>
      <w:r w:rsidRPr="1FD09425" w:rsidR="0F609CE2">
        <w:rPr>
          <w:rFonts w:ascii="Calibri" w:hAnsi="Calibri" w:eastAsia="Calibri" w:cs="Calibri" w:asciiTheme="minorAscii" w:hAnsiTheme="minorAscii" w:eastAsiaTheme="minorAscii" w:cstheme="minorAscii"/>
          <w:i w:val="1"/>
          <w:iCs w:val="1"/>
          <w:sz w:val="22"/>
          <w:szCs w:val="22"/>
        </w:rPr>
        <w:t xml:space="preserve">Quinine Cartel case </w:t>
      </w:r>
      <w:r w:rsidRPr="1FD09425" w:rsidR="373AC99D">
        <w:rPr>
          <w:rFonts w:ascii="Calibri" w:hAnsi="Calibri" w:eastAsia="Calibri" w:cs="Calibri" w:asciiTheme="minorAscii" w:hAnsiTheme="minorAscii" w:eastAsiaTheme="minorAscii" w:cstheme="minorAscii"/>
          <w:i w:val="1"/>
          <w:iCs w:val="1"/>
          <w:sz w:val="22"/>
          <w:szCs w:val="22"/>
        </w:rPr>
        <w:t>(</w:t>
      </w:r>
      <w:r w:rsidRPr="1FD09425" w:rsidR="0F609CE2">
        <w:rPr>
          <w:rFonts w:ascii="Calibri" w:hAnsi="Calibri" w:eastAsia="Calibri" w:cs="Calibri" w:asciiTheme="minorAscii" w:hAnsiTheme="minorAscii" w:eastAsiaTheme="minorAscii" w:cstheme="minorAscii"/>
          <w:i w:val="1"/>
          <w:iCs w:val="1"/>
          <w:sz w:val="22"/>
          <w:szCs w:val="22"/>
        </w:rPr>
        <w:t>1970</w:t>
      </w:r>
      <w:r w:rsidRPr="1FD09425" w:rsidR="08FA41F2">
        <w:rPr>
          <w:rFonts w:ascii="Calibri" w:hAnsi="Calibri" w:eastAsia="Calibri" w:cs="Calibri" w:asciiTheme="minorAscii" w:hAnsiTheme="minorAscii" w:eastAsiaTheme="minorAscii" w:cstheme="minorAscii"/>
          <w:i w:val="1"/>
          <w:iCs w:val="1"/>
          <w:sz w:val="22"/>
          <w:szCs w:val="22"/>
        </w:rPr>
        <w:t>)</w:t>
      </w:r>
      <w:r w:rsidRPr="1FD09425" w:rsidR="0F609CE2">
        <w:rPr>
          <w:rFonts w:ascii="Calibri" w:hAnsi="Calibri" w:eastAsia="Calibri" w:cs="Calibri" w:asciiTheme="minorAscii" w:hAnsiTheme="minorAscii" w:eastAsiaTheme="minorAscii" w:cstheme="minorAscii"/>
          <w:sz w:val="22"/>
          <w:szCs w:val="22"/>
        </w:rPr>
        <w:t xml:space="preserve">, there was a </w:t>
      </w:r>
      <w:r w:rsidRPr="1FD09425" w:rsidR="0F609CE2">
        <w:rPr>
          <w:rFonts w:ascii="Calibri" w:hAnsi="Calibri" w:eastAsia="Calibri" w:cs="Calibri" w:asciiTheme="minorAscii" w:hAnsiTheme="minorAscii" w:eastAsiaTheme="minorAscii" w:cstheme="minorAscii"/>
          <w:i w:val="1"/>
          <w:iCs w:val="1"/>
          <w:sz w:val="22"/>
          <w:szCs w:val="22"/>
        </w:rPr>
        <w:t>‘gentleman’s agreement’</w:t>
      </w:r>
      <w:r w:rsidRPr="1FD09425" w:rsidR="0F609CE2">
        <w:rPr>
          <w:rFonts w:ascii="Calibri" w:hAnsi="Calibri" w:eastAsia="Calibri" w:cs="Calibri" w:asciiTheme="minorAscii" w:hAnsiTheme="minorAscii" w:eastAsiaTheme="minorAscii" w:cstheme="minorAscii"/>
          <w:sz w:val="22"/>
          <w:szCs w:val="22"/>
        </w:rPr>
        <w:t xml:space="preserve"> which was an acknowledgement between the parties and undertaking</w:t>
      </w:r>
      <w:r w:rsidRPr="1FD09425" w:rsidR="7426AB12">
        <w:rPr>
          <w:rFonts w:ascii="Calibri" w:hAnsi="Calibri" w:eastAsia="Calibri" w:cs="Calibri" w:asciiTheme="minorAscii" w:hAnsiTheme="minorAscii" w:eastAsiaTheme="minorAscii" w:cstheme="minorAscii"/>
          <w:sz w:val="22"/>
          <w:szCs w:val="22"/>
        </w:rPr>
        <w:t xml:space="preserve">s. This shows that </w:t>
      </w:r>
      <w:r w:rsidRPr="1FD09425" w:rsidR="7426AB12">
        <w:rPr>
          <w:rFonts w:ascii="Calibri" w:hAnsi="Calibri" w:eastAsia="Calibri" w:cs="Calibri" w:asciiTheme="minorAscii" w:hAnsiTheme="minorAscii" w:eastAsiaTheme="minorAscii" w:cstheme="minorAscii"/>
          <w:i w:val="1"/>
          <w:iCs w:val="1"/>
          <w:sz w:val="22"/>
          <w:szCs w:val="22"/>
        </w:rPr>
        <w:t>‘underhand’</w:t>
      </w:r>
      <w:r w:rsidRPr="1FD09425" w:rsidR="7426AB12">
        <w:rPr>
          <w:rFonts w:ascii="Calibri" w:hAnsi="Calibri" w:eastAsia="Calibri" w:cs="Calibri" w:asciiTheme="minorAscii" w:hAnsiTheme="minorAscii" w:eastAsiaTheme="minorAscii" w:cstheme="minorAscii"/>
          <w:sz w:val="22"/>
          <w:szCs w:val="22"/>
        </w:rPr>
        <w:t xml:space="preserve"> type of agreements will be caught under EU law, in line with Article 101 and com</w:t>
      </w:r>
      <w:r w:rsidRPr="1FD09425" w:rsidR="0F413BF1">
        <w:rPr>
          <w:rFonts w:ascii="Calibri" w:hAnsi="Calibri" w:eastAsia="Calibri" w:cs="Calibri" w:asciiTheme="minorAscii" w:hAnsiTheme="minorAscii" w:eastAsiaTheme="minorAscii" w:cstheme="minorAscii"/>
          <w:sz w:val="22"/>
          <w:szCs w:val="22"/>
        </w:rPr>
        <w:t xml:space="preserve">petition laws. </w:t>
      </w:r>
    </w:p>
    <w:p w:rsidR="047E8ED2" w:rsidP="1FD09425" w:rsidRDefault="047E8ED2" w14:paraId="72907A03" w14:textId="610B9F36">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sz w:val="22"/>
          <w:szCs w:val="22"/>
        </w:rPr>
      </w:pPr>
      <w:r w:rsidRPr="1FD09425" w:rsidR="047E8ED2">
        <w:rPr>
          <w:rFonts w:ascii="Calibri" w:hAnsi="Calibri" w:eastAsia="Calibri" w:cs="Calibri" w:asciiTheme="minorAscii" w:hAnsiTheme="minorAscii" w:eastAsiaTheme="minorAscii" w:cstheme="minorAscii"/>
          <w:sz w:val="22"/>
          <w:szCs w:val="22"/>
        </w:rPr>
        <w:t xml:space="preserve">Article 102 covers the abuse of a dominant market position. There are four </w:t>
      </w:r>
      <w:r w:rsidRPr="1FD09425" w:rsidR="3AA73FB4">
        <w:rPr>
          <w:rFonts w:ascii="Calibri" w:hAnsi="Calibri" w:eastAsia="Calibri" w:cs="Calibri" w:asciiTheme="minorAscii" w:hAnsiTheme="minorAscii" w:eastAsiaTheme="minorAscii" w:cstheme="minorAscii"/>
          <w:sz w:val="22"/>
          <w:szCs w:val="22"/>
        </w:rPr>
        <w:t>initial</w:t>
      </w:r>
      <w:r w:rsidRPr="1FD09425" w:rsidR="047E8ED2">
        <w:rPr>
          <w:rFonts w:ascii="Calibri" w:hAnsi="Calibri" w:eastAsia="Calibri" w:cs="Calibri" w:asciiTheme="minorAscii" w:hAnsiTheme="minorAscii" w:eastAsiaTheme="minorAscii" w:cstheme="minorAscii"/>
          <w:sz w:val="22"/>
          <w:szCs w:val="22"/>
        </w:rPr>
        <w:t xml:space="preserve"> requirements. There </w:t>
      </w:r>
      <w:r w:rsidRPr="1FD09425" w:rsidR="740C43F9">
        <w:rPr>
          <w:rFonts w:ascii="Calibri" w:hAnsi="Calibri" w:eastAsia="Calibri" w:cs="Calibri" w:asciiTheme="minorAscii" w:hAnsiTheme="minorAscii" w:eastAsiaTheme="minorAscii" w:cstheme="minorAscii"/>
          <w:sz w:val="22"/>
          <w:szCs w:val="22"/>
        </w:rPr>
        <w:t>must</w:t>
      </w:r>
      <w:r w:rsidRPr="1FD09425" w:rsidR="047E8ED2">
        <w:rPr>
          <w:rFonts w:ascii="Calibri" w:hAnsi="Calibri" w:eastAsia="Calibri" w:cs="Calibri" w:asciiTheme="minorAscii" w:hAnsiTheme="minorAscii" w:eastAsiaTheme="minorAscii" w:cstheme="minorAscii"/>
          <w:sz w:val="22"/>
          <w:szCs w:val="22"/>
        </w:rPr>
        <w:t xml:space="preserve"> be an undertaking. </w:t>
      </w:r>
      <w:r w:rsidRPr="1FD09425" w:rsidR="06F87597">
        <w:rPr>
          <w:rFonts w:ascii="Calibri" w:hAnsi="Calibri" w:eastAsia="Calibri" w:cs="Calibri" w:asciiTheme="minorAscii" w:hAnsiTheme="minorAscii" w:eastAsiaTheme="minorAscii" w:cstheme="minorAscii"/>
          <w:sz w:val="22"/>
          <w:szCs w:val="22"/>
        </w:rPr>
        <w:t xml:space="preserve"> </w:t>
      </w:r>
      <w:r w:rsidRPr="1FD09425" w:rsidR="3F0D5A8C">
        <w:rPr>
          <w:rFonts w:ascii="Calibri" w:hAnsi="Calibri" w:eastAsia="Calibri" w:cs="Calibri" w:asciiTheme="minorAscii" w:hAnsiTheme="minorAscii" w:eastAsiaTheme="minorAscii" w:cstheme="minorAscii"/>
          <w:sz w:val="22"/>
          <w:szCs w:val="22"/>
        </w:rPr>
        <w:t>The next point is market dominance in the relevant market. The product market is important in understanding the significance surrounding compe</w:t>
      </w:r>
      <w:r w:rsidRPr="1FD09425" w:rsidR="659D4C35">
        <w:rPr>
          <w:rFonts w:ascii="Calibri" w:hAnsi="Calibri" w:eastAsia="Calibri" w:cs="Calibri" w:asciiTheme="minorAscii" w:hAnsiTheme="minorAscii" w:eastAsiaTheme="minorAscii" w:cstheme="minorAscii"/>
          <w:sz w:val="22"/>
          <w:szCs w:val="22"/>
        </w:rPr>
        <w:t xml:space="preserve">tition law. </w:t>
      </w:r>
      <w:r w:rsidRPr="1FD09425" w:rsidR="659D4C35">
        <w:rPr>
          <w:rFonts w:ascii="Calibri" w:hAnsi="Calibri" w:eastAsia="Calibri" w:cs="Calibri" w:asciiTheme="minorAscii" w:hAnsiTheme="minorAscii" w:eastAsiaTheme="minorAscii" w:cstheme="minorAscii"/>
          <w:i w:val="1"/>
          <w:iCs w:val="1"/>
          <w:sz w:val="22"/>
          <w:szCs w:val="22"/>
        </w:rPr>
        <w:t xml:space="preserve">United Brands (UB) v Commision </w:t>
      </w:r>
      <w:r w:rsidRPr="1FD09425" w:rsidR="0121549E">
        <w:rPr>
          <w:rFonts w:ascii="Calibri" w:hAnsi="Calibri" w:eastAsia="Calibri" w:cs="Calibri" w:asciiTheme="minorAscii" w:hAnsiTheme="minorAscii" w:eastAsiaTheme="minorAscii" w:cstheme="minorAscii"/>
          <w:i w:val="1"/>
          <w:iCs w:val="1"/>
          <w:sz w:val="22"/>
          <w:szCs w:val="22"/>
        </w:rPr>
        <w:t>(</w:t>
      </w:r>
      <w:r w:rsidRPr="1FD09425" w:rsidR="659D4C35">
        <w:rPr>
          <w:rFonts w:ascii="Calibri" w:hAnsi="Calibri" w:eastAsia="Calibri" w:cs="Calibri" w:asciiTheme="minorAscii" w:hAnsiTheme="minorAscii" w:eastAsiaTheme="minorAscii" w:cstheme="minorAscii"/>
          <w:i w:val="1"/>
          <w:iCs w:val="1"/>
          <w:sz w:val="22"/>
          <w:szCs w:val="22"/>
        </w:rPr>
        <w:t>1978</w:t>
      </w:r>
      <w:r w:rsidRPr="1FD09425" w:rsidR="0A21A6DD">
        <w:rPr>
          <w:rFonts w:ascii="Calibri" w:hAnsi="Calibri" w:eastAsia="Calibri" w:cs="Calibri" w:asciiTheme="minorAscii" w:hAnsiTheme="minorAscii" w:eastAsiaTheme="minorAscii" w:cstheme="minorAscii"/>
          <w:i w:val="1"/>
          <w:iCs w:val="1"/>
          <w:sz w:val="22"/>
          <w:szCs w:val="22"/>
        </w:rPr>
        <w:t>)</w:t>
      </w:r>
      <w:r w:rsidRPr="1FD09425" w:rsidR="659D4C35">
        <w:rPr>
          <w:rFonts w:ascii="Calibri" w:hAnsi="Calibri" w:eastAsia="Calibri" w:cs="Calibri" w:asciiTheme="minorAscii" w:hAnsiTheme="minorAscii" w:eastAsiaTheme="minorAscii" w:cstheme="minorAscii"/>
          <w:sz w:val="22"/>
          <w:szCs w:val="22"/>
        </w:rPr>
        <w:t xml:space="preserve">, where UB sold bananas and stated that the </w:t>
      </w:r>
      <w:r w:rsidRPr="1FD09425" w:rsidR="6B7FB077">
        <w:rPr>
          <w:rFonts w:ascii="Calibri" w:hAnsi="Calibri" w:eastAsia="Calibri" w:cs="Calibri" w:asciiTheme="minorAscii" w:hAnsiTheme="minorAscii" w:eastAsiaTheme="minorAscii" w:cstheme="minorAscii"/>
          <w:sz w:val="22"/>
          <w:szCs w:val="22"/>
        </w:rPr>
        <w:t>product market was fruit. However, the EU decided they were not fruit, but in</w:t>
      </w:r>
      <w:r w:rsidRPr="1FD09425" w:rsidR="749C7C78">
        <w:rPr>
          <w:rFonts w:ascii="Calibri" w:hAnsi="Calibri" w:eastAsia="Calibri" w:cs="Calibri" w:asciiTheme="minorAscii" w:hAnsiTheme="minorAscii" w:eastAsiaTheme="minorAscii" w:cstheme="minorAscii"/>
          <w:sz w:val="22"/>
          <w:szCs w:val="22"/>
        </w:rPr>
        <w:t xml:space="preserve"> </w:t>
      </w:r>
      <w:r w:rsidRPr="1FD09425" w:rsidR="6B7FB077">
        <w:rPr>
          <w:rFonts w:ascii="Calibri" w:hAnsi="Calibri" w:eastAsia="Calibri" w:cs="Calibri" w:asciiTheme="minorAscii" w:hAnsiTheme="minorAscii" w:eastAsiaTheme="minorAscii" w:cstheme="minorAscii"/>
          <w:sz w:val="22"/>
          <w:szCs w:val="22"/>
        </w:rPr>
        <w:t>fact seeds. The case concluded that the relevant product market was bananas not fruit. This d</w:t>
      </w:r>
      <w:r w:rsidRPr="1FD09425" w:rsidR="0DF7A90E">
        <w:rPr>
          <w:rFonts w:ascii="Calibri" w:hAnsi="Calibri" w:eastAsia="Calibri" w:cs="Calibri" w:asciiTheme="minorAscii" w:hAnsiTheme="minorAscii" w:eastAsiaTheme="minorAscii" w:cstheme="minorAscii"/>
          <w:sz w:val="22"/>
          <w:szCs w:val="22"/>
        </w:rPr>
        <w:t>emonstrates how such companies will try and make the product market as</w:t>
      </w:r>
      <w:r w:rsidRPr="1FD09425" w:rsidR="0DF7A90E">
        <w:rPr>
          <w:rFonts w:ascii="Calibri" w:hAnsi="Calibri" w:eastAsia="Calibri" w:cs="Calibri" w:asciiTheme="minorAscii" w:hAnsiTheme="minorAscii" w:eastAsiaTheme="minorAscii" w:cstheme="minorAscii"/>
          <w:i w:val="1"/>
          <w:iCs w:val="1"/>
          <w:sz w:val="22"/>
          <w:szCs w:val="22"/>
        </w:rPr>
        <w:t xml:space="preserve"> ‘broad’</w:t>
      </w:r>
      <w:r w:rsidRPr="1FD09425" w:rsidR="0DF7A90E">
        <w:rPr>
          <w:rFonts w:ascii="Calibri" w:hAnsi="Calibri" w:eastAsia="Calibri" w:cs="Calibri" w:asciiTheme="minorAscii" w:hAnsiTheme="minorAscii" w:eastAsiaTheme="minorAscii" w:cstheme="minorAscii"/>
          <w:sz w:val="22"/>
          <w:szCs w:val="22"/>
        </w:rPr>
        <w:t xml:space="preserve"> as </w:t>
      </w:r>
      <w:r w:rsidRPr="1FD09425" w:rsidR="50BFCBF1">
        <w:rPr>
          <w:rFonts w:ascii="Calibri" w:hAnsi="Calibri" w:eastAsia="Calibri" w:cs="Calibri" w:asciiTheme="minorAscii" w:hAnsiTheme="minorAscii" w:eastAsiaTheme="minorAscii" w:cstheme="minorAscii"/>
          <w:sz w:val="22"/>
          <w:szCs w:val="22"/>
        </w:rPr>
        <w:t>possible</w:t>
      </w:r>
      <w:r w:rsidRPr="1FD09425" w:rsidR="0DF7A90E">
        <w:rPr>
          <w:rFonts w:ascii="Calibri" w:hAnsi="Calibri" w:eastAsia="Calibri" w:cs="Calibri" w:asciiTheme="minorAscii" w:hAnsiTheme="minorAscii" w:eastAsiaTheme="minorAscii" w:cstheme="minorAscii"/>
          <w:sz w:val="22"/>
          <w:szCs w:val="22"/>
        </w:rPr>
        <w:t xml:space="preserve">. This is an issue, as it could show an element of market manipulation by big companies. </w:t>
      </w:r>
    </w:p>
    <w:p w:rsidR="76517E2F" w:rsidP="1FD09425" w:rsidRDefault="76517E2F" w14:paraId="29265BE6" w14:textId="517774D0">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sz w:val="22"/>
          <w:szCs w:val="22"/>
        </w:rPr>
      </w:pPr>
      <w:r w:rsidRPr="1FD09425" w:rsidR="76517E2F">
        <w:rPr>
          <w:rFonts w:ascii="Calibri" w:hAnsi="Calibri" w:eastAsia="Calibri" w:cs="Calibri" w:asciiTheme="minorAscii" w:hAnsiTheme="minorAscii" w:eastAsiaTheme="minorAscii" w:cstheme="minorAscii"/>
          <w:sz w:val="22"/>
          <w:szCs w:val="22"/>
        </w:rPr>
        <w:t xml:space="preserve">Geographical market is also important in product market as </w:t>
      </w:r>
      <w:r w:rsidRPr="1FD09425" w:rsidR="642D2803">
        <w:rPr>
          <w:rFonts w:ascii="Calibri" w:hAnsi="Calibri" w:eastAsia="Calibri" w:cs="Calibri" w:asciiTheme="minorAscii" w:hAnsiTheme="minorAscii" w:eastAsiaTheme="minorAscii" w:cstheme="minorAscii"/>
          <w:sz w:val="22"/>
          <w:szCs w:val="22"/>
        </w:rPr>
        <w:t>demonstrated</w:t>
      </w:r>
      <w:r w:rsidRPr="1FD09425" w:rsidR="76517E2F">
        <w:rPr>
          <w:rFonts w:ascii="Calibri" w:hAnsi="Calibri" w:eastAsia="Calibri" w:cs="Calibri" w:asciiTheme="minorAscii" w:hAnsiTheme="minorAscii" w:eastAsiaTheme="minorAscii" w:cstheme="minorAscii"/>
          <w:sz w:val="22"/>
          <w:szCs w:val="22"/>
        </w:rPr>
        <w:t xml:space="preserve"> in the case of </w:t>
      </w:r>
      <w:r w:rsidRPr="1FD09425" w:rsidR="76517E2F">
        <w:rPr>
          <w:rFonts w:ascii="Calibri" w:hAnsi="Calibri" w:eastAsia="Calibri" w:cs="Calibri" w:asciiTheme="minorAscii" w:hAnsiTheme="minorAscii" w:eastAsiaTheme="minorAscii" w:cstheme="minorAscii"/>
          <w:i w:val="1"/>
          <w:iCs w:val="1"/>
          <w:sz w:val="22"/>
          <w:szCs w:val="22"/>
        </w:rPr>
        <w:t xml:space="preserve">Napier </w:t>
      </w:r>
      <w:r w:rsidRPr="1FD09425" w:rsidR="4A5C2A08">
        <w:rPr>
          <w:rFonts w:ascii="Calibri" w:hAnsi="Calibri" w:eastAsia="Calibri" w:cs="Calibri" w:asciiTheme="minorAscii" w:hAnsiTheme="minorAscii" w:eastAsiaTheme="minorAscii" w:cstheme="minorAscii"/>
          <w:i w:val="1"/>
          <w:iCs w:val="1"/>
          <w:sz w:val="22"/>
          <w:szCs w:val="22"/>
        </w:rPr>
        <w:t xml:space="preserve">Brown- British </w:t>
      </w:r>
      <w:r w:rsidRPr="1FD09425" w:rsidR="1FC3B5C0">
        <w:rPr>
          <w:rFonts w:ascii="Calibri" w:hAnsi="Calibri" w:eastAsia="Calibri" w:cs="Calibri" w:asciiTheme="minorAscii" w:hAnsiTheme="minorAscii" w:eastAsiaTheme="minorAscii" w:cstheme="minorAscii"/>
          <w:i w:val="1"/>
          <w:iCs w:val="1"/>
          <w:sz w:val="22"/>
          <w:szCs w:val="22"/>
        </w:rPr>
        <w:t>S</w:t>
      </w:r>
      <w:r w:rsidRPr="1FD09425" w:rsidR="4A5C2A08">
        <w:rPr>
          <w:rFonts w:ascii="Calibri" w:hAnsi="Calibri" w:eastAsia="Calibri" w:cs="Calibri" w:asciiTheme="minorAscii" w:hAnsiTheme="minorAscii" w:eastAsiaTheme="minorAscii" w:cstheme="minorAscii"/>
          <w:i w:val="1"/>
          <w:iCs w:val="1"/>
          <w:sz w:val="22"/>
          <w:szCs w:val="22"/>
        </w:rPr>
        <w:t xml:space="preserve">ugar </w:t>
      </w:r>
      <w:r w:rsidRPr="1FD09425" w:rsidR="6C6E9018">
        <w:rPr>
          <w:rFonts w:ascii="Calibri" w:hAnsi="Calibri" w:eastAsia="Calibri" w:cs="Calibri" w:asciiTheme="minorAscii" w:hAnsiTheme="minorAscii" w:eastAsiaTheme="minorAscii" w:cstheme="minorAscii"/>
          <w:i w:val="1"/>
          <w:iCs w:val="1"/>
          <w:sz w:val="22"/>
          <w:szCs w:val="22"/>
        </w:rPr>
        <w:t>(</w:t>
      </w:r>
      <w:r w:rsidRPr="1FD09425" w:rsidR="4A5C2A08">
        <w:rPr>
          <w:rFonts w:ascii="Calibri" w:hAnsi="Calibri" w:eastAsia="Calibri" w:cs="Calibri" w:asciiTheme="minorAscii" w:hAnsiTheme="minorAscii" w:eastAsiaTheme="minorAscii" w:cstheme="minorAscii"/>
          <w:i w:val="1"/>
          <w:iCs w:val="1"/>
          <w:sz w:val="22"/>
          <w:szCs w:val="22"/>
        </w:rPr>
        <w:t>1988</w:t>
      </w:r>
      <w:r w:rsidRPr="1FD09425" w:rsidR="7A944C2E">
        <w:rPr>
          <w:rFonts w:ascii="Calibri" w:hAnsi="Calibri" w:eastAsia="Calibri" w:cs="Calibri" w:asciiTheme="minorAscii" w:hAnsiTheme="minorAscii" w:eastAsiaTheme="minorAscii" w:cstheme="minorAscii"/>
          <w:i w:val="1"/>
          <w:iCs w:val="1"/>
          <w:sz w:val="22"/>
          <w:szCs w:val="22"/>
        </w:rPr>
        <w:t>)</w:t>
      </w:r>
      <w:r w:rsidRPr="1FD09425" w:rsidR="4A5C2A08">
        <w:rPr>
          <w:rFonts w:ascii="Calibri" w:hAnsi="Calibri" w:eastAsia="Calibri" w:cs="Calibri" w:asciiTheme="minorAscii" w:hAnsiTheme="minorAscii" w:eastAsiaTheme="minorAscii" w:cstheme="minorAscii"/>
          <w:sz w:val="22"/>
          <w:szCs w:val="22"/>
        </w:rPr>
        <w:t>. The company in this case argued that the geographic market was very wide</w:t>
      </w:r>
      <w:r w:rsidRPr="1FD09425" w:rsidR="4A5C2A08">
        <w:rPr>
          <w:rFonts w:ascii="Calibri" w:hAnsi="Calibri" w:eastAsia="Calibri" w:cs="Calibri" w:asciiTheme="minorAscii" w:hAnsiTheme="minorAscii" w:eastAsiaTheme="minorAscii" w:cstheme="minorAscii"/>
          <w:sz w:val="22"/>
          <w:szCs w:val="22"/>
        </w:rPr>
        <w:t xml:space="preserve"> </w:t>
      </w:r>
      <w:r w:rsidRPr="1FD09425" w:rsidR="077210EA">
        <w:rPr>
          <w:rFonts w:ascii="Calibri" w:hAnsi="Calibri" w:eastAsia="Calibri" w:cs="Calibri" w:asciiTheme="minorAscii" w:hAnsiTheme="minorAscii" w:eastAsiaTheme="minorAscii" w:cstheme="minorAscii"/>
          <w:sz w:val="22"/>
          <w:szCs w:val="22"/>
        </w:rPr>
        <w:t>incorporating</w:t>
      </w:r>
      <w:r w:rsidRPr="1FD09425" w:rsidR="4A5C2A08">
        <w:rPr>
          <w:rFonts w:ascii="Calibri" w:hAnsi="Calibri" w:eastAsia="Calibri" w:cs="Calibri" w:asciiTheme="minorAscii" w:hAnsiTheme="minorAscii" w:eastAsiaTheme="minorAscii" w:cstheme="minorAscii"/>
          <w:sz w:val="22"/>
          <w:szCs w:val="22"/>
        </w:rPr>
        <w:t xml:space="preserve"> the whole EU. However,</w:t>
      </w:r>
      <w:r w:rsidRPr="1FD09425" w:rsidR="64A3210B">
        <w:rPr>
          <w:rFonts w:ascii="Calibri" w:hAnsi="Calibri" w:eastAsia="Calibri" w:cs="Calibri" w:asciiTheme="minorAscii" w:hAnsiTheme="minorAscii" w:eastAsiaTheme="minorAscii" w:cstheme="minorAscii"/>
          <w:sz w:val="22"/>
          <w:szCs w:val="22"/>
        </w:rPr>
        <w:t xml:space="preserve"> the court concluded that Napier in this case, in relation to </w:t>
      </w:r>
      <w:r w:rsidRPr="1FD09425" w:rsidR="5201C91B">
        <w:rPr>
          <w:rFonts w:ascii="Calibri" w:hAnsi="Calibri" w:eastAsia="Calibri" w:cs="Calibri" w:asciiTheme="minorAscii" w:hAnsiTheme="minorAscii" w:eastAsiaTheme="minorAscii" w:cstheme="minorAscii"/>
          <w:sz w:val="22"/>
          <w:szCs w:val="22"/>
        </w:rPr>
        <w:t>geographical</w:t>
      </w:r>
      <w:r w:rsidRPr="1FD09425" w:rsidR="64A3210B">
        <w:rPr>
          <w:rFonts w:ascii="Calibri" w:hAnsi="Calibri" w:eastAsia="Calibri" w:cs="Calibri" w:asciiTheme="minorAscii" w:hAnsiTheme="minorAscii" w:eastAsiaTheme="minorAscii" w:cstheme="minorAscii"/>
          <w:sz w:val="22"/>
          <w:szCs w:val="22"/>
        </w:rPr>
        <w:t xml:space="preserve"> markets, only the UK was considered as their market because they had a broad market share. </w:t>
      </w:r>
      <w:r w:rsidRPr="1FD09425" w:rsidR="0975FB7C">
        <w:rPr>
          <w:rFonts w:ascii="Calibri" w:hAnsi="Calibri" w:eastAsia="Calibri" w:cs="Calibri" w:asciiTheme="minorAscii" w:hAnsiTheme="minorAscii" w:eastAsiaTheme="minorAscii" w:cstheme="minorAscii"/>
          <w:sz w:val="22"/>
          <w:szCs w:val="22"/>
        </w:rPr>
        <w:t>Furthermore</w:t>
      </w:r>
      <w:r w:rsidRPr="1FD09425" w:rsidR="201BD798">
        <w:rPr>
          <w:rFonts w:ascii="Calibri" w:hAnsi="Calibri" w:eastAsia="Calibri" w:cs="Calibri" w:asciiTheme="minorAscii" w:hAnsiTheme="minorAscii" w:eastAsiaTheme="minorAscii" w:cstheme="minorAscii"/>
          <w:sz w:val="22"/>
          <w:szCs w:val="22"/>
        </w:rPr>
        <w:t xml:space="preserve">, the commission may consider time as a factor in relevant context. Certain products like fruits which may have limited </w:t>
      </w:r>
      <w:r w:rsidRPr="1FD09425" w:rsidR="53C36158">
        <w:rPr>
          <w:rFonts w:ascii="Calibri" w:hAnsi="Calibri" w:eastAsia="Calibri" w:cs="Calibri" w:asciiTheme="minorAscii" w:hAnsiTheme="minorAscii" w:eastAsiaTheme="minorAscii" w:cstheme="minorAscii"/>
          <w:sz w:val="22"/>
          <w:szCs w:val="22"/>
        </w:rPr>
        <w:t>availability</w:t>
      </w:r>
      <w:r w:rsidRPr="1FD09425" w:rsidR="201BD798">
        <w:rPr>
          <w:rFonts w:ascii="Calibri" w:hAnsi="Calibri" w:eastAsia="Calibri" w:cs="Calibri" w:asciiTheme="minorAscii" w:hAnsiTheme="minorAscii" w:eastAsiaTheme="minorAscii" w:cstheme="minorAscii"/>
          <w:sz w:val="22"/>
          <w:szCs w:val="22"/>
        </w:rPr>
        <w:t>. This is so</w:t>
      </w:r>
      <w:r w:rsidRPr="1FD09425" w:rsidR="088B1632">
        <w:rPr>
          <w:rFonts w:ascii="Calibri" w:hAnsi="Calibri" w:eastAsia="Calibri" w:cs="Calibri" w:asciiTheme="minorAscii" w:hAnsiTheme="minorAscii" w:eastAsiaTheme="minorAscii" w:cstheme="minorAscii"/>
          <w:sz w:val="22"/>
          <w:szCs w:val="22"/>
        </w:rPr>
        <w:t xml:space="preserve">mething that needs to be looked at, </w:t>
      </w:r>
      <w:r w:rsidRPr="1FD09425" w:rsidR="114086D1">
        <w:rPr>
          <w:rFonts w:ascii="Calibri" w:hAnsi="Calibri" w:eastAsia="Calibri" w:cs="Calibri" w:asciiTheme="minorAscii" w:hAnsiTheme="minorAscii" w:eastAsiaTheme="minorAscii" w:cstheme="minorAscii"/>
          <w:sz w:val="22"/>
          <w:szCs w:val="22"/>
        </w:rPr>
        <w:t>particularly</w:t>
      </w:r>
      <w:r w:rsidRPr="1FD09425" w:rsidR="088B1632">
        <w:rPr>
          <w:rFonts w:ascii="Calibri" w:hAnsi="Calibri" w:eastAsia="Calibri" w:cs="Calibri" w:asciiTheme="minorAscii" w:hAnsiTheme="minorAscii" w:eastAsiaTheme="minorAscii" w:cstheme="minorAscii"/>
          <w:sz w:val="22"/>
          <w:szCs w:val="22"/>
        </w:rPr>
        <w:t xml:space="preserve"> in certain industries. Another factor evaluated is dominance. If dominance is identified clearly,</w:t>
      </w:r>
      <w:r w:rsidRPr="1FD09425" w:rsidR="3D9D365A">
        <w:rPr>
          <w:rFonts w:ascii="Calibri" w:hAnsi="Calibri" w:eastAsia="Calibri" w:cs="Calibri" w:asciiTheme="minorAscii" w:hAnsiTheme="minorAscii" w:eastAsiaTheme="minorAscii" w:cstheme="minorAscii"/>
          <w:sz w:val="22"/>
          <w:szCs w:val="22"/>
        </w:rPr>
        <w:t xml:space="preserve"> in context with competition law, examining the difference between the ‘top’ companies and ‘</w:t>
      </w:r>
      <w:r w:rsidRPr="1FD09425" w:rsidR="0742BE73">
        <w:rPr>
          <w:rFonts w:ascii="Calibri" w:hAnsi="Calibri" w:eastAsia="Calibri" w:cs="Calibri" w:asciiTheme="minorAscii" w:hAnsiTheme="minorAscii" w:eastAsiaTheme="minorAscii" w:cstheme="minorAscii"/>
          <w:sz w:val="22"/>
          <w:szCs w:val="22"/>
        </w:rPr>
        <w:t xml:space="preserve">lower’ companies is vital. </w:t>
      </w:r>
    </w:p>
    <w:p w:rsidR="4274213C" w:rsidP="1FD09425" w:rsidRDefault="4274213C" w14:paraId="3CA21D02" w14:textId="4B8F484B">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i w:val="0"/>
          <w:iCs w:val="0"/>
          <w:sz w:val="22"/>
          <w:szCs w:val="22"/>
        </w:rPr>
      </w:pPr>
      <w:r w:rsidRPr="1FD09425" w:rsidR="4274213C">
        <w:rPr>
          <w:rFonts w:ascii="Calibri" w:hAnsi="Calibri" w:eastAsia="Calibri" w:cs="Calibri" w:asciiTheme="minorAscii" w:hAnsiTheme="minorAscii" w:eastAsiaTheme="minorAscii" w:cstheme="minorAscii"/>
          <w:sz w:val="22"/>
          <w:szCs w:val="22"/>
        </w:rPr>
        <w:t xml:space="preserve">In </w:t>
      </w:r>
      <w:r w:rsidRPr="1FD09425" w:rsidR="4274213C">
        <w:rPr>
          <w:rFonts w:ascii="Calibri" w:hAnsi="Calibri" w:eastAsia="Calibri" w:cs="Calibri" w:asciiTheme="minorAscii" w:hAnsiTheme="minorAscii" w:eastAsiaTheme="minorAscii" w:cstheme="minorAscii"/>
          <w:i w:val="1"/>
          <w:iCs w:val="1"/>
          <w:sz w:val="22"/>
          <w:szCs w:val="22"/>
        </w:rPr>
        <w:t xml:space="preserve">British Airways v Commission </w:t>
      </w:r>
      <w:r w:rsidRPr="1FD09425" w:rsidR="26878741">
        <w:rPr>
          <w:rFonts w:ascii="Calibri" w:hAnsi="Calibri" w:eastAsia="Calibri" w:cs="Calibri" w:asciiTheme="minorAscii" w:hAnsiTheme="minorAscii" w:eastAsiaTheme="minorAscii" w:cstheme="minorAscii"/>
          <w:i w:val="1"/>
          <w:iCs w:val="1"/>
          <w:sz w:val="22"/>
          <w:szCs w:val="22"/>
        </w:rPr>
        <w:t>(</w:t>
      </w:r>
      <w:r w:rsidRPr="1FD09425" w:rsidR="4274213C">
        <w:rPr>
          <w:rFonts w:ascii="Calibri" w:hAnsi="Calibri" w:eastAsia="Calibri" w:cs="Calibri" w:asciiTheme="minorAscii" w:hAnsiTheme="minorAscii" w:eastAsiaTheme="minorAscii" w:cstheme="minorAscii"/>
          <w:i w:val="1"/>
          <w:iCs w:val="1"/>
          <w:sz w:val="22"/>
          <w:szCs w:val="22"/>
        </w:rPr>
        <w:t>2004</w:t>
      </w:r>
      <w:r w:rsidRPr="1FD09425" w:rsidR="576424E2">
        <w:rPr>
          <w:rFonts w:ascii="Calibri" w:hAnsi="Calibri" w:eastAsia="Calibri" w:cs="Calibri" w:asciiTheme="minorAscii" w:hAnsiTheme="minorAscii" w:eastAsiaTheme="minorAscii" w:cstheme="minorAscii"/>
          <w:i w:val="1"/>
          <w:iCs w:val="1"/>
          <w:sz w:val="22"/>
          <w:szCs w:val="22"/>
        </w:rPr>
        <w:t>)</w:t>
      </w:r>
      <w:r w:rsidRPr="1FD09425" w:rsidR="4274213C">
        <w:rPr>
          <w:rFonts w:ascii="Calibri" w:hAnsi="Calibri" w:eastAsia="Calibri" w:cs="Calibri" w:asciiTheme="minorAscii" w:hAnsiTheme="minorAscii" w:eastAsiaTheme="minorAscii" w:cstheme="minorAscii"/>
          <w:i w:val="1"/>
          <w:iCs w:val="1"/>
          <w:sz w:val="22"/>
          <w:szCs w:val="22"/>
        </w:rPr>
        <w:t>,</w:t>
      </w:r>
      <w:r w:rsidRPr="1FD09425" w:rsidR="4274213C">
        <w:rPr>
          <w:rFonts w:ascii="Calibri" w:hAnsi="Calibri" w:eastAsia="Calibri" w:cs="Calibri" w:asciiTheme="minorAscii" w:hAnsiTheme="minorAscii" w:eastAsiaTheme="minorAscii" w:cstheme="minorAscii"/>
          <w:sz w:val="22"/>
          <w:szCs w:val="22"/>
        </w:rPr>
        <w:t xml:space="preserve"> an example of dominance is demonstrated</w:t>
      </w:r>
      <w:r w:rsidRPr="1FD09425" w:rsidR="04DAB56B">
        <w:rPr>
          <w:rFonts w:ascii="Calibri" w:hAnsi="Calibri" w:eastAsia="Calibri" w:cs="Calibri" w:asciiTheme="minorAscii" w:hAnsiTheme="minorAscii" w:eastAsiaTheme="minorAscii" w:cstheme="minorAscii"/>
          <w:sz w:val="22"/>
          <w:szCs w:val="22"/>
        </w:rPr>
        <w:t>, however some issues with identifying it are present</w:t>
      </w:r>
      <w:r w:rsidRPr="1FD09425" w:rsidR="4274213C">
        <w:rPr>
          <w:rFonts w:ascii="Calibri" w:hAnsi="Calibri" w:eastAsia="Calibri" w:cs="Calibri" w:asciiTheme="minorAscii" w:hAnsiTheme="minorAscii" w:eastAsiaTheme="minorAscii" w:cstheme="minorAscii"/>
          <w:sz w:val="22"/>
          <w:szCs w:val="22"/>
        </w:rPr>
        <w:t xml:space="preserve">. British </w:t>
      </w:r>
      <w:r w:rsidRPr="1FD09425" w:rsidR="3BF5B5FB">
        <w:rPr>
          <w:rFonts w:ascii="Calibri" w:hAnsi="Calibri" w:eastAsia="Calibri" w:cs="Calibri" w:asciiTheme="minorAscii" w:hAnsiTheme="minorAscii" w:eastAsiaTheme="minorAscii" w:cstheme="minorAscii"/>
          <w:sz w:val="22"/>
          <w:szCs w:val="22"/>
        </w:rPr>
        <w:t>Airways</w:t>
      </w:r>
      <w:r w:rsidRPr="1FD09425" w:rsidR="4274213C">
        <w:rPr>
          <w:rFonts w:ascii="Calibri" w:hAnsi="Calibri" w:eastAsia="Calibri" w:cs="Calibri" w:asciiTheme="minorAscii" w:hAnsiTheme="minorAscii" w:eastAsiaTheme="minorAscii" w:cstheme="minorAscii"/>
          <w:sz w:val="22"/>
          <w:szCs w:val="22"/>
        </w:rPr>
        <w:t xml:space="preserve"> held 40</w:t>
      </w:r>
      <w:r w:rsidRPr="1FD09425" w:rsidR="7E741F06">
        <w:rPr>
          <w:rFonts w:ascii="Calibri" w:hAnsi="Calibri" w:eastAsia="Calibri" w:cs="Calibri" w:asciiTheme="minorAscii" w:hAnsiTheme="minorAscii" w:eastAsiaTheme="minorAscii" w:cstheme="minorAscii"/>
          <w:sz w:val="22"/>
          <w:szCs w:val="22"/>
        </w:rPr>
        <w:t xml:space="preserve">% of the </w:t>
      </w:r>
      <w:r w:rsidRPr="1FD09425" w:rsidR="6F7E287F">
        <w:rPr>
          <w:rFonts w:ascii="Calibri" w:hAnsi="Calibri" w:eastAsia="Calibri" w:cs="Calibri" w:asciiTheme="minorAscii" w:hAnsiTheme="minorAscii" w:eastAsiaTheme="minorAscii" w:cstheme="minorAscii"/>
          <w:sz w:val="22"/>
          <w:szCs w:val="22"/>
        </w:rPr>
        <w:t>market</w:t>
      </w:r>
      <w:r w:rsidRPr="1FD09425" w:rsidR="7E741F06">
        <w:rPr>
          <w:rFonts w:ascii="Calibri" w:hAnsi="Calibri" w:eastAsia="Calibri" w:cs="Calibri" w:asciiTheme="minorAscii" w:hAnsiTheme="minorAscii" w:eastAsiaTheme="minorAscii" w:cstheme="minorAscii"/>
          <w:sz w:val="22"/>
          <w:szCs w:val="22"/>
        </w:rPr>
        <w:t xml:space="preserve">, whereas the next major </w:t>
      </w:r>
      <w:r w:rsidRPr="1FD09425" w:rsidR="5D9A6F5B">
        <w:rPr>
          <w:rFonts w:ascii="Calibri" w:hAnsi="Calibri" w:eastAsia="Calibri" w:cs="Calibri" w:asciiTheme="minorAscii" w:hAnsiTheme="minorAscii" w:eastAsiaTheme="minorAscii" w:cstheme="minorAscii"/>
          <w:sz w:val="22"/>
          <w:szCs w:val="22"/>
        </w:rPr>
        <w:t>shareholder</w:t>
      </w:r>
      <w:r w:rsidRPr="1FD09425" w:rsidR="7E741F06">
        <w:rPr>
          <w:rFonts w:ascii="Calibri" w:hAnsi="Calibri" w:eastAsia="Calibri" w:cs="Calibri" w:asciiTheme="minorAscii" w:hAnsiTheme="minorAscii" w:eastAsiaTheme="minorAscii" w:cstheme="minorAscii"/>
          <w:sz w:val="22"/>
          <w:szCs w:val="22"/>
        </w:rPr>
        <w:t xml:space="preserve"> was Virgin and Virgin, who controlled 5%. There is a clear difference in stakes, and the</w:t>
      </w:r>
      <w:r w:rsidRPr="1FD09425" w:rsidR="2EA50ED3">
        <w:rPr>
          <w:rFonts w:ascii="Calibri" w:hAnsi="Calibri" w:eastAsia="Calibri" w:cs="Calibri" w:asciiTheme="minorAscii" w:hAnsiTheme="minorAscii" w:eastAsiaTheme="minorAscii" w:cstheme="minorAscii"/>
          <w:sz w:val="22"/>
          <w:szCs w:val="22"/>
        </w:rPr>
        <w:t xml:space="preserve"> case concluded that the</w:t>
      </w:r>
      <w:r w:rsidRPr="1FD09425" w:rsidR="7E741F06">
        <w:rPr>
          <w:rFonts w:ascii="Calibri" w:hAnsi="Calibri" w:eastAsia="Calibri" w:cs="Calibri" w:asciiTheme="minorAscii" w:hAnsiTheme="minorAscii" w:eastAsiaTheme="minorAscii" w:cstheme="minorAscii"/>
          <w:sz w:val="22"/>
          <w:szCs w:val="22"/>
        </w:rPr>
        <w:t xml:space="preserve"> </w:t>
      </w:r>
      <w:r w:rsidRPr="1FD09425" w:rsidR="3FCF39D5">
        <w:rPr>
          <w:rFonts w:ascii="Calibri" w:hAnsi="Calibri" w:eastAsia="Calibri" w:cs="Calibri" w:asciiTheme="minorAscii" w:hAnsiTheme="minorAscii" w:eastAsiaTheme="minorAscii" w:cstheme="minorAscii"/>
          <w:sz w:val="22"/>
          <w:szCs w:val="22"/>
        </w:rPr>
        <w:t xml:space="preserve">‘gap’ is big enough to consider market dominance. </w:t>
      </w:r>
      <w:r w:rsidRPr="1FD09425" w:rsidR="68083CE3">
        <w:rPr>
          <w:rFonts w:ascii="Calibri" w:hAnsi="Calibri" w:eastAsia="Calibri" w:cs="Calibri" w:asciiTheme="minorAscii" w:hAnsiTheme="minorAscii" w:eastAsiaTheme="minorAscii" w:cstheme="minorAscii"/>
          <w:sz w:val="22"/>
          <w:szCs w:val="22"/>
        </w:rPr>
        <w:t>But</w:t>
      </w:r>
      <w:r w:rsidRPr="1FD09425" w:rsidR="3FCF39D5">
        <w:rPr>
          <w:rFonts w:ascii="Calibri" w:hAnsi="Calibri" w:eastAsia="Calibri" w:cs="Calibri" w:asciiTheme="minorAscii" w:hAnsiTheme="minorAscii" w:eastAsiaTheme="minorAscii" w:cstheme="minorAscii"/>
          <w:sz w:val="22"/>
          <w:szCs w:val="22"/>
        </w:rPr>
        <w:t xml:space="preserve"> this also shows </w:t>
      </w:r>
      <w:r w:rsidRPr="1FD09425" w:rsidR="235CA819">
        <w:rPr>
          <w:rFonts w:ascii="Calibri" w:hAnsi="Calibri" w:eastAsia="Calibri" w:cs="Calibri" w:asciiTheme="minorAscii" w:hAnsiTheme="minorAscii" w:eastAsiaTheme="minorAscii" w:cstheme="minorAscii"/>
          <w:sz w:val="22"/>
          <w:szCs w:val="22"/>
        </w:rPr>
        <w:t xml:space="preserve">issues when looking at dominance. In a traditional sense British Airways did not hold a major share </w:t>
      </w:r>
      <w:proofErr w:type="gramStart"/>
      <w:r w:rsidRPr="1FD09425" w:rsidR="235CA819">
        <w:rPr>
          <w:rFonts w:ascii="Calibri" w:hAnsi="Calibri" w:eastAsia="Calibri" w:cs="Calibri" w:asciiTheme="minorAscii" w:hAnsiTheme="minorAscii" w:eastAsiaTheme="minorAscii" w:cstheme="minorAscii"/>
          <w:sz w:val="22"/>
          <w:szCs w:val="22"/>
        </w:rPr>
        <w:t>I.e.</w:t>
      </w:r>
      <w:proofErr w:type="gramEnd"/>
      <w:r w:rsidRPr="1FD09425" w:rsidR="235CA819">
        <w:rPr>
          <w:rFonts w:ascii="Calibri" w:hAnsi="Calibri" w:eastAsia="Calibri" w:cs="Calibri" w:asciiTheme="minorAscii" w:hAnsiTheme="minorAscii" w:eastAsiaTheme="minorAscii" w:cstheme="minorAscii"/>
          <w:sz w:val="22"/>
          <w:szCs w:val="22"/>
        </w:rPr>
        <w:t xml:space="preserve"> &gt;50%. </w:t>
      </w:r>
      <w:proofErr w:type="gramStart"/>
      <w:r w:rsidRPr="1FD09425" w:rsidR="235CA819">
        <w:rPr>
          <w:rFonts w:ascii="Calibri" w:hAnsi="Calibri" w:eastAsia="Calibri" w:cs="Calibri" w:asciiTheme="minorAscii" w:hAnsiTheme="minorAscii" w:eastAsiaTheme="minorAscii" w:cstheme="minorAscii"/>
          <w:sz w:val="22"/>
          <w:szCs w:val="22"/>
        </w:rPr>
        <w:t>So</w:t>
      </w:r>
      <w:proofErr w:type="gramEnd"/>
      <w:r w:rsidRPr="1FD09425" w:rsidR="235CA819">
        <w:rPr>
          <w:rFonts w:ascii="Calibri" w:hAnsi="Calibri" w:eastAsia="Calibri" w:cs="Calibri" w:asciiTheme="minorAscii" w:hAnsiTheme="minorAscii" w:eastAsiaTheme="minorAscii" w:cstheme="minorAscii"/>
          <w:sz w:val="22"/>
          <w:szCs w:val="22"/>
        </w:rPr>
        <w:t xml:space="preserve"> </w:t>
      </w:r>
      <w:r w:rsidRPr="1FD09425" w:rsidR="15549907">
        <w:rPr>
          <w:rFonts w:ascii="Calibri" w:hAnsi="Calibri" w:eastAsia="Calibri" w:cs="Calibri" w:asciiTheme="minorAscii" w:hAnsiTheme="minorAscii" w:eastAsiaTheme="minorAscii" w:cstheme="minorAscii"/>
          <w:sz w:val="22"/>
          <w:szCs w:val="22"/>
        </w:rPr>
        <w:t>criticism</w:t>
      </w:r>
      <w:r w:rsidRPr="1FD09425" w:rsidR="235CA819">
        <w:rPr>
          <w:rFonts w:ascii="Calibri" w:hAnsi="Calibri" w:eastAsia="Calibri" w:cs="Calibri" w:asciiTheme="minorAscii" w:hAnsiTheme="minorAscii" w:eastAsiaTheme="minorAscii" w:cstheme="minorAscii"/>
          <w:sz w:val="22"/>
          <w:szCs w:val="22"/>
        </w:rPr>
        <w:t xml:space="preserve"> in this case </w:t>
      </w:r>
      <w:r w:rsidRPr="1FD09425" w:rsidR="42ADE0FB">
        <w:rPr>
          <w:rFonts w:ascii="Calibri" w:hAnsi="Calibri" w:eastAsia="Calibri" w:cs="Calibri" w:asciiTheme="minorAscii" w:hAnsiTheme="minorAscii" w:eastAsiaTheme="minorAscii" w:cstheme="minorAscii"/>
          <w:sz w:val="22"/>
          <w:szCs w:val="22"/>
        </w:rPr>
        <w:t>can be drawn as</w:t>
      </w:r>
      <w:r w:rsidRPr="1FD09425" w:rsidR="1C393514">
        <w:rPr>
          <w:rFonts w:ascii="Calibri" w:hAnsi="Calibri" w:eastAsia="Calibri" w:cs="Calibri" w:asciiTheme="minorAscii" w:hAnsiTheme="minorAscii" w:eastAsiaTheme="minorAscii" w:cstheme="minorAscii"/>
          <w:sz w:val="22"/>
          <w:szCs w:val="22"/>
        </w:rPr>
        <w:t xml:space="preserve"> dominance is not defined by a set market share. </w:t>
      </w:r>
      <w:r w:rsidRPr="1FD09425" w:rsidR="2DF5CB52">
        <w:rPr>
          <w:rFonts w:ascii="Calibri" w:hAnsi="Calibri" w:eastAsia="Calibri" w:cs="Calibri" w:asciiTheme="minorAscii" w:hAnsiTheme="minorAscii" w:eastAsiaTheme="minorAscii" w:cstheme="minorAscii"/>
          <w:sz w:val="22"/>
          <w:szCs w:val="22"/>
        </w:rPr>
        <w:t xml:space="preserve">In article 102, an undertaking must be in a dominant position for a breach to occur. </w:t>
      </w:r>
      <w:r w:rsidRPr="1FD09425" w:rsidR="6D4FC95E">
        <w:rPr>
          <w:rFonts w:ascii="Calibri" w:hAnsi="Calibri" w:eastAsia="Calibri" w:cs="Calibri" w:asciiTheme="minorAscii" w:hAnsiTheme="minorAscii" w:eastAsiaTheme="minorAscii" w:cstheme="minorAscii"/>
          <w:sz w:val="22"/>
          <w:szCs w:val="22"/>
        </w:rPr>
        <w:t xml:space="preserve">Also, there is no treaty </w:t>
      </w:r>
      <w:r w:rsidRPr="1FD09425" w:rsidR="41B2110F">
        <w:rPr>
          <w:rFonts w:ascii="Calibri" w:hAnsi="Calibri" w:eastAsia="Calibri" w:cs="Calibri" w:asciiTheme="minorAscii" w:hAnsiTheme="minorAscii" w:eastAsiaTheme="minorAscii" w:cstheme="minorAscii"/>
          <w:sz w:val="22"/>
          <w:szCs w:val="22"/>
        </w:rPr>
        <w:t>definition,</w:t>
      </w:r>
      <w:r w:rsidRPr="1FD09425" w:rsidR="6D4FC95E">
        <w:rPr>
          <w:rFonts w:ascii="Calibri" w:hAnsi="Calibri" w:eastAsia="Calibri" w:cs="Calibri" w:asciiTheme="minorAscii" w:hAnsiTheme="minorAscii" w:eastAsiaTheme="minorAscii" w:cstheme="minorAscii"/>
          <w:sz w:val="22"/>
          <w:szCs w:val="22"/>
        </w:rPr>
        <w:t xml:space="preserve"> so it has been defined by the CJ. In the case 27/</w:t>
      </w:r>
      <w:r w:rsidRPr="1FD09425" w:rsidR="7F7B2846">
        <w:rPr>
          <w:rFonts w:ascii="Calibri" w:hAnsi="Calibri" w:eastAsia="Calibri" w:cs="Calibri" w:asciiTheme="minorAscii" w:hAnsiTheme="minorAscii" w:eastAsiaTheme="minorAscii" w:cstheme="minorAscii"/>
          <w:sz w:val="22"/>
          <w:szCs w:val="22"/>
        </w:rPr>
        <w:t xml:space="preserve">76 </w:t>
      </w:r>
      <w:r w:rsidRPr="1FD09425" w:rsidR="7F7B2846">
        <w:rPr>
          <w:rFonts w:ascii="Calibri" w:hAnsi="Calibri" w:eastAsia="Calibri" w:cs="Calibri" w:asciiTheme="minorAscii" w:hAnsiTheme="minorAscii" w:eastAsiaTheme="minorAscii" w:cstheme="minorAscii"/>
          <w:i w:val="1"/>
          <w:iCs w:val="1"/>
          <w:sz w:val="22"/>
          <w:szCs w:val="22"/>
        </w:rPr>
        <w:t>United Brands v Commission (1978), “a position of economic strength</w:t>
      </w:r>
      <w:r w:rsidRPr="1FD09425" w:rsidR="4C821BE4">
        <w:rPr>
          <w:rFonts w:ascii="Calibri" w:hAnsi="Calibri" w:eastAsia="Calibri" w:cs="Calibri" w:asciiTheme="minorAscii" w:hAnsiTheme="minorAscii" w:eastAsiaTheme="minorAscii" w:cstheme="minorAscii"/>
          <w:i w:val="1"/>
          <w:iCs w:val="1"/>
          <w:sz w:val="22"/>
          <w:szCs w:val="22"/>
        </w:rPr>
        <w:t xml:space="preserve"> that enables an undertaking to prevent effective competition” </w:t>
      </w:r>
      <w:r w:rsidRPr="1FD09425" w:rsidR="4C821BE4">
        <w:rPr>
          <w:rFonts w:ascii="Calibri" w:hAnsi="Calibri" w:eastAsia="Calibri" w:cs="Calibri" w:asciiTheme="minorAscii" w:hAnsiTheme="minorAscii" w:eastAsiaTheme="minorAscii" w:cstheme="minorAscii"/>
          <w:i w:val="0"/>
          <w:iCs w:val="0"/>
          <w:sz w:val="22"/>
          <w:szCs w:val="22"/>
        </w:rPr>
        <w:t>was provided as a definition. It requires that market</w:t>
      </w:r>
      <w:r w:rsidRPr="1FD09425" w:rsidR="4818A773">
        <w:rPr>
          <w:rFonts w:ascii="Calibri" w:hAnsi="Calibri" w:eastAsia="Calibri" w:cs="Calibri" w:asciiTheme="minorAscii" w:hAnsiTheme="minorAscii" w:eastAsiaTheme="minorAscii" w:cstheme="minorAscii"/>
          <w:i w:val="0"/>
          <w:iCs w:val="0"/>
          <w:sz w:val="22"/>
          <w:szCs w:val="22"/>
        </w:rPr>
        <w:t xml:space="preserve"> power is set to the trends in the relevant market and act independently of the pressure of competition. </w:t>
      </w:r>
      <w:r w:rsidRPr="1FD09425" w:rsidR="050053DA">
        <w:rPr>
          <w:rFonts w:ascii="Calibri" w:hAnsi="Calibri" w:eastAsia="Calibri" w:cs="Calibri" w:asciiTheme="minorAscii" w:hAnsiTheme="minorAscii" w:eastAsiaTheme="minorAscii" w:cstheme="minorAscii"/>
          <w:i w:val="0"/>
          <w:iCs w:val="0"/>
          <w:sz w:val="22"/>
          <w:szCs w:val="22"/>
        </w:rPr>
        <w:t xml:space="preserve">An issue with article 102 and undertaking came in </w:t>
      </w:r>
      <w:r w:rsidRPr="1FD09425" w:rsidR="050053DA">
        <w:rPr>
          <w:rFonts w:ascii="Calibri" w:hAnsi="Calibri" w:eastAsia="Calibri" w:cs="Calibri" w:asciiTheme="minorAscii" w:hAnsiTheme="minorAscii" w:eastAsiaTheme="minorAscii" w:cstheme="minorAscii"/>
          <w:i w:val="1"/>
          <w:iCs w:val="1"/>
          <w:sz w:val="22"/>
          <w:szCs w:val="22"/>
        </w:rPr>
        <w:t>Hoffman La Roche (1979)</w:t>
      </w:r>
      <w:r w:rsidRPr="1FD09425" w:rsidR="2C5A8382">
        <w:rPr>
          <w:rFonts w:ascii="Calibri" w:hAnsi="Calibri" w:eastAsia="Calibri" w:cs="Calibri" w:asciiTheme="minorAscii" w:hAnsiTheme="minorAscii" w:eastAsiaTheme="minorAscii" w:cstheme="minorAscii"/>
          <w:i w:val="1"/>
          <w:iCs w:val="1"/>
          <w:sz w:val="22"/>
          <w:szCs w:val="22"/>
        </w:rPr>
        <w:t xml:space="preserve">, </w:t>
      </w:r>
      <w:r w:rsidRPr="1FD09425" w:rsidR="2C5A8382">
        <w:rPr>
          <w:rFonts w:ascii="Calibri" w:hAnsi="Calibri" w:eastAsia="Calibri" w:cs="Calibri" w:asciiTheme="minorAscii" w:hAnsiTheme="minorAscii" w:eastAsiaTheme="minorAscii" w:cstheme="minorAscii"/>
          <w:i w:val="0"/>
          <w:iCs w:val="0"/>
          <w:sz w:val="22"/>
          <w:szCs w:val="22"/>
        </w:rPr>
        <w:t>where it provided the idea that you don’t have to be the only undertaking. This was cent</w:t>
      </w:r>
      <w:r w:rsidRPr="1FD09425" w:rsidR="4AA73867">
        <w:rPr>
          <w:rFonts w:ascii="Calibri" w:hAnsi="Calibri" w:eastAsia="Calibri" w:cs="Calibri" w:asciiTheme="minorAscii" w:hAnsiTheme="minorAscii" w:eastAsiaTheme="minorAscii" w:cstheme="minorAscii"/>
          <w:i w:val="0"/>
          <w:iCs w:val="0"/>
          <w:sz w:val="22"/>
          <w:szCs w:val="22"/>
        </w:rPr>
        <w:t xml:space="preserve">red </w:t>
      </w:r>
      <w:r w:rsidRPr="1FD09425" w:rsidR="2C5A8382">
        <w:rPr>
          <w:rFonts w:ascii="Calibri" w:hAnsi="Calibri" w:eastAsia="Calibri" w:cs="Calibri" w:asciiTheme="minorAscii" w:hAnsiTheme="minorAscii" w:eastAsiaTheme="minorAscii" w:cstheme="minorAscii"/>
          <w:i w:val="0"/>
          <w:iCs w:val="0"/>
          <w:sz w:val="22"/>
          <w:szCs w:val="22"/>
        </w:rPr>
        <w:t xml:space="preserve">around you having enough power to change the conditions of </w:t>
      </w:r>
      <w:r w:rsidRPr="1FD09425" w:rsidR="343326BB">
        <w:rPr>
          <w:rFonts w:ascii="Calibri" w:hAnsi="Calibri" w:eastAsia="Calibri" w:cs="Calibri" w:asciiTheme="minorAscii" w:hAnsiTheme="minorAscii" w:eastAsiaTheme="minorAscii" w:cstheme="minorAscii"/>
          <w:i w:val="0"/>
          <w:iCs w:val="0"/>
          <w:sz w:val="22"/>
          <w:szCs w:val="22"/>
        </w:rPr>
        <w:t>competition</w:t>
      </w:r>
      <w:r w:rsidRPr="1FD09425" w:rsidR="2C5A8382">
        <w:rPr>
          <w:rFonts w:ascii="Calibri" w:hAnsi="Calibri" w:eastAsia="Calibri" w:cs="Calibri" w:asciiTheme="minorAscii" w:hAnsiTheme="minorAscii" w:eastAsiaTheme="minorAscii" w:cstheme="minorAscii"/>
          <w:i w:val="0"/>
          <w:iCs w:val="0"/>
          <w:sz w:val="22"/>
          <w:szCs w:val="22"/>
        </w:rPr>
        <w:t xml:space="preserve">. </w:t>
      </w:r>
    </w:p>
    <w:p w:rsidR="7D8024B6" w:rsidP="1FD09425" w:rsidRDefault="7D8024B6" w14:paraId="1371F06C" w14:textId="3C2AF818">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i w:val="0"/>
          <w:iCs w:val="0"/>
          <w:sz w:val="22"/>
          <w:szCs w:val="22"/>
        </w:rPr>
      </w:pPr>
      <w:r w:rsidRPr="1FD09425" w:rsidR="7D8024B6">
        <w:rPr>
          <w:rFonts w:ascii="Calibri" w:hAnsi="Calibri" w:eastAsia="Calibri" w:cs="Calibri" w:asciiTheme="minorAscii" w:hAnsiTheme="minorAscii" w:eastAsiaTheme="minorAscii" w:cstheme="minorAscii"/>
          <w:i w:val="0"/>
          <w:iCs w:val="0"/>
          <w:sz w:val="22"/>
          <w:szCs w:val="22"/>
        </w:rPr>
        <w:t>The undertaking will more than likely argue that the relevant market operates on a wide market</w:t>
      </w:r>
      <w:r w:rsidRPr="1FD09425" w:rsidR="7D8024B6">
        <w:rPr>
          <w:rFonts w:ascii="Calibri" w:hAnsi="Calibri" w:eastAsia="Calibri" w:cs="Calibri" w:asciiTheme="minorAscii" w:hAnsiTheme="minorAscii" w:eastAsiaTheme="minorAscii" w:cstheme="minorAscii"/>
          <w:i w:val="0"/>
          <w:iCs w:val="0"/>
          <w:sz w:val="22"/>
          <w:szCs w:val="22"/>
        </w:rPr>
        <w:t xml:space="preserve"> basis, which means it is a small undertaking while the </w:t>
      </w:r>
      <w:r w:rsidRPr="1FD09425" w:rsidR="4541D5E9">
        <w:rPr>
          <w:rFonts w:ascii="Calibri" w:hAnsi="Calibri" w:eastAsia="Calibri" w:cs="Calibri" w:asciiTheme="minorAscii" w:hAnsiTheme="minorAscii" w:eastAsiaTheme="minorAscii" w:cstheme="minorAscii"/>
          <w:i w:val="0"/>
          <w:iCs w:val="0"/>
          <w:sz w:val="22"/>
          <w:szCs w:val="22"/>
        </w:rPr>
        <w:t xml:space="preserve">Commission </w:t>
      </w:r>
      <w:r w:rsidRPr="1FD09425" w:rsidR="3E6C76DB">
        <w:rPr>
          <w:rFonts w:ascii="Calibri" w:hAnsi="Calibri" w:eastAsia="Calibri" w:cs="Calibri" w:asciiTheme="minorAscii" w:hAnsiTheme="minorAscii" w:eastAsiaTheme="minorAscii" w:cstheme="minorAscii"/>
          <w:i w:val="0"/>
          <w:iCs w:val="0"/>
          <w:sz w:val="22"/>
          <w:szCs w:val="22"/>
        </w:rPr>
        <w:t>prefers</w:t>
      </w:r>
      <w:r w:rsidRPr="1FD09425" w:rsidR="4541D5E9">
        <w:rPr>
          <w:rFonts w:ascii="Calibri" w:hAnsi="Calibri" w:eastAsia="Calibri" w:cs="Calibri" w:asciiTheme="minorAscii" w:hAnsiTheme="minorAscii" w:eastAsiaTheme="minorAscii" w:cstheme="minorAscii"/>
          <w:i w:val="0"/>
          <w:iCs w:val="0"/>
          <w:sz w:val="22"/>
          <w:szCs w:val="22"/>
        </w:rPr>
        <w:t xml:space="preserve"> a narrow market making the undertaking a </w:t>
      </w:r>
      <w:r w:rsidRPr="1FD09425" w:rsidR="204EEED0">
        <w:rPr>
          <w:rFonts w:ascii="Calibri" w:hAnsi="Calibri" w:eastAsia="Calibri" w:cs="Calibri" w:asciiTheme="minorAscii" w:hAnsiTheme="minorAscii" w:eastAsiaTheme="minorAscii" w:cstheme="minorAscii"/>
          <w:i w:val="0"/>
          <w:iCs w:val="0"/>
          <w:sz w:val="22"/>
          <w:szCs w:val="22"/>
        </w:rPr>
        <w:t>l</w:t>
      </w:r>
      <w:r w:rsidRPr="1FD09425" w:rsidR="4541D5E9">
        <w:rPr>
          <w:rFonts w:ascii="Calibri" w:hAnsi="Calibri" w:eastAsia="Calibri" w:cs="Calibri" w:asciiTheme="minorAscii" w:hAnsiTheme="minorAscii" w:eastAsiaTheme="minorAscii" w:cstheme="minorAscii"/>
          <w:i w:val="0"/>
          <w:iCs w:val="0"/>
          <w:sz w:val="22"/>
          <w:szCs w:val="22"/>
        </w:rPr>
        <w:t xml:space="preserve">arger operator in that market. </w:t>
      </w:r>
      <w:r w:rsidRPr="1FD09425" w:rsidR="1B018379">
        <w:rPr>
          <w:rFonts w:ascii="Calibri" w:hAnsi="Calibri" w:eastAsia="Calibri" w:cs="Calibri" w:asciiTheme="minorAscii" w:hAnsiTheme="minorAscii" w:eastAsiaTheme="minorAscii" w:cstheme="minorAscii"/>
          <w:i w:val="0"/>
          <w:iCs w:val="0"/>
          <w:sz w:val="22"/>
          <w:szCs w:val="22"/>
        </w:rPr>
        <w:t>Furthermore</w:t>
      </w:r>
      <w:r w:rsidRPr="1FD09425" w:rsidR="4541D5E9">
        <w:rPr>
          <w:rFonts w:ascii="Calibri" w:hAnsi="Calibri" w:eastAsia="Calibri" w:cs="Calibri" w:asciiTheme="minorAscii" w:hAnsiTheme="minorAscii" w:eastAsiaTheme="minorAscii" w:cstheme="minorAscii"/>
          <w:i w:val="0"/>
          <w:iCs w:val="0"/>
          <w:sz w:val="22"/>
          <w:szCs w:val="22"/>
        </w:rPr>
        <w:t xml:space="preserve">, the </w:t>
      </w:r>
      <w:r w:rsidRPr="1FD09425" w:rsidR="09905796">
        <w:rPr>
          <w:rFonts w:ascii="Calibri" w:hAnsi="Calibri" w:eastAsia="Calibri" w:cs="Calibri" w:asciiTheme="minorAscii" w:hAnsiTheme="minorAscii" w:eastAsiaTheme="minorAscii" w:cstheme="minorAscii"/>
          <w:i w:val="0"/>
          <w:iCs w:val="0"/>
          <w:sz w:val="22"/>
          <w:szCs w:val="22"/>
        </w:rPr>
        <w:t>Commission</w:t>
      </w:r>
      <w:r w:rsidRPr="1FD09425" w:rsidR="4541D5E9">
        <w:rPr>
          <w:rFonts w:ascii="Calibri" w:hAnsi="Calibri" w:eastAsia="Calibri" w:cs="Calibri" w:asciiTheme="minorAscii" w:hAnsiTheme="minorAscii" w:eastAsiaTheme="minorAscii" w:cstheme="minorAscii"/>
          <w:i w:val="0"/>
          <w:iCs w:val="0"/>
          <w:sz w:val="22"/>
          <w:szCs w:val="22"/>
        </w:rPr>
        <w:t xml:space="preserve"> has established tests</w:t>
      </w:r>
      <w:r w:rsidRPr="1FD09425" w:rsidR="467C0E87">
        <w:rPr>
          <w:rFonts w:ascii="Calibri" w:hAnsi="Calibri" w:eastAsia="Calibri" w:cs="Calibri" w:asciiTheme="minorAscii" w:hAnsiTheme="minorAscii" w:eastAsiaTheme="minorAscii" w:cstheme="minorAscii"/>
          <w:i w:val="0"/>
          <w:iCs w:val="0"/>
          <w:sz w:val="22"/>
          <w:szCs w:val="22"/>
        </w:rPr>
        <w:t xml:space="preserve"> to find out the relevant market. </w:t>
      </w:r>
      <w:r w:rsidRPr="1FD09425" w:rsidR="7AB778A4">
        <w:rPr>
          <w:rFonts w:ascii="Calibri" w:hAnsi="Calibri" w:eastAsia="Calibri" w:cs="Calibri" w:asciiTheme="minorAscii" w:hAnsiTheme="minorAscii" w:eastAsiaTheme="minorAscii" w:cstheme="minorAscii"/>
          <w:i w:val="1"/>
          <w:iCs w:val="1"/>
          <w:sz w:val="22"/>
          <w:szCs w:val="22"/>
        </w:rPr>
        <w:t>The Commission Notice on the definition of the relevant market (1997)</w:t>
      </w:r>
      <w:r w:rsidRPr="1FD09425" w:rsidR="7AB778A4">
        <w:rPr>
          <w:rFonts w:ascii="Calibri" w:hAnsi="Calibri" w:eastAsia="Calibri" w:cs="Calibri" w:asciiTheme="minorAscii" w:hAnsiTheme="minorAscii" w:eastAsiaTheme="minorAscii" w:cstheme="minorAscii"/>
          <w:i w:val="0"/>
          <w:iCs w:val="0"/>
          <w:sz w:val="22"/>
          <w:szCs w:val="22"/>
        </w:rPr>
        <w:t xml:space="preserve"> puts relevant m</w:t>
      </w:r>
      <w:r w:rsidRPr="1FD09425" w:rsidR="7727C76C">
        <w:rPr>
          <w:rFonts w:ascii="Calibri" w:hAnsi="Calibri" w:eastAsia="Calibri" w:cs="Calibri" w:asciiTheme="minorAscii" w:hAnsiTheme="minorAscii" w:eastAsiaTheme="minorAscii" w:cstheme="minorAscii"/>
          <w:i w:val="0"/>
          <w:iCs w:val="0"/>
          <w:sz w:val="22"/>
          <w:szCs w:val="22"/>
        </w:rPr>
        <w:t xml:space="preserve">arket into 2 main categories, the </w:t>
      </w:r>
      <w:r w:rsidRPr="1FD09425" w:rsidR="7727C76C">
        <w:rPr>
          <w:rFonts w:ascii="Calibri" w:hAnsi="Calibri" w:eastAsia="Calibri" w:cs="Calibri" w:asciiTheme="minorAscii" w:hAnsiTheme="minorAscii" w:eastAsiaTheme="minorAscii" w:cstheme="minorAscii"/>
          <w:i w:val="1"/>
          <w:iCs w:val="1"/>
          <w:sz w:val="22"/>
          <w:szCs w:val="22"/>
        </w:rPr>
        <w:t>Relevant product market</w:t>
      </w:r>
      <w:r w:rsidRPr="1FD09425" w:rsidR="7727C76C">
        <w:rPr>
          <w:rFonts w:ascii="Calibri" w:hAnsi="Calibri" w:eastAsia="Calibri" w:cs="Calibri" w:asciiTheme="minorAscii" w:hAnsiTheme="minorAscii" w:eastAsiaTheme="minorAscii" w:cstheme="minorAscii"/>
          <w:i w:val="0"/>
          <w:iCs w:val="0"/>
          <w:sz w:val="22"/>
          <w:szCs w:val="22"/>
        </w:rPr>
        <w:t xml:space="preserve"> and R</w:t>
      </w:r>
      <w:r w:rsidRPr="1FD09425" w:rsidR="7727C76C">
        <w:rPr>
          <w:rFonts w:ascii="Calibri" w:hAnsi="Calibri" w:eastAsia="Calibri" w:cs="Calibri" w:asciiTheme="minorAscii" w:hAnsiTheme="minorAscii" w:eastAsiaTheme="minorAscii" w:cstheme="minorAscii"/>
          <w:i w:val="1"/>
          <w:iCs w:val="1"/>
          <w:sz w:val="22"/>
          <w:szCs w:val="22"/>
        </w:rPr>
        <w:t xml:space="preserve">elevant geographical market. </w:t>
      </w:r>
      <w:r w:rsidRPr="1FD09425" w:rsidR="7727C76C">
        <w:rPr>
          <w:rFonts w:ascii="Calibri" w:hAnsi="Calibri" w:eastAsia="Calibri" w:cs="Calibri" w:asciiTheme="minorAscii" w:hAnsiTheme="minorAscii" w:eastAsiaTheme="minorAscii" w:cstheme="minorAscii"/>
          <w:i w:val="0"/>
          <w:iCs w:val="0"/>
          <w:sz w:val="22"/>
          <w:szCs w:val="22"/>
        </w:rPr>
        <w:t xml:space="preserve">It demonstrates </w:t>
      </w:r>
      <w:r w:rsidRPr="1FD09425" w:rsidR="30674A20">
        <w:rPr>
          <w:rFonts w:ascii="Calibri" w:hAnsi="Calibri" w:eastAsia="Calibri" w:cs="Calibri" w:asciiTheme="minorAscii" w:hAnsiTheme="minorAscii" w:eastAsiaTheme="minorAscii" w:cstheme="minorAscii"/>
          <w:i w:val="0"/>
          <w:iCs w:val="0"/>
          <w:sz w:val="22"/>
          <w:szCs w:val="22"/>
        </w:rPr>
        <w:t xml:space="preserve">that the Commission objective is to make the laws and rules surrounding the market transparent and consistent. </w:t>
      </w:r>
    </w:p>
    <w:p w:rsidR="4AAE4123" w:rsidP="1FD09425" w:rsidRDefault="4AAE4123" w14:paraId="6835B530" w14:textId="468E4EF3">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i w:val="0"/>
          <w:iCs w:val="0"/>
          <w:sz w:val="22"/>
          <w:szCs w:val="22"/>
        </w:rPr>
      </w:pPr>
      <w:r w:rsidRPr="1FD09425" w:rsidR="4AAE4123">
        <w:rPr>
          <w:rFonts w:ascii="Calibri" w:hAnsi="Calibri" w:eastAsia="Calibri" w:cs="Calibri" w:asciiTheme="minorAscii" w:hAnsiTheme="minorAscii" w:eastAsiaTheme="minorAscii" w:cstheme="minorAscii"/>
          <w:i w:val="0"/>
          <w:iCs w:val="0"/>
          <w:sz w:val="22"/>
          <w:szCs w:val="22"/>
        </w:rPr>
        <w:t xml:space="preserve">The </w:t>
      </w:r>
      <w:r w:rsidRPr="1FD09425" w:rsidR="4AAE4123">
        <w:rPr>
          <w:rFonts w:ascii="Calibri" w:hAnsi="Calibri" w:eastAsia="Calibri" w:cs="Calibri" w:asciiTheme="minorAscii" w:hAnsiTheme="minorAscii" w:eastAsiaTheme="minorAscii" w:cstheme="minorAscii"/>
          <w:i w:val="1"/>
          <w:iCs w:val="1"/>
          <w:sz w:val="22"/>
          <w:szCs w:val="22"/>
        </w:rPr>
        <w:t xml:space="preserve">Commission Notice (1997) </w:t>
      </w:r>
      <w:r w:rsidRPr="1FD09425" w:rsidR="4AAE4123">
        <w:rPr>
          <w:rFonts w:ascii="Calibri" w:hAnsi="Calibri" w:eastAsia="Calibri" w:cs="Calibri" w:asciiTheme="minorAscii" w:hAnsiTheme="minorAscii" w:eastAsiaTheme="minorAscii" w:cstheme="minorAscii"/>
          <w:i w:val="0"/>
          <w:iCs w:val="0"/>
          <w:sz w:val="22"/>
          <w:szCs w:val="22"/>
        </w:rPr>
        <w:t xml:space="preserve">set out in case law the 2 tests: demand and supply sustainability. </w:t>
      </w:r>
      <w:r w:rsidRPr="1FD09425" w:rsidR="64F53826">
        <w:rPr>
          <w:rFonts w:ascii="Calibri" w:hAnsi="Calibri" w:eastAsia="Calibri" w:cs="Calibri" w:asciiTheme="minorAscii" w:hAnsiTheme="minorAscii" w:eastAsiaTheme="minorAscii" w:cstheme="minorAscii"/>
          <w:i w:val="0"/>
          <w:iCs w:val="0"/>
          <w:sz w:val="22"/>
          <w:szCs w:val="22"/>
        </w:rPr>
        <w:t xml:space="preserve">Demand refers to a small but significant </w:t>
      </w:r>
      <w:r w:rsidRPr="1FD09425" w:rsidR="64F53826">
        <w:rPr>
          <w:rFonts w:ascii="Calibri" w:hAnsi="Calibri" w:eastAsia="Calibri" w:cs="Calibri" w:asciiTheme="minorAscii" w:hAnsiTheme="minorAscii" w:eastAsiaTheme="minorAscii" w:cstheme="minorAscii"/>
          <w:i w:val="1"/>
          <w:iCs w:val="1"/>
          <w:sz w:val="22"/>
          <w:szCs w:val="22"/>
        </w:rPr>
        <w:t xml:space="preserve">non-transitory increase in price such as 5-10% (SSNIP test). </w:t>
      </w:r>
      <w:r w:rsidRPr="1FD09425" w:rsidR="1334181B">
        <w:rPr>
          <w:rFonts w:ascii="Calibri" w:hAnsi="Calibri" w:eastAsia="Calibri" w:cs="Calibri" w:asciiTheme="minorAscii" w:hAnsiTheme="minorAscii" w:eastAsiaTheme="minorAscii" w:cstheme="minorAscii"/>
          <w:i w:val="0"/>
          <w:iCs w:val="0"/>
          <w:sz w:val="22"/>
          <w:szCs w:val="22"/>
        </w:rPr>
        <w:t xml:space="preserve">There are issues with these tests. The </w:t>
      </w:r>
      <w:r w:rsidRPr="1FD09425" w:rsidR="1A85BF97">
        <w:rPr>
          <w:rFonts w:ascii="Calibri" w:hAnsi="Calibri" w:eastAsia="Calibri" w:cs="Calibri" w:asciiTheme="minorAscii" w:hAnsiTheme="minorAscii" w:eastAsiaTheme="minorAscii" w:cstheme="minorAscii"/>
          <w:i w:val="0"/>
          <w:iCs w:val="0"/>
          <w:sz w:val="22"/>
          <w:szCs w:val="22"/>
        </w:rPr>
        <w:t>Commission</w:t>
      </w:r>
      <w:r w:rsidRPr="1FD09425" w:rsidR="1334181B">
        <w:rPr>
          <w:rFonts w:ascii="Calibri" w:hAnsi="Calibri" w:eastAsia="Calibri" w:cs="Calibri" w:asciiTheme="minorAscii" w:hAnsiTheme="minorAscii" w:eastAsiaTheme="minorAscii" w:cstheme="minorAscii"/>
          <w:i w:val="0"/>
          <w:iCs w:val="0"/>
          <w:sz w:val="22"/>
          <w:szCs w:val="22"/>
        </w:rPr>
        <w:t xml:space="preserve"> notice </w:t>
      </w:r>
      <w:r w:rsidRPr="1FD09425" w:rsidR="2305FE00">
        <w:rPr>
          <w:rFonts w:ascii="Calibri" w:hAnsi="Calibri" w:eastAsia="Calibri" w:cs="Calibri" w:asciiTheme="minorAscii" w:hAnsiTheme="minorAscii" w:eastAsiaTheme="minorAscii" w:cstheme="minorAscii"/>
          <w:i w:val="0"/>
          <w:iCs w:val="0"/>
          <w:sz w:val="22"/>
          <w:szCs w:val="22"/>
        </w:rPr>
        <w:t>recognises</w:t>
      </w:r>
      <w:r w:rsidRPr="1FD09425" w:rsidR="1334181B">
        <w:rPr>
          <w:rFonts w:ascii="Calibri" w:hAnsi="Calibri" w:eastAsia="Calibri" w:cs="Calibri" w:asciiTheme="minorAscii" w:hAnsiTheme="minorAscii" w:eastAsiaTheme="minorAscii" w:cstheme="minorAscii"/>
          <w:i w:val="0"/>
          <w:iCs w:val="0"/>
          <w:sz w:val="22"/>
          <w:szCs w:val="22"/>
        </w:rPr>
        <w:t xml:space="preserve"> the </w:t>
      </w:r>
      <w:r w:rsidRPr="1FD09425" w:rsidR="1334181B">
        <w:rPr>
          <w:rFonts w:ascii="Calibri" w:hAnsi="Calibri" w:eastAsia="Calibri" w:cs="Calibri" w:asciiTheme="minorAscii" w:hAnsiTheme="minorAscii" w:eastAsiaTheme="minorAscii" w:cstheme="minorAscii"/>
          <w:i w:val="1"/>
          <w:iCs w:val="1"/>
          <w:sz w:val="22"/>
          <w:szCs w:val="22"/>
        </w:rPr>
        <w:t xml:space="preserve">“cellophane </w:t>
      </w:r>
      <w:r w:rsidRPr="1FD09425" w:rsidR="126A277C">
        <w:rPr>
          <w:rFonts w:ascii="Calibri" w:hAnsi="Calibri" w:eastAsia="Calibri" w:cs="Calibri" w:asciiTheme="minorAscii" w:hAnsiTheme="minorAscii" w:eastAsiaTheme="minorAscii" w:cstheme="minorAscii"/>
          <w:i w:val="1"/>
          <w:iCs w:val="1"/>
          <w:sz w:val="22"/>
          <w:szCs w:val="22"/>
        </w:rPr>
        <w:t>fallacy”.</w:t>
      </w:r>
      <w:r w:rsidRPr="1FD09425" w:rsidR="4E3E3B75">
        <w:rPr>
          <w:rFonts w:ascii="Calibri" w:hAnsi="Calibri" w:eastAsia="Calibri" w:cs="Calibri" w:asciiTheme="minorAscii" w:hAnsiTheme="minorAscii" w:eastAsiaTheme="minorAscii" w:cstheme="minorAscii"/>
          <w:i w:val="1"/>
          <w:iCs w:val="1"/>
          <w:sz w:val="22"/>
          <w:szCs w:val="22"/>
        </w:rPr>
        <w:t xml:space="preserve"> </w:t>
      </w:r>
      <w:r w:rsidRPr="1FD09425" w:rsidR="4E3E3B75">
        <w:rPr>
          <w:rFonts w:ascii="Calibri" w:hAnsi="Calibri" w:eastAsia="Calibri" w:cs="Calibri" w:asciiTheme="minorAscii" w:hAnsiTheme="minorAscii" w:eastAsiaTheme="minorAscii" w:cstheme="minorAscii"/>
          <w:i w:val="0"/>
          <w:iCs w:val="0"/>
          <w:sz w:val="22"/>
          <w:szCs w:val="22"/>
        </w:rPr>
        <w:t xml:space="preserve">The SSNIP test is not valid when the target product price is a monopoly price. This shows an issue as the </w:t>
      </w:r>
      <w:r w:rsidRPr="1FD09425" w:rsidR="477C47A4">
        <w:rPr>
          <w:rFonts w:ascii="Calibri" w:hAnsi="Calibri" w:eastAsia="Calibri" w:cs="Calibri" w:asciiTheme="minorAscii" w:hAnsiTheme="minorAscii" w:eastAsiaTheme="minorAscii" w:cstheme="minorAscii"/>
          <w:i w:val="0"/>
          <w:iCs w:val="0"/>
          <w:sz w:val="22"/>
          <w:szCs w:val="22"/>
        </w:rPr>
        <w:t xml:space="preserve">test fails to cover the market when the seller with the market power drives up the price of a product by reducing the </w:t>
      </w:r>
      <w:r w:rsidRPr="1FD09425" w:rsidR="52D2477E">
        <w:rPr>
          <w:rFonts w:ascii="Calibri" w:hAnsi="Calibri" w:eastAsia="Calibri" w:cs="Calibri" w:asciiTheme="minorAscii" w:hAnsiTheme="minorAscii" w:eastAsiaTheme="minorAscii" w:cstheme="minorAscii"/>
          <w:i w:val="0"/>
          <w:iCs w:val="0"/>
          <w:sz w:val="22"/>
          <w:szCs w:val="22"/>
        </w:rPr>
        <w:t>quantity</w:t>
      </w:r>
      <w:r w:rsidRPr="1FD09425" w:rsidR="477C47A4">
        <w:rPr>
          <w:rFonts w:ascii="Calibri" w:hAnsi="Calibri" w:eastAsia="Calibri" w:cs="Calibri" w:asciiTheme="minorAscii" w:hAnsiTheme="minorAscii" w:eastAsiaTheme="minorAscii" w:cstheme="minorAscii"/>
          <w:i w:val="0"/>
          <w:iCs w:val="0"/>
          <w:sz w:val="22"/>
          <w:szCs w:val="22"/>
        </w:rPr>
        <w:t xml:space="preserve">. This shows an </w:t>
      </w:r>
      <w:r w:rsidRPr="1FD09425" w:rsidR="3C3480E4">
        <w:rPr>
          <w:rFonts w:ascii="Calibri" w:hAnsi="Calibri" w:eastAsia="Calibri" w:cs="Calibri" w:asciiTheme="minorAscii" w:hAnsiTheme="minorAscii" w:eastAsiaTheme="minorAscii" w:cstheme="minorAscii"/>
          <w:i w:val="0"/>
          <w:iCs w:val="0"/>
          <w:sz w:val="22"/>
          <w:szCs w:val="22"/>
        </w:rPr>
        <w:t xml:space="preserve">element of unfairness by the Commission. Additionally, </w:t>
      </w:r>
      <w:r w:rsidRPr="1FD09425" w:rsidR="3EC142BE">
        <w:rPr>
          <w:rFonts w:ascii="Calibri" w:hAnsi="Calibri" w:eastAsia="Calibri" w:cs="Calibri" w:asciiTheme="minorAscii" w:hAnsiTheme="minorAscii" w:eastAsiaTheme="minorAscii" w:cstheme="minorAscii"/>
          <w:i w:val="0"/>
          <w:iCs w:val="0"/>
          <w:sz w:val="22"/>
          <w:szCs w:val="22"/>
        </w:rPr>
        <w:t xml:space="preserve">the Commission even recognises that incorrect reasoning used in market regulation methods is apparent. </w:t>
      </w:r>
    </w:p>
    <w:p w:rsidR="3EC142BE" w:rsidP="1FD09425" w:rsidRDefault="3EC142BE" w14:paraId="0C564756" w14:textId="7E48EFE6">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i w:val="0"/>
          <w:iCs w:val="0"/>
          <w:sz w:val="22"/>
          <w:szCs w:val="22"/>
        </w:rPr>
      </w:pPr>
      <w:r w:rsidRPr="1FD09425" w:rsidR="3EC142BE">
        <w:rPr>
          <w:rFonts w:ascii="Calibri" w:hAnsi="Calibri" w:eastAsia="Calibri" w:cs="Calibri" w:asciiTheme="minorAscii" w:hAnsiTheme="minorAscii" w:eastAsiaTheme="minorAscii" w:cstheme="minorAscii"/>
          <w:i w:val="0"/>
          <w:iCs w:val="0"/>
          <w:sz w:val="22"/>
          <w:szCs w:val="22"/>
        </w:rPr>
        <w:t xml:space="preserve">To continue, supply </w:t>
      </w:r>
      <w:r w:rsidRPr="1FD09425" w:rsidR="380E2715">
        <w:rPr>
          <w:rFonts w:ascii="Calibri" w:hAnsi="Calibri" w:eastAsia="Calibri" w:cs="Calibri" w:asciiTheme="minorAscii" w:hAnsiTheme="minorAscii" w:eastAsiaTheme="minorAscii" w:cstheme="minorAscii"/>
          <w:i w:val="0"/>
          <w:iCs w:val="0"/>
          <w:sz w:val="22"/>
          <w:szCs w:val="22"/>
        </w:rPr>
        <w:t>sustainability</w:t>
      </w:r>
      <w:r w:rsidRPr="1FD09425" w:rsidR="3EC142BE">
        <w:rPr>
          <w:rFonts w:ascii="Calibri" w:hAnsi="Calibri" w:eastAsia="Calibri" w:cs="Calibri" w:asciiTheme="minorAscii" w:hAnsiTheme="minorAscii" w:eastAsiaTheme="minorAscii" w:cstheme="minorAscii"/>
          <w:i w:val="0"/>
          <w:iCs w:val="0"/>
          <w:sz w:val="22"/>
          <w:szCs w:val="22"/>
        </w:rPr>
        <w:t xml:space="preserve"> is another test to define RPM, questioning whether producers could switch to production of the target products without </w:t>
      </w:r>
      <w:r w:rsidRPr="1FD09425" w:rsidR="7B69633A">
        <w:rPr>
          <w:rFonts w:ascii="Calibri" w:hAnsi="Calibri" w:eastAsia="Calibri" w:cs="Calibri" w:asciiTheme="minorAscii" w:hAnsiTheme="minorAscii" w:eastAsiaTheme="minorAscii" w:cstheme="minorAscii"/>
          <w:i w:val="0"/>
          <w:iCs w:val="0"/>
          <w:sz w:val="22"/>
          <w:szCs w:val="22"/>
        </w:rPr>
        <w:t>difficulty</w:t>
      </w:r>
      <w:r w:rsidRPr="1FD09425" w:rsidR="4D6CE500">
        <w:rPr>
          <w:rFonts w:ascii="Calibri" w:hAnsi="Calibri" w:eastAsia="Calibri" w:cs="Calibri" w:asciiTheme="minorAscii" w:hAnsiTheme="minorAscii" w:eastAsiaTheme="minorAscii" w:cstheme="minorAscii"/>
          <w:i w:val="0"/>
          <w:iCs w:val="0"/>
          <w:sz w:val="22"/>
          <w:szCs w:val="22"/>
        </w:rPr>
        <w:t xml:space="preserve"> value of this test is evident in </w:t>
      </w:r>
      <w:r w:rsidRPr="1FD09425" w:rsidR="4D6CE500">
        <w:rPr>
          <w:rFonts w:ascii="Calibri" w:hAnsi="Calibri" w:eastAsia="Calibri" w:cs="Calibri" w:asciiTheme="minorAscii" w:hAnsiTheme="minorAscii" w:eastAsiaTheme="minorAscii" w:cstheme="minorAscii"/>
          <w:i w:val="1"/>
          <w:iCs w:val="1"/>
          <w:sz w:val="22"/>
          <w:szCs w:val="22"/>
        </w:rPr>
        <w:t xml:space="preserve">Continental v Commission </w:t>
      </w:r>
      <w:r w:rsidRPr="1FD09425" w:rsidR="1FF22AD1">
        <w:rPr>
          <w:rFonts w:ascii="Calibri" w:hAnsi="Calibri" w:eastAsia="Calibri" w:cs="Calibri" w:asciiTheme="minorAscii" w:hAnsiTheme="minorAscii" w:eastAsiaTheme="minorAscii" w:cstheme="minorAscii"/>
          <w:i w:val="1"/>
          <w:iCs w:val="1"/>
          <w:sz w:val="22"/>
          <w:szCs w:val="22"/>
        </w:rPr>
        <w:t>(</w:t>
      </w:r>
      <w:r w:rsidRPr="1FD09425" w:rsidR="4D6CE500">
        <w:rPr>
          <w:rFonts w:ascii="Calibri" w:hAnsi="Calibri" w:eastAsia="Calibri" w:cs="Calibri" w:asciiTheme="minorAscii" w:hAnsiTheme="minorAscii" w:eastAsiaTheme="minorAscii" w:cstheme="minorAscii"/>
          <w:i w:val="1"/>
          <w:iCs w:val="1"/>
          <w:sz w:val="22"/>
          <w:szCs w:val="22"/>
        </w:rPr>
        <w:t>197</w:t>
      </w:r>
      <w:r w:rsidRPr="1FD09425" w:rsidR="0EEEF644">
        <w:rPr>
          <w:rFonts w:ascii="Calibri" w:hAnsi="Calibri" w:eastAsia="Calibri" w:cs="Calibri" w:asciiTheme="minorAscii" w:hAnsiTheme="minorAscii" w:eastAsiaTheme="minorAscii" w:cstheme="minorAscii"/>
          <w:i w:val="1"/>
          <w:iCs w:val="1"/>
          <w:sz w:val="22"/>
          <w:szCs w:val="22"/>
        </w:rPr>
        <w:t>3)</w:t>
      </w:r>
      <w:r w:rsidRPr="1FD09425" w:rsidR="73FCD6A9">
        <w:rPr>
          <w:rFonts w:ascii="Calibri" w:hAnsi="Calibri" w:eastAsia="Calibri" w:cs="Calibri" w:asciiTheme="minorAscii" w:hAnsiTheme="minorAscii" w:eastAsiaTheme="minorAscii" w:cstheme="minorAscii"/>
          <w:i w:val="1"/>
          <w:iCs w:val="1"/>
          <w:sz w:val="22"/>
          <w:szCs w:val="22"/>
        </w:rPr>
        <w:t xml:space="preserve">, </w:t>
      </w:r>
      <w:r w:rsidRPr="1FD09425" w:rsidR="73FCD6A9">
        <w:rPr>
          <w:rFonts w:ascii="Calibri" w:hAnsi="Calibri" w:eastAsia="Calibri" w:cs="Calibri" w:asciiTheme="minorAscii" w:hAnsiTheme="minorAscii" w:eastAsiaTheme="minorAscii" w:cstheme="minorAscii"/>
          <w:i w:val="0"/>
          <w:iCs w:val="0"/>
          <w:sz w:val="22"/>
          <w:szCs w:val="22"/>
        </w:rPr>
        <w:t xml:space="preserve">where the Commission concluded that the other party had a dominant position in 3 </w:t>
      </w:r>
      <w:r w:rsidRPr="1FD09425" w:rsidR="06FC0C14">
        <w:rPr>
          <w:rFonts w:ascii="Calibri" w:hAnsi="Calibri" w:eastAsia="Calibri" w:cs="Calibri" w:asciiTheme="minorAscii" w:hAnsiTheme="minorAscii" w:eastAsiaTheme="minorAscii" w:cstheme="minorAscii"/>
          <w:i w:val="0"/>
          <w:iCs w:val="0"/>
          <w:sz w:val="22"/>
          <w:szCs w:val="22"/>
        </w:rPr>
        <w:t>markets:</w:t>
      </w:r>
      <w:r w:rsidRPr="1FD09425" w:rsidR="73FCD6A9">
        <w:rPr>
          <w:rFonts w:ascii="Calibri" w:hAnsi="Calibri" w:eastAsia="Calibri" w:cs="Calibri" w:asciiTheme="minorAscii" w:hAnsiTheme="minorAscii" w:eastAsiaTheme="minorAscii" w:cstheme="minorAscii"/>
          <w:i w:val="0"/>
          <w:iCs w:val="0"/>
          <w:sz w:val="22"/>
          <w:szCs w:val="22"/>
        </w:rPr>
        <w:t xml:space="preserve"> cans for meat, fish and</w:t>
      </w:r>
      <w:r w:rsidRPr="1FD09425" w:rsidR="6D964045">
        <w:rPr>
          <w:rFonts w:ascii="Calibri" w:hAnsi="Calibri" w:eastAsia="Calibri" w:cs="Calibri" w:asciiTheme="minorAscii" w:hAnsiTheme="minorAscii" w:eastAsiaTheme="minorAscii" w:cstheme="minorAscii"/>
          <w:i w:val="0"/>
          <w:iCs w:val="0"/>
          <w:sz w:val="22"/>
          <w:szCs w:val="22"/>
        </w:rPr>
        <w:t xml:space="preserve"> metal lids. This was rejected by the CJ. The Commission here failed to consider whether producers of packaging could change production and compete with Co</w:t>
      </w:r>
      <w:r w:rsidRPr="1FD09425" w:rsidR="2EF15B14">
        <w:rPr>
          <w:rFonts w:ascii="Calibri" w:hAnsi="Calibri" w:eastAsia="Calibri" w:cs="Calibri" w:asciiTheme="minorAscii" w:hAnsiTheme="minorAscii" w:eastAsiaTheme="minorAscii" w:cstheme="minorAscii"/>
          <w:i w:val="0"/>
          <w:iCs w:val="0"/>
          <w:sz w:val="22"/>
          <w:szCs w:val="22"/>
        </w:rPr>
        <w:t>ntinental Ca</w:t>
      </w:r>
      <w:r w:rsidRPr="1FD09425" w:rsidR="3CFD908B">
        <w:rPr>
          <w:rFonts w:ascii="Calibri" w:hAnsi="Calibri" w:eastAsia="Calibri" w:cs="Calibri" w:asciiTheme="minorAscii" w:hAnsiTheme="minorAscii" w:eastAsiaTheme="minorAscii" w:cstheme="minorAscii"/>
          <w:i w:val="0"/>
          <w:iCs w:val="0"/>
          <w:sz w:val="22"/>
          <w:szCs w:val="22"/>
        </w:rPr>
        <w:t>n</w:t>
      </w:r>
      <w:r w:rsidRPr="1FD09425" w:rsidR="2EF15B14">
        <w:rPr>
          <w:rFonts w:ascii="Calibri" w:hAnsi="Calibri" w:eastAsia="Calibri" w:cs="Calibri" w:asciiTheme="minorAscii" w:hAnsiTheme="minorAscii" w:eastAsiaTheme="minorAscii" w:cstheme="minorAscii"/>
          <w:i w:val="0"/>
          <w:iCs w:val="0"/>
          <w:sz w:val="22"/>
          <w:szCs w:val="22"/>
        </w:rPr>
        <w:t xml:space="preserve">. If they could then the market would have been wider, contrary to what the Commission </w:t>
      </w:r>
      <w:r w:rsidRPr="1FD09425" w:rsidR="7858359C">
        <w:rPr>
          <w:rFonts w:ascii="Calibri" w:hAnsi="Calibri" w:eastAsia="Calibri" w:cs="Calibri" w:asciiTheme="minorAscii" w:hAnsiTheme="minorAscii" w:eastAsiaTheme="minorAscii" w:cstheme="minorAscii"/>
          <w:i w:val="0"/>
          <w:iCs w:val="0"/>
          <w:sz w:val="22"/>
          <w:szCs w:val="22"/>
        </w:rPr>
        <w:t xml:space="preserve">thought. </w:t>
      </w:r>
    </w:p>
    <w:p w:rsidR="4AAE4123" w:rsidP="1FD09425" w:rsidRDefault="4AAE4123" w14:paraId="24A0768E" w14:textId="6F93FAA6">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sz w:val="22"/>
          <w:szCs w:val="22"/>
        </w:rPr>
      </w:pPr>
      <w:r w:rsidRPr="1FD09425" w:rsidR="4AAE4123">
        <w:rPr>
          <w:rFonts w:ascii="Calibri" w:hAnsi="Calibri" w:eastAsia="Calibri" w:cs="Calibri" w:asciiTheme="minorAscii" w:hAnsiTheme="minorAscii" w:eastAsiaTheme="minorAscii" w:cstheme="minorAscii"/>
          <w:sz w:val="22"/>
          <w:szCs w:val="22"/>
        </w:rPr>
        <w:t xml:space="preserve"> </w:t>
      </w:r>
    </w:p>
    <w:p w:rsidR="1FD09425" w:rsidP="1FD09425" w:rsidRDefault="1FD09425" w14:noSpellErr="1" w14:paraId="65F5B0A9" w14:textId="300BBC58">
      <w:pPr>
        <w:pStyle w:val="Normal"/>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sz w:val="22"/>
          <w:szCs w:val="22"/>
        </w:rPr>
      </w:pPr>
    </w:p>
    <w:p w:rsidR="193538B9" w:rsidP="1FD09425" w:rsidRDefault="193538B9" w14:paraId="3042F63A" w14:textId="3B2C56EF">
      <w:pPr>
        <w:pStyle w:val="Normal"/>
        <w:spacing w:line="240" w:lineRule="auto"/>
        <w:rPr>
          <w:rFonts w:ascii="Calibri" w:hAnsi="Calibri" w:eastAsia="Calibri" w:cs="Calibri" w:asciiTheme="minorAscii" w:hAnsiTheme="minorAscii" w:eastAsiaTheme="minorAscii" w:cstheme="minorAscii"/>
          <w:b w:val="1"/>
          <w:bCs w:val="1"/>
          <w:sz w:val="22"/>
          <w:szCs w:val="22"/>
        </w:rPr>
      </w:pPr>
      <w:r w:rsidRPr="1FD09425" w:rsidR="193538B9">
        <w:rPr>
          <w:rFonts w:ascii="Calibri" w:hAnsi="Calibri" w:eastAsia="Calibri" w:cs="Calibri" w:asciiTheme="minorAscii" w:hAnsiTheme="minorAscii" w:eastAsiaTheme="minorAscii" w:cstheme="minorAscii"/>
          <w:b w:val="1"/>
          <w:bCs w:val="1"/>
          <w:sz w:val="22"/>
          <w:szCs w:val="22"/>
        </w:rPr>
        <w:t xml:space="preserve">Question 2 </w:t>
      </w:r>
    </w:p>
    <w:p w:rsidR="4EB47659" w:rsidP="1FD09425" w:rsidRDefault="4EB47659" w14:paraId="29B689C1" w14:textId="3FA5335A">
      <w:pPr>
        <w:spacing w:line="240" w:lineRule="auto"/>
        <w:jc w:val="both"/>
        <w:rPr>
          <w:rFonts w:ascii="Calibri" w:hAnsi="Calibri" w:eastAsia="Calibri" w:cs="Calibri" w:asciiTheme="minorAscii" w:hAnsiTheme="minorAscii" w:eastAsiaTheme="minorAscii" w:cstheme="minorAscii"/>
          <w:b w:val="1"/>
          <w:bCs w:val="1"/>
          <w:noProof w:val="0"/>
          <w:sz w:val="22"/>
          <w:szCs w:val="22"/>
          <w:lang w:val="en-US"/>
        </w:rPr>
      </w:pPr>
      <w:r w:rsidRPr="1FD09425" w:rsidR="4EB47659">
        <w:rPr>
          <w:rFonts w:ascii="Calibri" w:hAnsi="Calibri" w:eastAsia="Calibri" w:cs="Calibri" w:asciiTheme="minorAscii" w:hAnsiTheme="minorAscii" w:eastAsiaTheme="minorAscii" w:cstheme="minorAscii"/>
          <w:b w:val="1"/>
          <w:bCs w:val="1"/>
          <w:noProof w:val="0"/>
          <w:sz w:val="22"/>
          <w:szCs w:val="22"/>
          <w:lang w:val="en-US"/>
        </w:rPr>
        <w:t>Introduction</w:t>
      </w:r>
    </w:p>
    <w:p w:rsidR="533FB177" w:rsidP="1FD09425" w:rsidRDefault="533FB177" w14:paraId="06B60034" w14:textId="50436842">
      <w:pPr>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Free movement of workers is a fundamental principle of the Treaty, which is codified under Article 45 of the Pact on the Operation of the European Union and further recognized by EU existing law and Court of Justice case law. Nationals of the EU shall be entitled to: </w:t>
      </w:r>
    </w:p>
    <w:p w:rsidR="533FB177" w:rsidP="1FD09425" w:rsidRDefault="533FB177" w14:paraId="593D6491" w14:textId="7E60A7BD">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Try to find an employment in another EU state.    </w:t>
      </w:r>
    </w:p>
    <w:p w:rsidR="533FB177" w:rsidP="1FD09425" w:rsidRDefault="533FB177" w14:paraId="08111F4A" w14:textId="49CB50B9">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Working there without requiring a work permit </w:t>
      </w:r>
    </w:p>
    <w:p w:rsidR="533FB177" w:rsidP="1FD09425" w:rsidRDefault="533FB177" w14:paraId="4E7ACD24" w14:textId="65CE33D3">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Live there for that proper objective. </w:t>
      </w:r>
    </w:p>
    <w:p w:rsidR="533FB177" w:rsidP="1FD09425" w:rsidRDefault="533FB177" w14:paraId="1BEC9388" w14:textId="07DEDE0D">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Stay there even when employment has completed. </w:t>
      </w:r>
    </w:p>
    <w:p w:rsidR="533FB177" w:rsidP="1FD09425" w:rsidRDefault="533FB177" w14:paraId="45DBEACD" w14:textId="205500AC">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Be treated in the same way with nationals as regards access to employment, working environments and all the other social and fiscal rewards. </w:t>
      </w:r>
    </w:p>
    <w:p w:rsidR="533FB177" w:rsidP="1FD09425" w:rsidRDefault="533FB177" w14:paraId="55543E99" w14:textId="4438A986">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Certain forms of health and social protection measures for EU citizens can be moved to the country where they seek jobs. In addition, free movement of jobs also extends to states in the European Economic Area (Iceland, Liechtenstein, and Norway). Certain professions will be eligible to get their professional credentials officially recognized there. People traveling within the EU, Iceland, Liechtenstein, Norway, and Switzerland are covered by EU social security coordination law. According to this movement, Mary can have health and social services in any member state of EU. She would have equal rights of job, study, health and other social benefits. </w:t>
      </w:r>
    </w:p>
    <w:p w:rsidR="533FB177" w:rsidP="1FD09425" w:rsidRDefault="533FB177" w14:paraId="59177C9C" w14:textId="144474EB">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Who can take advantage of this freedom: </w:t>
      </w:r>
    </w:p>
    <w:p w:rsidR="533FB177" w:rsidP="1FD09425" w:rsidRDefault="533FB177" w14:paraId="5F5E802E" w14:textId="1973DE2C">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Job Seekers, i.e., EU citizens who moved to a different EU state to search for a job, under some circumstances. </w:t>
      </w:r>
    </w:p>
    <w:p w:rsidR="533FB177" w:rsidP="1FD09425" w:rsidRDefault="533FB177" w14:paraId="10F365F9" w14:textId="6361D67D">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EU citizens employed in another EU state. </w:t>
      </w:r>
    </w:p>
    <w:p w:rsidR="533FB177" w:rsidP="1FD09425" w:rsidRDefault="533FB177" w14:paraId="41C581B7" w14:textId="073B9C79">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EU citizens who return to their states of descent after working abroad. </w:t>
      </w:r>
    </w:p>
    <w:p w:rsidR="533FB177" w:rsidP="1FD09425" w:rsidRDefault="533FB177" w14:paraId="6389BB9F" w14:textId="5DF9B056">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Relatives of the beyond Self-employed citizens, students, and elderly people or else financially inactive individuals may have a different right. </w:t>
      </w:r>
    </w:p>
    <w:p w:rsidR="533FB177" w:rsidP="1FD09425" w:rsidRDefault="533FB177" w14:paraId="58E8D213" w14:textId="03D995F6">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 </w:t>
      </w:r>
    </w:p>
    <w:p w:rsidR="533FB177" w:rsidP="1FD09425" w:rsidRDefault="533FB177" w14:paraId="787C2208" w14:textId="4CEF3AB1">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The Pact of Paris, which established the European Coal and Steel Community in 1951, meant a right to free movement for workers in these industries, and the Treaty of Rome, which established the European Economic Community in 1957, recognized a right to free movement of laborers in the European Economic Community, which was to be applied within 12 years of the treaty's commencement. The Council Regulation No. 15 of 1961 was the first step toward achieving free movement of workers. </w:t>
      </w:r>
    </w:p>
    <w:p w:rsidR="533FB177" w:rsidP="1FD09425" w:rsidRDefault="533FB177" w14:paraId="04C32E95" w14:textId="600918F6">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The regulation took effect on September 1, 1961, and it granted subjects of the member countries the right to work in the other representative state if no nationals of that member state were eligible for the position. On May 1, 1964, the rule was overtaken by a new policy that increased workers' ability to seek jobs in another member state.  However, the liberty movement of employees was not completely enforced within the Communities until November 8, 1968, when regulation (EEC) no 1612/68 came into force. </w:t>
      </w:r>
    </w:p>
    <w:p w:rsidR="533FB177" w:rsidP="1FD09425" w:rsidRDefault="533FB177" w14:paraId="33C3874D" w14:textId="14C74FD6">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The initial article 49 of the EEC accord was applied by this legislation, and all fellow citizens of the member countries acquired the right to work in the other member state under the same terms as the residents of that member state. The free movement of employees was therefore adopted prior to the EEC treaty's twelve-year term had elapsed. The Free Movement of Workers Regulation 2011 replaced this regulation on June 16, 2011. The Directive 2004/38/EC on a right to freely move and right to be moved into one text, replacing, for example, the directive 1968/360/EEC. It also clarifies procedural concerns and increases the rights of European citizens' family members who travel freely. </w:t>
      </w:r>
    </w:p>
    <w:p w:rsidR="533FB177" w:rsidP="1FD09425" w:rsidRDefault="533FB177" w14:paraId="7B40CC22" w14:textId="285FA3D8">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Nondiscrimination (Article 21) </w:t>
      </w:r>
    </w:p>
    <w:p w:rsidR="533FB177" w:rsidP="1FD09425" w:rsidRDefault="533FB177" w14:paraId="7434C5FF" w14:textId="67688B12">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According to this article 21, Mary, Nadine and Oscar would be treated equally, article 21 supports them in many contexts including prejudice in accordance with the principle of sex, ethnicity, colour, racial or social context, faith or belief, political or other opinions, birth, persons with disabilities, age, or sexual preference are not allowed. Secondly, any bias based on citizenship is prohibited within the scope of interpretation of the Treaties and without regard to any of their relevant provisions. </w:t>
      </w:r>
    </w:p>
    <w:p w:rsidR="533FB177" w:rsidP="1FD09425" w:rsidRDefault="533FB177" w14:paraId="215BFC3F" w14:textId="49C449BE">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Sufficient resources Article 8(4) </w:t>
      </w:r>
    </w:p>
    <w:p w:rsidR="533FB177" w:rsidP="1FD09425" w:rsidRDefault="533FB177" w14:paraId="1D7398A0" w14:textId="0A4A7D9A">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Member States are not allowed to set a defined sum as "sufficient resources," although they should consider the individual's own circumstances. This sum should not be greater than the threshold at which citizens of the host Member State become eligible for social assistance, or, if this requirement is not applicable higher than the host Member State's minimum pension. As a result, it is impossible to say with certainty what the necessary minimum level of self-sufficiency should be, but it can't be higher than the level of income assistance. So, this article also assists Mary, Nadine and Oscar for their basic needs because of less resources after migration to the new state. </w:t>
      </w:r>
    </w:p>
    <w:p w:rsidR="533FB177" w:rsidP="1FD09425" w:rsidRDefault="533FB177" w14:paraId="3C1CC0D1" w14:textId="64A942D5">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State of the Netherlands assistance </w:t>
      </w:r>
    </w:p>
    <w:p w:rsidR="533FB177" w:rsidP="1FD09425" w:rsidRDefault="533FB177" w14:paraId="2F6851A0" w14:textId="1C866F71">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In response to the question, the Raad van State of the Netherlands by intermediary judgment of April 23, 1985 stated; When an individual of one Adherent State engages in employment activities within the terrain of another Member State that may be considered actual and sincere work in and of themselves, the point is that he assertions financial support is to be paid out of the general public accounts, although a part-time job is not barred from the application of the rules on workers' freedom of movement. Such rules only apply to the pursuit of productive and genuine activities, excluding activities on such a limited scale that they are considered merely "marginal and ancillary." case law Kempf (1985). This assistance is from the state of neither land where Mary wants to move along with her aunt and son. This state law would help Mary to find part time job or any employment to manage her finances and day to day living needs and to help support her family. </w:t>
      </w:r>
    </w:p>
    <w:p w:rsidR="533FB177" w:rsidP="1FD09425" w:rsidRDefault="533FB177" w14:paraId="69C9B623" w14:textId="38FDF719">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Article 3 (Ex Article 2 TEU) </w:t>
      </w:r>
    </w:p>
    <w:p w:rsidR="533FB177" w:rsidP="1FD09425" w:rsidRDefault="533FB177" w14:paraId="4A004F7A" w14:textId="78432D4A">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The EU’s objective is to encourage peace and the welfare of their inhabitants. It will fight social exclusion and discrimination, as well as foster social justice and safety, equality between gender and races and the safeguarding of children rights. In its dealings with the outside world, the EUs will endorse and encourage its standards and concerns and support the safeguarding of its citizens. This law also ensures their freedom and peace, and civil rights while also supporting children rights which is applicable to Oscar and access to health facilities for Nadine. </w:t>
      </w:r>
    </w:p>
    <w:p w:rsidR="533FB177" w:rsidP="1FD09425" w:rsidRDefault="533FB177" w14:paraId="6B583930" w14:textId="48F51796">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Case c85/96 Sala (Maria) [1998] </w:t>
      </w:r>
    </w:p>
    <w:p w:rsidR="533FB177" w:rsidP="1FD09425" w:rsidRDefault="533FB177" w14:paraId="61A5D896" w14:textId="55968D2F">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A Spanish citizen had been residing in Germany for 25 years based on a range of residency permits from Germany. She was refused a child raising allowance because she wasn’t a German national and didn’t receive a residency permit. She wasn’t an unlawful resident because she had an extension to her residency certificate, which was being applied for. There would be no issue because EU secondary law would have entitled her to all welfare benefits available to nationals. However, her status was determined by German courts. In treating her as a non-economic EU citizen, CJ held she was entitled to all welfare benefits available to German nationals in the same circumstances. This equal treatment was on the basis of Article 21 TFEU and the nondiscrimination principle of Article 18 TFEU. Additionally, this law is applicable to Nadine as French resident and for Mary and Oscar as they are Irish citizens. For residency services and other welfare benefits. </w:t>
      </w:r>
    </w:p>
    <w:p w:rsidR="533FB177" w:rsidP="1FD09425" w:rsidRDefault="533FB177" w14:paraId="778227DD" w14:textId="04D4416D">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Entry and residence rights from the CRD 2004/38 </w:t>
      </w:r>
    </w:p>
    <w:p w:rsidR="533FB177" w:rsidP="1FD09425" w:rsidRDefault="533FB177" w14:paraId="5A45B0A0" w14:textId="529725EE">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Citizen’s Rights Directives 2004/38 replaced most of the secondary law relating to free movements of people. It introduces enhanced rights to move and reside freely for EU citizens and other family members. This law helps in the residency of Mary, Nadine and Oscar in a new EU state with the benefits included. </w:t>
      </w:r>
    </w:p>
    <w:p w:rsidR="533FB177" w:rsidP="1FD09425" w:rsidRDefault="533FB177" w14:paraId="66DA0081" w14:textId="0F2561DB">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Procedural safeguards </w:t>
      </w:r>
    </w:p>
    <w:p w:rsidR="533FB177" w:rsidP="1FD09425" w:rsidRDefault="533FB177" w14:paraId="2A20C75B" w14:textId="01F2EE20">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Under Article 30-33 CRD procedural requirements and safeguards for MSs to rely on the exclusions. There is an obligation on MSs to provide information to the relevant person such as a clear reason for relying on a particular exception. Also, the person needs to be told if there is access to judicial reviews. Individuals subject to the derogation are to be given access to judicial or administrative procedures to appeal or review the decision of MSs. </w:t>
      </w:r>
    </w:p>
    <w:p w:rsidR="533FB177" w:rsidP="1FD09425" w:rsidRDefault="533FB177" w14:paraId="7CE83930" w14:textId="68578258">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This legislation ensures accurateness of information being told to individuals who migrate from any new state like in the case of Mary, Nadine and Oscar. </w:t>
      </w:r>
    </w:p>
    <w:p w:rsidR="533FB177" w:rsidP="1FD09425" w:rsidRDefault="533FB177" w14:paraId="22F23EF7" w14:textId="3E63986F">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Additional rights for workers </w:t>
      </w:r>
    </w:p>
    <w:p w:rsidR="533FB177" w:rsidP="1FD09425" w:rsidRDefault="533FB177" w14:paraId="0B6C630F" w14:textId="3B4F2A6E">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EEC PACT introduced a principle of these movements of workers. This is now Article 45 TFEU, such free movements require the abolition of judgment based on nationality in relation to access to employment, pay, and other conditions of employment. This law would help Mary in the workplace and in finding appropriate work in a new state member state. </w:t>
      </w:r>
    </w:p>
    <w:p w:rsidR="533FB177" w:rsidP="1FD09425" w:rsidRDefault="533FB177" w14:paraId="0D041D23" w14:textId="6CCB5EA2">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  </w:t>
      </w:r>
    </w:p>
    <w:p w:rsidR="533FB177" w:rsidP="1FD09425" w:rsidRDefault="533FB177" w14:paraId="59E054AD" w14:textId="285359FA">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  </w:t>
      </w:r>
    </w:p>
    <w:p w:rsidR="533FB177" w:rsidP="1FD09425" w:rsidRDefault="533FB177" w14:paraId="02325879" w14:textId="33359C0F">
      <w:pPr>
        <w:pStyle w:val="Normal"/>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533FB177">
        <w:rPr>
          <w:rFonts w:ascii="Calibri" w:hAnsi="Calibri" w:eastAsia="Calibri" w:cs="Calibri" w:asciiTheme="minorAscii" w:hAnsiTheme="minorAscii" w:eastAsiaTheme="minorAscii" w:cstheme="minorAscii"/>
          <w:noProof w:val="0"/>
          <w:sz w:val="22"/>
          <w:szCs w:val="22"/>
          <w:lang w:val="en-US"/>
        </w:rPr>
        <w:t xml:space="preserve">  </w:t>
      </w:r>
    </w:p>
    <w:p w:rsidR="4EB47659" w:rsidP="1FD09425" w:rsidRDefault="4EB47659" w14:paraId="275D01FD" w14:textId="27700610">
      <w:pPr>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4EB47659">
        <w:rPr>
          <w:rFonts w:ascii="Calibri" w:hAnsi="Calibri" w:eastAsia="Calibri" w:cs="Calibri" w:asciiTheme="minorAscii" w:hAnsiTheme="minorAscii" w:eastAsiaTheme="minorAscii" w:cstheme="minorAscii"/>
          <w:noProof w:val="0"/>
          <w:sz w:val="22"/>
          <w:szCs w:val="22"/>
          <w:lang w:val="en-US"/>
        </w:rPr>
        <w:t xml:space="preserve"> </w:t>
      </w:r>
    </w:p>
    <w:p w:rsidR="4EB47659" w:rsidP="1FD09425" w:rsidRDefault="4EB47659" w14:paraId="3BE76C60" w14:textId="4933FEE0">
      <w:pPr>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4EB47659">
        <w:rPr>
          <w:rFonts w:ascii="Calibri" w:hAnsi="Calibri" w:eastAsia="Calibri" w:cs="Calibri" w:asciiTheme="minorAscii" w:hAnsiTheme="minorAscii" w:eastAsiaTheme="minorAscii" w:cstheme="minorAscii"/>
          <w:noProof w:val="0"/>
          <w:sz w:val="22"/>
          <w:szCs w:val="22"/>
          <w:lang w:val="en-US"/>
        </w:rPr>
        <w:t xml:space="preserve"> </w:t>
      </w:r>
    </w:p>
    <w:p w:rsidR="4EB47659" w:rsidP="1FD09425" w:rsidRDefault="4EB47659" w14:paraId="47F449D5" w14:textId="76188ED7">
      <w:pPr>
        <w:spacing w:line="240" w:lineRule="auto"/>
        <w:ind w:firstLine="720"/>
        <w:jc w:val="both"/>
        <w:rPr>
          <w:rFonts w:ascii="Calibri" w:hAnsi="Calibri" w:eastAsia="Calibri" w:cs="Calibri" w:asciiTheme="minorAscii" w:hAnsiTheme="minorAscii" w:eastAsiaTheme="minorAscii" w:cstheme="minorAscii"/>
          <w:noProof w:val="0"/>
          <w:sz w:val="22"/>
          <w:szCs w:val="22"/>
          <w:lang w:val="en-US"/>
        </w:rPr>
      </w:pPr>
      <w:r w:rsidRPr="1FD09425" w:rsidR="4EB47659">
        <w:rPr>
          <w:rFonts w:ascii="Calibri" w:hAnsi="Calibri" w:eastAsia="Calibri" w:cs="Calibri" w:asciiTheme="minorAscii" w:hAnsiTheme="minorAscii" w:eastAsiaTheme="minorAscii" w:cstheme="minorAscii"/>
          <w:noProof w:val="0"/>
          <w:sz w:val="22"/>
          <w:szCs w:val="22"/>
          <w:lang w:val="en-US"/>
        </w:rPr>
        <w:t xml:space="preserve"> </w:t>
      </w:r>
    </w:p>
    <w:p w:rsidR="4EB47659" w:rsidP="1FD09425" w:rsidRDefault="4EB47659" w14:paraId="5C3E0892" w14:textId="4E75DF47">
      <w:pPr>
        <w:spacing w:line="240" w:lineRule="auto"/>
        <w:jc w:val="both"/>
        <w:rPr>
          <w:rFonts w:ascii="Calibri" w:hAnsi="Calibri" w:eastAsia="Calibri" w:cs="Calibri" w:asciiTheme="minorAscii" w:hAnsiTheme="minorAscii" w:eastAsiaTheme="minorAscii" w:cstheme="minorAscii"/>
          <w:noProof w:val="0"/>
          <w:sz w:val="22"/>
          <w:szCs w:val="22"/>
          <w:lang w:val="en-US"/>
        </w:rPr>
      </w:pPr>
      <w:r w:rsidRPr="1FD09425" w:rsidR="4EB47659">
        <w:rPr>
          <w:rFonts w:ascii="Calibri" w:hAnsi="Calibri" w:eastAsia="Calibri" w:cs="Calibri" w:asciiTheme="minorAscii" w:hAnsiTheme="minorAscii" w:eastAsiaTheme="minorAscii" w:cstheme="minorAscii"/>
          <w:noProof w:val="0"/>
          <w:sz w:val="22"/>
          <w:szCs w:val="22"/>
          <w:lang w:val="en-US"/>
        </w:rPr>
        <w:t xml:space="preserve"> </w:t>
      </w:r>
    </w:p>
    <w:p w:rsidR="4EB47659" w:rsidP="1FD09425" w:rsidRDefault="4EB47659" w14:paraId="52EC6734" w14:textId="1AE32C91">
      <w:pPr>
        <w:spacing w:line="240" w:lineRule="auto"/>
        <w:ind w:firstLine="720"/>
        <w:jc w:val="both"/>
        <w:rPr>
          <w:rFonts w:ascii="Calibri" w:hAnsi="Calibri" w:eastAsia="Calibri" w:cs="Calibri" w:asciiTheme="minorAscii" w:hAnsiTheme="minorAscii" w:eastAsiaTheme="minorAscii" w:cstheme="minorAscii"/>
          <w:noProof w:val="0"/>
          <w:sz w:val="22"/>
          <w:szCs w:val="22"/>
          <w:lang w:val="en-US"/>
        </w:rPr>
      </w:pPr>
      <w:r w:rsidRPr="1FD09425" w:rsidR="4EB47659">
        <w:rPr>
          <w:rFonts w:ascii="Calibri" w:hAnsi="Calibri" w:eastAsia="Calibri" w:cs="Calibri" w:asciiTheme="minorAscii" w:hAnsiTheme="minorAscii" w:eastAsiaTheme="minorAscii" w:cstheme="minorAscii"/>
          <w:noProof w:val="0"/>
          <w:sz w:val="22"/>
          <w:szCs w:val="22"/>
          <w:lang w:val="en-US"/>
        </w:rPr>
        <w:t xml:space="preserve"> </w:t>
      </w:r>
    </w:p>
    <w:p w:rsidR="1FD09425" w:rsidP="1FD09425" w:rsidRDefault="1FD09425" w14:paraId="7DEEF18A" w14:textId="1230B0B0">
      <w:pPr>
        <w:spacing w:line="240" w:lineRule="auto"/>
        <w:jc w:val="both"/>
        <w:rPr>
          <w:rFonts w:ascii="Calibri" w:hAnsi="Calibri" w:eastAsia="Calibri" w:cs="Calibri" w:asciiTheme="minorAscii" w:hAnsiTheme="minorAscii" w:eastAsiaTheme="minorAscii" w:cstheme="minorAscii"/>
          <w:noProof w:val="0"/>
          <w:sz w:val="22"/>
          <w:szCs w:val="22"/>
          <w:lang w:val="en-US"/>
        </w:rPr>
      </w:pPr>
    </w:p>
    <w:p w:rsidR="193538B9" w:rsidP="1FD09425" w:rsidRDefault="193538B9" w14:paraId="154D5230" w14:textId="0D450C21">
      <w:pPr>
        <w:pStyle w:val="Normal"/>
        <w:spacing w:line="240" w:lineRule="auto"/>
        <w:rPr>
          <w:rFonts w:ascii="Calibri" w:hAnsi="Calibri" w:eastAsia="Calibri" w:cs="Calibri" w:asciiTheme="minorAscii" w:hAnsiTheme="minorAscii" w:eastAsiaTheme="minorAscii" w:cstheme="minorAscii"/>
          <w:b w:val="1"/>
          <w:bCs w:val="1"/>
          <w:sz w:val="22"/>
          <w:szCs w:val="22"/>
        </w:rPr>
      </w:pPr>
      <w:r w:rsidRPr="1FD09425" w:rsidR="193538B9">
        <w:rPr>
          <w:rFonts w:ascii="Calibri" w:hAnsi="Calibri" w:eastAsia="Calibri" w:cs="Calibri" w:asciiTheme="minorAscii" w:hAnsiTheme="minorAscii" w:eastAsiaTheme="minorAscii" w:cstheme="minorAscii"/>
          <w:b w:val="1"/>
          <w:bCs w:val="1"/>
          <w:sz w:val="22"/>
          <w:szCs w:val="22"/>
        </w:rPr>
        <w:t>References:</w:t>
      </w:r>
    </w:p>
    <w:p w:rsidR="211799EA" w:rsidP="1FD09425" w:rsidRDefault="211799EA" w14:paraId="78E29B1C" w14:textId="0909A13F">
      <w:pPr>
        <w:pStyle w:val="Normal"/>
        <w:spacing w:line="240" w:lineRule="auto"/>
        <w:rPr>
          <w:rFonts w:ascii="Calibri" w:hAnsi="Calibri" w:eastAsia="Calibri" w:cs="Calibri" w:asciiTheme="minorAscii" w:hAnsiTheme="minorAscii" w:eastAsiaTheme="minorAscii" w:cstheme="minorAscii"/>
          <w:sz w:val="22"/>
          <w:szCs w:val="22"/>
        </w:rPr>
      </w:pPr>
      <w:r w:rsidRPr="1FD09425" w:rsidR="211799EA">
        <w:rPr>
          <w:rFonts w:ascii="Calibri" w:hAnsi="Calibri" w:eastAsia="Calibri" w:cs="Calibri" w:asciiTheme="minorAscii" w:hAnsiTheme="minorAscii" w:eastAsiaTheme="minorAscii" w:cstheme="minorAscii"/>
          <w:sz w:val="22"/>
          <w:szCs w:val="22"/>
        </w:rPr>
        <w:t>Question 1:</w:t>
      </w:r>
    </w:p>
    <w:p w:rsidR="684DE89C" w:rsidP="1FD09425" w:rsidRDefault="684DE89C" w14:paraId="4BD23773" w14:textId="2AAD7ECE">
      <w:pPr>
        <w:pStyle w:val="Normal"/>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D09425" w:rsidR="684DE8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Media.bloomsburyprofessional.com. n.d. </w:t>
      </w:r>
      <w:r w:rsidRPr="1FD09425" w:rsidR="684DE89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POUCET V ASSURANCES GÉNÉRALES DE FRANCE</w:t>
      </w:r>
      <w:r w:rsidRPr="1FD09425" w:rsidR="684DE8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[online] Available at: &lt;https://media.bloomsburyprofessional.com/rep/files/9781509909834sample.pdf&gt; [Accessed 4 May 2021].</w:t>
      </w:r>
    </w:p>
    <w:p w:rsidR="691C176D" w:rsidP="1FD09425" w:rsidRDefault="691C176D" w14:paraId="1F56FA40" w14:textId="6A402518">
      <w:pPr>
        <w:pStyle w:val="Normal"/>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D09425" w:rsidR="691C17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European Union. 2018. </w:t>
      </w:r>
      <w:r w:rsidRPr="1FD09425" w:rsidR="691C176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Competition | European Union</w:t>
      </w:r>
      <w:r w:rsidRPr="1FD09425" w:rsidR="691C17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[online] Available at: &lt;https://europa.eu/european-union/topics/competition_en&gt; [Accessed 3 May 2021].</w:t>
      </w:r>
    </w:p>
    <w:p w:rsidR="4C2E896B" w:rsidP="1FD09425" w:rsidRDefault="4C2E896B" w14:paraId="71173D24" w14:textId="2D80DCD2">
      <w:pPr>
        <w:pStyle w:val="Normal"/>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D09425" w:rsidR="4C2E8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COMMON RULES ON COMPETITION, TAXATION AND APPROXIMATION OF LAWS - Chapter 1: Rules on competition - Section 1: Rules applying to undertakings - Article 101 (</w:t>
      </w:r>
      <w:proofErr w:type="gramStart"/>
      <w:r w:rsidRPr="1FD09425" w:rsidR="4C2E8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 Article</w:t>
      </w:r>
      <w:proofErr w:type="gramEnd"/>
      <w:r w:rsidRPr="1FD09425" w:rsidR="4C2E8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81 TEC)</w:t>
      </w:r>
      <w:r>
        <w:br/>
      </w:r>
      <w:r w:rsidRPr="1FD09425" w:rsidR="4C2E8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Official Journal </w:t>
      </w:r>
      <w:proofErr w:type="gramStart"/>
      <w:r w:rsidRPr="1FD09425" w:rsidR="4C2E8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115 ,</w:t>
      </w:r>
      <w:proofErr w:type="gramEnd"/>
      <w:r w:rsidRPr="1FD09425" w:rsidR="4C2E8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09/05/2008 P. 0088</w:t>
      </w:r>
      <w:r w:rsidRPr="1FD09425" w:rsidR="2EE8C6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w:t>
      </w:r>
      <w:r w:rsidRPr="1FD09425" w:rsidR="4C2E8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0089</w:t>
      </w:r>
    </w:p>
    <w:p w:rsidR="316AA950" w:rsidP="1FD09425" w:rsidRDefault="316AA950" w14:paraId="78E45B73" w14:textId="382EEAA4">
      <w:pPr>
        <w:pStyle w:val="Normal"/>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D09425" w:rsidR="316AA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Eur-lex.europa.eu. 2008. </w:t>
      </w:r>
      <w:r w:rsidRPr="1FD09425" w:rsidR="316AA95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EUR-Lex - 12008E102 - EN - EUR-Lex</w:t>
      </w:r>
      <w:r w:rsidRPr="1FD09425" w:rsidR="316AA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[online] Available at: &lt;https://eur-lex.europa.eu/legal-content/EN/ALL/?</w:t>
      </w:r>
      <w:proofErr w:type="spellStart"/>
      <w:r w:rsidRPr="1FD09425" w:rsidR="316AA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uri</w:t>
      </w:r>
      <w:proofErr w:type="spellEnd"/>
      <w:r w:rsidRPr="1FD09425" w:rsidR="316AA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=CELEX%3A12008E102&gt; [Accessed 4 May 2021].</w:t>
      </w:r>
      <w:r>
        <w:br/>
      </w:r>
    </w:p>
    <w:p w:rsidR="1C0C0042" w:rsidP="1FD09425" w:rsidRDefault="1C0C0042" w14:paraId="53967795" w14:textId="12C0518C">
      <w:pPr>
        <w:pStyle w:val="Normal"/>
        <w:spacing w:line="240" w:lineRule="auto"/>
        <w:rPr>
          <w:rFonts w:ascii="Calibri" w:hAnsi="Calibri" w:eastAsia="Calibri" w:cs="Calibri" w:asciiTheme="minorAscii" w:hAnsiTheme="minorAscii" w:eastAsiaTheme="minorAscii" w:cstheme="minorAscii"/>
          <w:sz w:val="22"/>
          <w:szCs w:val="22"/>
        </w:rPr>
      </w:pPr>
      <w:r w:rsidRPr="1FD09425" w:rsidR="1C0C00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Altalex.eu. 2015. Article 101 TFEU, notion of undertaking and succession of undertakings | Altalex.eu. [online] Available at: &lt;http://www.altalex.</w:t>
      </w:r>
      <w:proofErr w:type="spellStart"/>
      <w:r w:rsidRPr="1FD09425" w:rsidR="1C0C00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eu</w:t>
      </w:r>
      <w:proofErr w:type="spellEnd"/>
      <w:r w:rsidRPr="1FD09425" w:rsidR="1C0C00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/content/article-101-tfeu-notion-undertaking-and-succession-undertakings&gt; [Accessed 7 May 2021].</w:t>
      </w:r>
      <w:r>
        <w:br/>
      </w:r>
      <w:r w:rsidRPr="1FD09425" w:rsidR="211799EA">
        <w:rPr>
          <w:rFonts w:ascii="Calibri" w:hAnsi="Calibri" w:eastAsia="Calibri" w:cs="Calibri" w:asciiTheme="minorAscii" w:hAnsiTheme="minorAscii" w:eastAsiaTheme="minorAscii" w:cstheme="minorAscii"/>
          <w:sz w:val="22"/>
          <w:szCs w:val="22"/>
        </w:rPr>
        <w:t>Question 2:</w:t>
      </w:r>
    </w:p>
    <w:p w:rsidR="171C96CC" w:rsidP="1FD09425" w:rsidRDefault="171C96CC" w14:paraId="1B2E2D34" w14:textId="27377310">
      <w:pPr>
        <w:pStyle w:val="Normal"/>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D09425" w:rsidR="171C96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English special edition: Series I Volume 1968(II) P. 475 - 484</w:t>
      </w:r>
    </w:p>
    <w:p w:rsidR="211799EA" w:rsidP="1FD09425" w:rsidRDefault="211799EA" w14:paraId="25873874" w14:textId="4DBADB86">
      <w:pPr>
        <w:pStyle w:val="Normal"/>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D09425" w:rsidR="211799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Citizensinformation.ie. 2021. </w:t>
      </w:r>
      <w:r w:rsidRPr="1FD09425" w:rsidR="211799E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Freedom of movement in the EU</w:t>
      </w:r>
      <w:r w:rsidRPr="1FD09425" w:rsidR="211799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Available at: &lt;https://www.citizensinformation.ie/en/government_in_ireland/european_government/european_union/freedom_of_movement_in_the_eu.html&gt; [Accessed 3 May 2021]. </w:t>
      </w:r>
    </w:p>
    <w:p w:rsidR="62E6F88A" w:rsidP="1FD09425" w:rsidRDefault="62E6F88A" w14:paraId="564BCBD8" w14:textId="6635F10C">
      <w:pPr>
        <w:pStyle w:val="Normal"/>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D09425" w:rsidR="62E6F8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Legislation.gov.uk. 2004. Directive 2004/38/EC of the European Parliament and of the Council of 29 April 2004 on the right of citizens of the Union and their family members to move and reside freely within the territory of the Member States amending Regulation (EEC) No 1612/68 and repealing Directives 64/221/EEC, 68/360/EEC, 72/194/EEC, 73/148/EEC, 75/34/EEC, 75/35/EEC, 90/364/EEC, 90/365/EEC and 93/96/EEC (Text with EEA relevance). [online] Available at: &lt;https://www.legislation.gov.uk/eudr/2004/38&gt; [Accessed 5 May 2021]. </w:t>
      </w:r>
    </w:p>
    <w:p w:rsidR="57FAAFD6" w:rsidP="1FD09425" w:rsidRDefault="57FAAFD6" w14:paraId="271482E8" w14:textId="5B1BF38D">
      <w:pPr>
        <w:pStyle w:val="Normal"/>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D09425" w:rsidR="57FAAF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European Union Agency for Fundamental Rights. 2016. Article 21 - Non-discrimination. [online] Available at: &lt;https://fra.europa.eu/en/eu-charter/article/21-non-discrimination&gt; [Accessed 6 May 2021].</w:t>
      </w:r>
    </w:p>
    <w:p w:rsidR="464C52B2" w:rsidP="1FD09425" w:rsidRDefault="464C52B2" w14:paraId="66B08FE2" w14:textId="4996BEAC">
      <w:pPr>
        <w:pStyle w:val="Normal"/>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D09425" w:rsidR="464C52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Regulation (EEC) No 1612/68 of the Council of 15 October 1968 on freedom of movement for workers within the Community, OJ L 257, 19.10.1968, p. 2–12</w:t>
      </w:r>
    </w:p>
    <w:p w:rsidR="57FAAFD6" w:rsidP="1FD09425" w:rsidRDefault="57FAAFD6" w14:paraId="2D5ED7E2" w14:textId="0CA517E3">
      <w:pPr>
        <w:pStyle w:val="Normal"/>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D09425" w:rsidR="57FAAF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European Union Agency for Fundamental Rights. 2019. Article 45 - Freedom of movement and of residence. [online] Available at: &lt;https://fra.europa.eu/en/eu-charter/article/45-freedom-movement-and-residence#:~:text=Article%2045%20%2D%20Freedom%20of%20movement%20and%20of%20residence,-1.&amp;text=Freedom%20of%20movement%20and%20residence,territory%20of%20a%20Member%20State.&gt; [Accessed 6 May 2021].</w:t>
      </w:r>
    </w:p>
    <w:p w:rsidR="66F9E019" w:rsidP="1FD09425" w:rsidRDefault="66F9E019" w14:paraId="1F12F386" w14:textId="38FEF716">
      <w:pPr>
        <w:pStyle w:val="Normal"/>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D09425" w:rsidR="66F9E0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Appellant v the Board of Directors of the Social Security Bank (Sociale </w:t>
      </w:r>
      <w:proofErr w:type="spellStart"/>
      <w:r w:rsidRPr="1FD09425" w:rsidR="66F9E0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Verzekeringsbank</w:t>
      </w:r>
      <w:proofErr w:type="spellEnd"/>
      <w:r w:rsidRPr="1FD09425" w:rsidR="66F9E0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FD09425" w:rsidR="66F9E0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Svb</w:t>
      </w:r>
      <w:r w:rsidRPr="1FD09425" w:rsidR="66F9E0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(2020)</w:t>
      </w:r>
    </w:p>
    <w:p w:rsidR="193538B9" w:rsidP="1FD09425" w:rsidRDefault="193538B9" w14:paraId="6E2A07A4" w14:textId="0B5A0DAB">
      <w:pPr>
        <w:pStyle w:val="Normal"/>
        <w:spacing w:line="240" w:lineRule="auto"/>
        <w:rPr>
          <w:rFonts w:ascii="Calibri" w:hAnsi="Calibri" w:eastAsia="Calibri" w:cs="Calibri" w:asciiTheme="minorAscii" w:hAnsiTheme="minorAscii" w:eastAsiaTheme="minorAscii" w:cstheme="minorAscii"/>
          <w:b w:val="1"/>
          <w:bCs w:val="1"/>
          <w:sz w:val="22"/>
          <w:szCs w:val="22"/>
        </w:rPr>
      </w:pPr>
      <w:r w:rsidRPr="1FD09425" w:rsidR="193538B9">
        <w:rPr>
          <w:rFonts w:ascii="Calibri" w:hAnsi="Calibri" w:eastAsia="Calibri" w:cs="Calibri" w:asciiTheme="minorAscii" w:hAnsiTheme="minorAscii" w:eastAsiaTheme="minorAscii" w:cstheme="minorAscii"/>
          <w:b w:val="1"/>
          <w:bCs w:val="1"/>
          <w:sz w:val="22"/>
          <w:szCs w:val="22"/>
        </w:rPr>
        <w:t>Case Law:</w:t>
      </w:r>
      <w:r w:rsidRPr="1FD09425" w:rsidR="5784B6CE">
        <w:rPr>
          <w:rFonts w:ascii="Calibri" w:hAnsi="Calibri" w:eastAsia="Calibri" w:cs="Calibri" w:asciiTheme="minorAscii" w:hAnsiTheme="minorAscii" w:eastAsiaTheme="minorAscii" w:cstheme="minorAscii"/>
          <w:b w:val="1"/>
          <w:bCs w:val="1"/>
          <w:sz w:val="22"/>
          <w:szCs w:val="22"/>
        </w:rPr>
        <w:t xml:space="preserve">   (Information regarding cases cited above)</w:t>
      </w:r>
    </w:p>
    <w:p w:rsidR="23D4468F" w:rsidP="1FD09425" w:rsidRDefault="23D4468F" w14:paraId="55DC4EF1" w14:textId="5C1E3587">
      <w:pPr>
        <w:pStyle w:val="Normal"/>
        <w:bidi w:val="0"/>
        <w:spacing w:line="240" w:lineRule="auto"/>
        <w:rPr>
          <w:rFonts w:ascii="Calibri" w:hAnsi="Calibri" w:eastAsia="Calibri" w:cs="Calibri" w:asciiTheme="minorAscii" w:hAnsiTheme="minorAscii" w:eastAsiaTheme="minorAscii" w:cstheme="minorAscii"/>
          <w:i w:val="1"/>
          <w:iCs w:val="1"/>
          <w:sz w:val="22"/>
          <w:szCs w:val="22"/>
        </w:rPr>
      </w:pPr>
      <w:r w:rsidRPr="1FD09425" w:rsidR="23D4468F">
        <w:rPr>
          <w:rFonts w:ascii="Calibri" w:hAnsi="Calibri" w:eastAsia="Calibri" w:cs="Calibri" w:asciiTheme="minorAscii" w:hAnsiTheme="minorAscii" w:eastAsiaTheme="minorAscii" w:cstheme="minorAscii"/>
          <w:i w:val="1"/>
          <w:iCs w:val="1"/>
          <w:sz w:val="22"/>
          <w:szCs w:val="22"/>
        </w:rPr>
        <w:t>British Airways v Commission (2004)</w:t>
      </w:r>
    </w:p>
    <w:p w:rsidR="28A4DCDB" w:rsidP="1FD09425" w:rsidRDefault="28A4DCDB" w14:paraId="7681A561" w14:textId="472043B1">
      <w:pPr>
        <w:pStyle w:val="Normal"/>
        <w:bidi w:val="0"/>
        <w:spacing w:line="240" w:lineRule="auto"/>
        <w:rPr>
          <w:rFonts w:ascii="Calibri" w:hAnsi="Calibri" w:eastAsia="Calibri" w:cs="Calibri" w:asciiTheme="minorAscii" w:hAnsiTheme="minorAscii" w:eastAsiaTheme="minorAscii" w:cstheme="minorAscii"/>
          <w:i w:val="1"/>
          <w:iCs w:val="1"/>
          <w:sz w:val="22"/>
          <w:szCs w:val="22"/>
        </w:rPr>
      </w:pPr>
      <w:proofErr w:type="spellStart"/>
      <w:r w:rsidRPr="1FD09425" w:rsidR="28A4DCDB">
        <w:rPr>
          <w:rFonts w:ascii="Calibri" w:hAnsi="Calibri" w:eastAsia="Calibri" w:cs="Calibri" w:asciiTheme="minorAscii" w:hAnsiTheme="minorAscii" w:eastAsiaTheme="minorAscii" w:cstheme="minorAscii"/>
          <w:i w:val="1"/>
          <w:iCs w:val="1"/>
          <w:sz w:val="22"/>
          <w:szCs w:val="22"/>
        </w:rPr>
        <w:t>Poucet</w:t>
      </w:r>
      <w:proofErr w:type="spellEnd"/>
      <w:r w:rsidRPr="1FD09425" w:rsidR="28A4DCDB">
        <w:rPr>
          <w:rFonts w:ascii="Calibri" w:hAnsi="Calibri" w:eastAsia="Calibri" w:cs="Calibri" w:asciiTheme="minorAscii" w:hAnsiTheme="minorAscii" w:eastAsiaTheme="minorAscii" w:cstheme="minorAscii"/>
          <w:i w:val="1"/>
          <w:iCs w:val="1"/>
          <w:sz w:val="22"/>
          <w:szCs w:val="22"/>
        </w:rPr>
        <w:t xml:space="preserve"> v Assurances G é n é rales de France (1993)</w:t>
      </w:r>
    </w:p>
    <w:p w:rsidR="28A4DCDB" w:rsidP="1FD09425" w:rsidRDefault="28A4DCDB" w14:paraId="59345881" w14:textId="472E26C9">
      <w:pPr>
        <w:pStyle w:val="Normal"/>
        <w:bidi w:val="0"/>
        <w:spacing w:line="240" w:lineRule="auto"/>
        <w:rPr>
          <w:rFonts w:ascii="Calibri" w:hAnsi="Calibri" w:eastAsia="Calibri" w:cs="Calibri" w:asciiTheme="minorAscii" w:hAnsiTheme="minorAscii" w:eastAsiaTheme="minorAscii" w:cstheme="minorAscii"/>
          <w:i w:val="1"/>
          <w:iCs w:val="1"/>
          <w:sz w:val="22"/>
          <w:szCs w:val="22"/>
        </w:rPr>
      </w:pPr>
      <w:r w:rsidRPr="1FD09425" w:rsidR="28A4DCDB">
        <w:rPr>
          <w:rFonts w:ascii="Calibri" w:hAnsi="Calibri" w:eastAsia="Calibri" w:cs="Calibri" w:asciiTheme="minorAscii" w:hAnsiTheme="minorAscii" w:eastAsiaTheme="minorAscii" w:cstheme="minorAscii"/>
          <w:i w:val="1"/>
          <w:iCs w:val="1"/>
          <w:sz w:val="22"/>
          <w:szCs w:val="22"/>
        </w:rPr>
        <w:t>Hofner and Elser v Macrotron (Judgment): ECJ 23 Apr 1991</w:t>
      </w:r>
    </w:p>
    <w:p w:rsidR="28A4DCDB" w:rsidP="1FD09425" w:rsidRDefault="28A4DCDB" w14:paraId="56DDA0DF" w14:textId="55E9052A">
      <w:pPr>
        <w:pStyle w:val="Normal"/>
        <w:bidi w:val="0"/>
        <w:spacing w:line="240" w:lineRule="auto"/>
        <w:rPr>
          <w:rFonts w:ascii="Calibri" w:hAnsi="Calibri" w:eastAsia="Calibri" w:cs="Calibri" w:asciiTheme="minorAscii" w:hAnsiTheme="minorAscii" w:eastAsiaTheme="minorAscii" w:cstheme="minorAscii"/>
          <w:i w:val="1"/>
          <w:iCs w:val="1"/>
          <w:sz w:val="22"/>
          <w:szCs w:val="22"/>
        </w:rPr>
      </w:pPr>
      <w:r w:rsidRPr="1FD09425" w:rsidR="28A4DCDB">
        <w:rPr>
          <w:rFonts w:ascii="Calibri" w:hAnsi="Calibri" w:eastAsia="Calibri" w:cs="Calibri" w:asciiTheme="minorAscii" w:hAnsiTheme="minorAscii" w:eastAsiaTheme="minorAscii" w:cstheme="minorAscii"/>
          <w:i w:val="1"/>
          <w:iCs w:val="1"/>
          <w:sz w:val="22"/>
          <w:szCs w:val="22"/>
        </w:rPr>
        <w:t>United Brands (UB) v Commision (1978)</w:t>
      </w:r>
    </w:p>
    <w:p w:rsidR="28A4DCDB" w:rsidP="1FD09425" w:rsidRDefault="28A4DCDB" w14:paraId="2C4EC4C7" w14:textId="7AB969F4">
      <w:pPr>
        <w:pStyle w:val="Normal"/>
        <w:bidi w:val="0"/>
        <w:spacing w:line="240" w:lineRule="auto"/>
        <w:rPr>
          <w:rFonts w:ascii="Calibri" w:hAnsi="Calibri" w:eastAsia="Calibri" w:cs="Calibri" w:asciiTheme="minorAscii" w:hAnsiTheme="minorAscii" w:eastAsiaTheme="minorAscii" w:cstheme="minorAscii"/>
          <w:sz w:val="22"/>
          <w:szCs w:val="22"/>
        </w:rPr>
      </w:pPr>
      <w:r w:rsidRPr="1FD09425" w:rsidR="28A4DCDB">
        <w:rPr>
          <w:rFonts w:ascii="Calibri" w:hAnsi="Calibri" w:eastAsia="Calibri" w:cs="Calibri" w:asciiTheme="minorAscii" w:hAnsiTheme="minorAscii" w:eastAsiaTheme="minorAscii" w:cstheme="minorAscii"/>
          <w:i w:val="1"/>
          <w:iCs w:val="1"/>
          <w:sz w:val="22"/>
          <w:szCs w:val="22"/>
        </w:rPr>
        <w:t>Quinine Cartel case (1970)</w:t>
      </w:r>
    </w:p>
    <w:p w:rsidR="5CD2974F" w:rsidP="1FD09425" w:rsidRDefault="5CD2974F" w14:paraId="5BD8188A" w14:textId="603D4F2B">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i w:val="0"/>
          <w:iCs w:val="0"/>
          <w:sz w:val="22"/>
          <w:szCs w:val="22"/>
        </w:rPr>
      </w:pPr>
      <w:r w:rsidRPr="1FD09425" w:rsidR="5CD2974F">
        <w:rPr>
          <w:rFonts w:ascii="Calibri" w:hAnsi="Calibri" w:eastAsia="Calibri" w:cs="Calibri" w:asciiTheme="minorAscii" w:hAnsiTheme="minorAscii" w:eastAsiaTheme="minorAscii" w:cstheme="minorAscii"/>
          <w:i w:val="1"/>
          <w:iCs w:val="1"/>
          <w:sz w:val="22"/>
          <w:szCs w:val="22"/>
        </w:rPr>
        <w:t>Hoffman La Roche (1979),</w:t>
      </w:r>
    </w:p>
    <w:p w:rsidR="1A16CF4B" w:rsidP="1FD09425" w:rsidRDefault="1A16CF4B" w14:paraId="29CB66C3" w14:textId="007562D0">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i w:val="0"/>
          <w:iCs w:val="0"/>
          <w:sz w:val="22"/>
          <w:szCs w:val="22"/>
        </w:rPr>
      </w:pPr>
      <w:r w:rsidRPr="1FD09425" w:rsidR="1A16CF4B">
        <w:rPr>
          <w:rFonts w:ascii="Calibri" w:hAnsi="Calibri" w:eastAsia="Calibri" w:cs="Calibri" w:asciiTheme="minorAscii" w:hAnsiTheme="minorAscii" w:eastAsiaTheme="minorAscii" w:cstheme="minorAscii"/>
          <w:i w:val="1"/>
          <w:iCs w:val="1"/>
          <w:sz w:val="22"/>
          <w:szCs w:val="22"/>
        </w:rPr>
        <w:t>Commission Notice (1997)</w:t>
      </w:r>
    </w:p>
    <w:p w:rsidR="1A16CF4B" w:rsidP="1FD09425" w:rsidRDefault="1A16CF4B" w14:paraId="347FFF4B" w14:textId="5D9A2984">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sz w:val="22"/>
          <w:szCs w:val="22"/>
        </w:rPr>
      </w:pPr>
      <w:r w:rsidRPr="1FD09425" w:rsidR="1A16CF4B">
        <w:rPr>
          <w:rFonts w:ascii="Calibri" w:hAnsi="Calibri" w:eastAsia="Calibri" w:cs="Calibri" w:asciiTheme="minorAscii" w:hAnsiTheme="minorAscii" w:eastAsiaTheme="minorAscii" w:cstheme="minorAscii"/>
          <w:i w:val="1"/>
          <w:iCs w:val="1"/>
          <w:sz w:val="22"/>
          <w:szCs w:val="22"/>
        </w:rPr>
        <w:t>Napier Brown- British Sugar (1988)</w:t>
      </w:r>
    </w:p>
    <w:p w:rsidR="5916143D" w:rsidP="1FD09425" w:rsidRDefault="5916143D" w14:paraId="2944E1AB" w14:textId="1274B09C">
      <w:pPr>
        <w:pStyle w:val="Normal"/>
        <w:bidi w:val="0"/>
        <w:spacing w:line="240" w:lineRule="auto"/>
        <w:rPr>
          <w:rFonts w:ascii="Calibri" w:hAnsi="Calibri" w:eastAsia="Calibri" w:cs="Calibri" w:asciiTheme="minorAscii" w:hAnsiTheme="minorAscii" w:eastAsiaTheme="minorAscii" w:cstheme="minorAscii"/>
          <w:i w:val="0"/>
          <w:iCs w:val="0"/>
          <w:sz w:val="22"/>
          <w:szCs w:val="22"/>
        </w:rPr>
      </w:pPr>
      <w:r w:rsidRPr="1FD09425" w:rsidR="5916143D">
        <w:rPr>
          <w:rFonts w:ascii="Calibri" w:hAnsi="Calibri" w:eastAsia="Calibri" w:cs="Calibri" w:asciiTheme="minorAscii" w:hAnsiTheme="minorAscii" w:eastAsiaTheme="minorAscii" w:cstheme="minorAscii"/>
          <w:i w:val="1"/>
          <w:iCs w:val="1"/>
          <w:sz w:val="22"/>
          <w:szCs w:val="22"/>
        </w:rPr>
        <w:t>Continental v Commission (1973)</w:t>
      </w:r>
    </w:p>
    <w:p w:rsidR="1FD09425" w:rsidP="1FD09425" w:rsidRDefault="1FD09425" w14:paraId="06BF4C16" w14:textId="035CF366">
      <w:pPr>
        <w:pStyle w:val="Normal"/>
        <w:bidi w:val="0"/>
        <w:spacing w:line="240" w:lineRule="auto"/>
        <w:rPr>
          <w:rFonts w:ascii="Calibri" w:hAnsi="Calibri" w:eastAsia="Calibri" w:cs="Calibri" w:asciiTheme="minorAscii" w:hAnsiTheme="minorAscii" w:eastAsiaTheme="minorAscii" w:cstheme="minorAscii"/>
          <w:i w:val="1"/>
          <w:iCs w:val="1"/>
          <w:sz w:val="22"/>
          <w:szCs w:val="22"/>
        </w:rPr>
      </w:pPr>
    </w:p>
    <w:p w:rsidR="1FD09425" w:rsidP="1FD09425" w:rsidRDefault="1FD09425" w14:paraId="331A64B0" w14:textId="461F0A97">
      <w:pPr>
        <w:pStyle w:val="Normal"/>
        <w:bidi w:val="0"/>
        <w:spacing w:line="240" w:lineRule="auto"/>
        <w:rPr>
          <w:rFonts w:ascii="Calibri" w:hAnsi="Calibri" w:eastAsia="Calibri" w:cs="Calibri" w:asciiTheme="minorAscii" w:hAnsiTheme="minorAscii" w:eastAsiaTheme="minorAscii" w:cstheme="minorAscii"/>
          <w:i w:val="1"/>
          <w:iCs w:val="1"/>
          <w:sz w:val="22"/>
          <w:szCs w:val="22"/>
        </w:rPr>
      </w:pPr>
    </w:p>
    <w:p w:rsidR="1FD09425" w:rsidP="1FD09425" w:rsidRDefault="1FD09425" w14:paraId="390CD32A" w14:textId="2475F6AB">
      <w:pPr>
        <w:pStyle w:val="Normal"/>
        <w:bidi w:val="0"/>
        <w:spacing w:line="240" w:lineRule="auto"/>
        <w:rPr>
          <w:rFonts w:ascii="Calibri" w:hAnsi="Calibri" w:eastAsia="Calibri" w:cs="Calibri" w:asciiTheme="minorAscii" w:hAnsiTheme="minorAscii" w:eastAsiaTheme="minorAscii" w:cstheme="minorAscii"/>
          <w:i w:val="1"/>
          <w:iCs w:val="1"/>
          <w:sz w:val="22"/>
          <w:szCs w:val="22"/>
        </w:rPr>
      </w:pPr>
    </w:p>
    <w:p w:rsidR="1FD09425" w:rsidP="1FD09425" w:rsidRDefault="1FD09425" w14:paraId="7A47C815" w14:textId="051DBD63">
      <w:pPr>
        <w:pStyle w:val="Normal"/>
        <w:bidi w:val="0"/>
        <w:spacing w:line="240" w:lineRule="auto"/>
        <w:rPr>
          <w:rFonts w:ascii="Calibri" w:hAnsi="Calibri" w:eastAsia="Calibri" w:cs="Calibri" w:asciiTheme="minorAscii" w:hAnsiTheme="minorAscii" w:eastAsiaTheme="minorAscii" w:cstheme="minorAscii"/>
          <w:i w:val="1"/>
          <w:iCs w:val="1"/>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096FA4"/>
    <w:rsid w:val="0055C5DB"/>
    <w:rsid w:val="009C9778"/>
    <w:rsid w:val="00B7E817"/>
    <w:rsid w:val="0121549E"/>
    <w:rsid w:val="0130DB3B"/>
    <w:rsid w:val="01EA0F46"/>
    <w:rsid w:val="02001935"/>
    <w:rsid w:val="024E9295"/>
    <w:rsid w:val="027901EC"/>
    <w:rsid w:val="0304332B"/>
    <w:rsid w:val="03240B70"/>
    <w:rsid w:val="038C5FD9"/>
    <w:rsid w:val="039BD45E"/>
    <w:rsid w:val="03D4383A"/>
    <w:rsid w:val="03D94515"/>
    <w:rsid w:val="04193116"/>
    <w:rsid w:val="047E8ED2"/>
    <w:rsid w:val="0484332E"/>
    <w:rsid w:val="04DAB56B"/>
    <w:rsid w:val="050053DA"/>
    <w:rsid w:val="0504C832"/>
    <w:rsid w:val="057E9403"/>
    <w:rsid w:val="06096FA4"/>
    <w:rsid w:val="0646BF68"/>
    <w:rsid w:val="06F87597"/>
    <w:rsid w:val="06FC0C14"/>
    <w:rsid w:val="070BD8FC"/>
    <w:rsid w:val="0742BE73"/>
    <w:rsid w:val="077210EA"/>
    <w:rsid w:val="081EE3B1"/>
    <w:rsid w:val="088B1632"/>
    <w:rsid w:val="08FA41F2"/>
    <w:rsid w:val="0914C6FD"/>
    <w:rsid w:val="096FFF86"/>
    <w:rsid w:val="0975FB7C"/>
    <w:rsid w:val="09905796"/>
    <w:rsid w:val="09EE6D6F"/>
    <w:rsid w:val="0A21A6DD"/>
    <w:rsid w:val="0A66429C"/>
    <w:rsid w:val="0B2E8E30"/>
    <w:rsid w:val="0BDF6A68"/>
    <w:rsid w:val="0BED570A"/>
    <w:rsid w:val="0C58D422"/>
    <w:rsid w:val="0CF4C1C5"/>
    <w:rsid w:val="0D295D56"/>
    <w:rsid w:val="0D2F173D"/>
    <w:rsid w:val="0D7B1A80"/>
    <w:rsid w:val="0DF7A90E"/>
    <w:rsid w:val="0E7F574F"/>
    <w:rsid w:val="0EEEF644"/>
    <w:rsid w:val="0F3C15EA"/>
    <w:rsid w:val="0F413BF1"/>
    <w:rsid w:val="0F609CE2"/>
    <w:rsid w:val="1027D2CC"/>
    <w:rsid w:val="10CA0187"/>
    <w:rsid w:val="111858B7"/>
    <w:rsid w:val="114086D1"/>
    <w:rsid w:val="1162B636"/>
    <w:rsid w:val="118C94DD"/>
    <w:rsid w:val="119DCFB4"/>
    <w:rsid w:val="12384C3E"/>
    <w:rsid w:val="126A277C"/>
    <w:rsid w:val="12786A4A"/>
    <w:rsid w:val="1328653E"/>
    <w:rsid w:val="1334181B"/>
    <w:rsid w:val="137795B4"/>
    <w:rsid w:val="13B20D60"/>
    <w:rsid w:val="13FB0283"/>
    <w:rsid w:val="14DAF10B"/>
    <w:rsid w:val="154DDDC1"/>
    <w:rsid w:val="15549907"/>
    <w:rsid w:val="15CEB3FE"/>
    <w:rsid w:val="16D73008"/>
    <w:rsid w:val="16F50ABE"/>
    <w:rsid w:val="171C96CC"/>
    <w:rsid w:val="1729EA4C"/>
    <w:rsid w:val="177BBF36"/>
    <w:rsid w:val="189EE2A2"/>
    <w:rsid w:val="191E2ECD"/>
    <w:rsid w:val="193538B9"/>
    <w:rsid w:val="1A16CF4B"/>
    <w:rsid w:val="1A3356AA"/>
    <w:rsid w:val="1A840B54"/>
    <w:rsid w:val="1A85BF97"/>
    <w:rsid w:val="1A9A379B"/>
    <w:rsid w:val="1AA22521"/>
    <w:rsid w:val="1B018379"/>
    <w:rsid w:val="1B2C95C4"/>
    <w:rsid w:val="1B340648"/>
    <w:rsid w:val="1C0C0042"/>
    <w:rsid w:val="1C1BB623"/>
    <w:rsid w:val="1C393514"/>
    <w:rsid w:val="1C4F3059"/>
    <w:rsid w:val="1CA568DD"/>
    <w:rsid w:val="1CCF4784"/>
    <w:rsid w:val="1D8DC78C"/>
    <w:rsid w:val="1DD9C5E3"/>
    <w:rsid w:val="1FC3B5C0"/>
    <w:rsid w:val="1FD09425"/>
    <w:rsid w:val="1FF22AD1"/>
    <w:rsid w:val="2006E846"/>
    <w:rsid w:val="201BD798"/>
    <w:rsid w:val="20484354"/>
    <w:rsid w:val="204B8526"/>
    <w:rsid w:val="204EEED0"/>
    <w:rsid w:val="20C0094D"/>
    <w:rsid w:val="211799EA"/>
    <w:rsid w:val="21461EF9"/>
    <w:rsid w:val="218FAFF7"/>
    <w:rsid w:val="21D7E20B"/>
    <w:rsid w:val="222330FB"/>
    <w:rsid w:val="22276476"/>
    <w:rsid w:val="22398B3E"/>
    <w:rsid w:val="22FC21C0"/>
    <w:rsid w:val="2305FE00"/>
    <w:rsid w:val="235CA819"/>
    <w:rsid w:val="23D4468F"/>
    <w:rsid w:val="24086D54"/>
    <w:rsid w:val="24DAE88E"/>
    <w:rsid w:val="25478FE5"/>
    <w:rsid w:val="255E960B"/>
    <w:rsid w:val="25C62ED6"/>
    <w:rsid w:val="25DCEA42"/>
    <w:rsid w:val="26096058"/>
    <w:rsid w:val="26878741"/>
    <w:rsid w:val="26E0C112"/>
    <w:rsid w:val="27400E16"/>
    <w:rsid w:val="2761FF37"/>
    <w:rsid w:val="2796859D"/>
    <w:rsid w:val="27C14425"/>
    <w:rsid w:val="28A4DCDB"/>
    <w:rsid w:val="2A4CBB3A"/>
    <w:rsid w:val="2BA8DFDB"/>
    <w:rsid w:val="2BE361E1"/>
    <w:rsid w:val="2BEDB7DF"/>
    <w:rsid w:val="2C4C2BC6"/>
    <w:rsid w:val="2C5A8382"/>
    <w:rsid w:val="2C5D669D"/>
    <w:rsid w:val="2C94B548"/>
    <w:rsid w:val="2DC005E4"/>
    <w:rsid w:val="2DD140BB"/>
    <w:rsid w:val="2DEFE9AD"/>
    <w:rsid w:val="2DF5CB52"/>
    <w:rsid w:val="2E0277B5"/>
    <w:rsid w:val="2E984882"/>
    <w:rsid w:val="2EA50ED3"/>
    <w:rsid w:val="2EE8C61E"/>
    <w:rsid w:val="2EF15B14"/>
    <w:rsid w:val="2F7291B1"/>
    <w:rsid w:val="301DCD0B"/>
    <w:rsid w:val="30674A20"/>
    <w:rsid w:val="30714BCA"/>
    <w:rsid w:val="30E6F05C"/>
    <w:rsid w:val="31278A6F"/>
    <w:rsid w:val="316AA950"/>
    <w:rsid w:val="318CAB64"/>
    <w:rsid w:val="31B99D6C"/>
    <w:rsid w:val="32C0A6FE"/>
    <w:rsid w:val="32C35AD0"/>
    <w:rsid w:val="32CF35D5"/>
    <w:rsid w:val="32DE4C5D"/>
    <w:rsid w:val="335D5B53"/>
    <w:rsid w:val="33B051F6"/>
    <w:rsid w:val="33B5CF73"/>
    <w:rsid w:val="33FB9AAE"/>
    <w:rsid w:val="343326BB"/>
    <w:rsid w:val="34483A76"/>
    <w:rsid w:val="346A8B64"/>
    <w:rsid w:val="34D78C1D"/>
    <w:rsid w:val="35078519"/>
    <w:rsid w:val="355436BD"/>
    <w:rsid w:val="358C7920"/>
    <w:rsid w:val="3694FC15"/>
    <w:rsid w:val="3704BADF"/>
    <w:rsid w:val="373AC99D"/>
    <w:rsid w:val="3767774F"/>
    <w:rsid w:val="37DF5575"/>
    <w:rsid w:val="380E2715"/>
    <w:rsid w:val="38583E2C"/>
    <w:rsid w:val="38697903"/>
    <w:rsid w:val="390347B0"/>
    <w:rsid w:val="395E97A1"/>
    <w:rsid w:val="39CC9CD7"/>
    <w:rsid w:val="3A50F154"/>
    <w:rsid w:val="3A717C59"/>
    <w:rsid w:val="3A831057"/>
    <w:rsid w:val="3A86E13B"/>
    <w:rsid w:val="3A9E88EC"/>
    <w:rsid w:val="3AA73FB4"/>
    <w:rsid w:val="3ABA7654"/>
    <w:rsid w:val="3BE4A556"/>
    <w:rsid w:val="3BF5B5FB"/>
    <w:rsid w:val="3C3480E4"/>
    <w:rsid w:val="3C3A594D"/>
    <w:rsid w:val="3C7B77ED"/>
    <w:rsid w:val="3CD2AC90"/>
    <w:rsid w:val="3CFD908B"/>
    <w:rsid w:val="3D2BAF4F"/>
    <w:rsid w:val="3D9D365A"/>
    <w:rsid w:val="3DB91007"/>
    <w:rsid w:val="3E3B54F3"/>
    <w:rsid w:val="3E6C76DB"/>
    <w:rsid w:val="3E953F02"/>
    <w:rsid w:val="3EC142BE"/>
    <w:rsid w:val="3EE0A80D"/>
    <w:rsid w:val="3F0D5A8C"/>
    <w:rsid w:val="3FCF39D5"/>
    <w:rsid w:val="4041FDC0"/>
    <w:rsid w:val="41B2110F"/>
    <w:rsid w:val="4274213C"/>
    <w:rsid w:val="42ADE0FB"/>
    <w:rsid w:val="42D19114"/>
    <w:rsid w:val="43A7C02D"/>
    <w:rsid w:val="43D8A1C0"/>
    <w:rsid w:val="445E938F"/>
    <w:rsid w:val="45218674"/>
    <w:rsid w:val="4541D5E9"/>
    <w:rsid w:val="454FE991"/>
    <w:rsid w:val="45CA146F"/>
    <w:rsid w:val="45E92919"/>
    <w:rsid w:val="45ED5DA2"/>
    <w:rsid w:val="45FA63F0"/>
    <w:rsid w:val="464C52B2"/>
    <w:rsid w:val="4659A8DE"/>
    <w:rsid w:val="467C0E87"/>
    <w:rsid w:val="46A0046D"/>
    <w:rsid w:val="477C47A4"/>
    <w:rsid w:val="479F0ACD"/>
    <w:rsid w:val="4818A773"/>
    <w:rsid w:val="4846F040"/>
    <w:rsid w:val="4857A68A"/>
    <w:rsid w:val="49831BB3"/>
    <w:rsid w:val="49C99844"/>
    <w:rsid w:val="49F3D193"/>
    <w:rsid w:val="4A074DD5"/>
    <w:rsid w:val="4A5C2A08"/>
    <w:rsid w:val="4AA73867"/>
    <w:rsid w:val="4AAE4123"/>
    <w:rsid w:val="4AC2AF43"/>
    <w:rsid w:val="4ACC8D0E"/>
    <w:rsid w:val="4ACDD513"/>
    <w:rsid w:val="4AFA48A1"/>
    <w:rsid w:val="4BA602B8"/>
    <w:rsid w:val="4BD710DB"/>
    <w:rsid w:val="4C2E896B"/>
    <w:rsid w:val="4C821BE4"/>
    <w:rsid w:val="4C919BB7"/>
    <w:rsid w:val="4D013906"/>
    <w:rsid w:val="4D4503CD"/>
    <w:rsid w:val="4D64EE20"/>
    <w:rsid w:val="4D6CE500"/>
    <w:rsid w:val="4DA4F1D4"/>
    <w:rsid w:val="4DA6A366"/>
    <w:rsid w:val="4E3E3B75"/>
    <w:rsid w:val="4EB47659"/>
    <w:rsid w:val="4EC77733"/>
    <w:rsid w:val="4EEF86ED"/>
    <w:rsid w:val="4F9F3152"/>
    <w:rsid w:val="4FB801A2"/>
    <w:rsid w:val="4FFB5F09"/>
    <w:rsid w:val="502877B4"/>
    <w:rsid w:val="5062B86F"/>
    <w:rsid w:val="507BE0CC"/>
    <w:rsid w:val="50BFCBF1"/>
    <w:rsid w:val="50D5A427"/>
    <w:rsid w:val="50F34F62"/>
    <w:rsid w:val="513AA9A6"/>
    <w:rsid w:val="51482C8C"/>
    <w:rsid w:val="51EAF114"/>
    <w:rsid w:val="5201C91B"/>
    <w:rsid w:val="529FE7B4"/>
    <w:rsid w:val="52AF12E9"/>
    <w:rsid w:val="52C7AC21"/>
    <w:rsid w:val="52D2477E"/>
    <w:rsid w:val="530C218B"/>
    <w:rsid w:val="531CE978"/>
    <w:rsid w:val="533FB177"/>
    <w:rsid w:val="535C0DED"/>
    <w:rsid w:val="538BD9C4"/>
    <w:rsid w:val="53C36158"/>
    <w:rsid w:val="55633D3F"/>
    <w:rsid w:val="55A3F0C8"/>
    <w:rsid w:val="567CD244"/>
    <w:rsid w:val="57345D4F"/>
    <w:rsid w:val="574A673E"/>
    <w:rsid w:val="576424E2"/>
    <w:rsid w:val="5784B6CE"/>
    <w:rsid w:val="57E3232B"/>
    <w:rsid w:val="57FAAFD6"/>
    <w:rsid w:val="580C52EE"/>
    <w:rsid w:val="586DCA54"/>
    <w:rsid w:val="58BB9D26"/>
    <w:rsid w:val="58E4AB1C"/>
    <w:rsid w:val="5916143D"/>
    <w:rsid w:val="597EBFA3"/>
    <w:rsid w:val="5A3E4001"/>
    <w:rsid w:val="5B70FBEA"/>
    <w:rsid w:val="5C1A4C8C"/>
    <w:rsid w:val="5CD2974F"/>
    <w:rsid w:val="5D6931BA"/>
    <w:rsid w:val="5D7FEE86"/>
    <w:rsid w:val="5D84E7CB"/>
    <w:rsid w:val="5D9A6F5B"/>
    <w:rsid w:val="5E0A5EC8"/>
    <w:rsid w:val="5EEACF90"/>
    <w:rsid w:val="5F1E2A78"/>
    <w:rsid w:val="5F441778"/>
    <w:rsid w:val="5F5EDB62"/>
    <w:rsid w:val="5F8128CA"/>
    <w:rsid w:val="5FE6FC79"/>
    <w:rsid w:val="61004337"/>
    <w:rsid w:val="61191DD0"/>
    <w:rsid w:val="6128D72D"/>
    <w:rsid w:val="61E7A007"/>
    <w:rsid w:val="6204F26F"/>
    <w:rsid w:val="621C9A20"/>
    <w:rsid w:val="622B6806"/>
    <w:rsid w:val="622DD4F7"/>
    <w:rsid w:val="6255CB3A"/>
    <w:rsid w:val="62E6F88A"/>
    <w:rsid w:val="62E71698"/>
    <w:rsid w:val="630F3C29"/>
    <w:rsid w:val="633EF28C"/>
    <w:rsid w:val="63C73867"/>
    <w:rsid w:val="63D8733E"/>
    <w:rsid w:val="63DAFE69"/>
    <w:rsid w:val="63E060C4"/>
    <w:rsid w:val="6428EA46"/>
    <w:rsid w:val="642D2803"/>
    <w:rsid w:val="647A6147"/>
    <w:rsid w:val="64A3210B"/>
    <w:rsid w:val="64C43DE0"/>
    <w:rsid w:val="64CB921F"/>
    <w:rsid w:val="64F53826"/>
    <w:rsid w:val="65413FA4"/>
    <w:rsid w:val="654C4D5C"/>
    <w:rsid w:val="659D4C35"/>
    <w:rsid w:val="66D86392"/>
    <w:rsid w:val="66F9E019"/>
    <w:rsid w:val="66FED929"/>
    <w:rsid w:val="67180186"/>
    <w:rsid w:val="6772CD91"/>
    <w:rsid w:val="67F96277"/>
    <w:rsid w:val="68083CE3"/>
    <w:rsid w:val="684DE89C"/>
    <w:rsid w:val="687BA763"/>
    <w:rsid w:val="68A7D2AF"/>
    <w:rsid w:val="68ABE461"/>
    <w:rsid w:val="68F7AD57"/>
    <w:rsid w:val="691C176D"/>
    <w:rsid w:val="6A40CF6A"/>
    <w:rsid w:val="6A4FA248"/>
    <w:rsid w:val="6A93DA00"/>
    <w:rsid w:val="6B2A3CDE"/>
    <w:rsid w:val="6B7FB077"/>
    <w:rsid w:val="6BBC2BCC"/>
    <w:rsid w:val="6BE38523"/>
    <w:rsid w:val="6BEB72A9"/>
    <w:rsid w:val="6C3EBE18"/>
    <w:rsid w:val="6C6E9018"/>
    <w:rsid w:val="6CBACE55"/>
    <w:rsid w:val="6D15DAEA"/>
    <w:rsid w:val="6D4FC95E"/>
    <w:rsid w:val="6D87430A"/>
    <w:rsid w:val="6D964045"/>
    <w:rsid w:val="6DF4F3C7"/>
    <w:rsid w:val="6F6310F0"/>
    <w:rsid w:val="6F7E287F"/>
    <w:rsid w:val="6FBA327C"/>
    <w:rsid w:val="7083E4D9"/>
    <w:rsid w:val="71491E24"/>
    <w:rsid w:val="7188438B"/>
    <w:rsid w:val="732413EC"/>
    <w:rsid w:val="73FCD6A9"/>
    <w:rsid w:val="740C43F9"/>
    <w:rsid w:val="7426AB12"/>
    <w:rsid w:val="749C7C78"/>
    <w:rsid w:val="750B6CC4"/>
    <w:rsid w:val="7545584D"/>
    <w:rsid w:val="758165CC"/>
    <w:rsid w:val="75B399AB"/>
    <w:rsid w:val="76517E2F"/>
    <w:rsid w:val="76803D3E"/>
    <w:rsid w:val="76B28D08"/>
    <w:rsid w:val="76B30C46"/>
    <w:rsid w:val="76E97043"/>
    <w:rsid w:val="7727C76C"/>
    <w:rsid w:val="772E2550"/>
    <w:rsid w:val="776595D0"/>
    <w:rsid w:val="7776D820"/>
    <w:rsid w:val="77C4F7E7"/>
    <w:rsid w:val="77E4D583"/>
    <w:rsid w:val="7858359C"/>
    <w:rsid w:val="78B9E055"/>
    <w:rsid w:val="7901445C"/>
    <w:rsid w:val="79B7DE00"/>
    <w:rsid w:val="79D67E64"/>
    <w:rsid w:val="79E44F9D"/>
    <w:rsid w:val="7A944C2E"/>
    <w:rsid w:val="7A98BF87"/>
    <w:rsid w:val="7A9A007A"/>
    <w:rsid w:val="7AB778A4"/>
    <w:rsid w:val="7B2F25D1"/>
    <w:rsid w:val="7B69633A"/>
    <w:rsid w:val="7BE17898"/>
    <w:rsid w:val="7BF51D1F"/>
    <w:rsid w:val="7C38E51E"/>
    <w:rsid w:val="7C66BFD4"/>
    <w:rsid w:val="7CCAF632"/>
    <w:rsid w:val="7CED6BE0"/>
    <w:rsid w:val="7D8024B6"/>
    <w:rsid w:val="7DCC2C34"/>
    <w:rsid w:val="7DD4B57F"/>
    <w:rsid w:val="7E741F06"/>
    <w:rsid w:val="7F00C716"/>
    <w:rsid w:val="7F200ED8"/>
    <w:rsid w:val="7F41703A"/>
    <w:rsid w:val="7F7B2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96FA4"/>
  <w15:chartTrackingRefBased/>
  <w15:docId w15:val="{c3640e19-7068-4bf9-8564-962b92d7f7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7313fdaaf8a45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3</revision>
  <dcterms:created xsi:type="dcterms:W3CDTF">2021-05-14T02:19:46.3801023Z</dcterms:created>
  <dcterms:modified xsi:type="dcterms:W3CDTF">2021-05-14T22:59:00.6668475Z</dcterms:modified>
</coreProperties>
</file>