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5BED0A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1673E">
              <w:rPr>
                <w:rFonts w:ascii="Times New Roman" w:hAnsi="Times New Roman" w:cs="Times New Roman"/>
                <w:b/>
                <w:color w:val="auto"/>
                <w:sz w:val="48"/>
              </w:rPr>
              <w:t xml:space="preserve">Vicky Hughes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1E80AF4B" w14:textId="77777777" w:rsidR="00D81FA0"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339DE">
              <w:rPr>
                <w:rFonts w:ascii="Times New Roman" w:hAnsi="Times New Roman" w:cs="Times New Roman"/>
                <w:b/>
                <w:color w:val="auto"/>
                <w:sz w:val="48"/>
              </w:rPr>
              <w:t xml:space="preserve"> </w:t>
            </w:r>
          </w:p>
          <w:p w14:paraId="3A6EAAC7" w14:textId="60058A70" w:rsidR="009C337F" w:rsidRDefault="00D81FA0" w:rsidP="005D3F07">
            <w:pPr>
              <w:overflowPunct/>
              <w:autoSpaceDE/>
              <w:autoSpaceDN/>
              <w:adjustRightInd/>
              <w:ind w:right="-957"/>
              <w:textAlignment w:val="auto"/>
              <w:rPr>
                <w:rFonts w:ascii="Times New Roman" w:hAnsi="Times New Roman" w:cs="Times New Roman"/>
                <w:b/>
                <w:color w:val="auto"/>
                <w:sz w:val="48"/>
              </w:rPr>
            </w:pPr>
            <w:hyperlink r:id="rId11" w:history="1">
              <w:r w:rsidRPr="006C2A74">
                <w:rPr>
                  <w:rStyle w:val="Hyperlink"/>
                  <w:rFonts w:ascii="Times New Roman" w:hAnsi="Times New Roman" w:cs="Times New Roman"/>
                  <w:b/>
                  <w:sz w:val="48"/>
                </w:rPr>
                <w:t>2437082@sudent.uwtsd.ac.uk</w:t>
              </w:r>
            </w:hyperlink>
            <w:r>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1853CA58" w:rsidR="0085230E" w:rsidRDefault="00D81FA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2437082</w:t>
            </w:r>
          </w:p>
          <w:p w14:paraId="7A985040" w14:textId="77777777" w:rsidR="00D81FA0" w:rsidRPr="005D3F07" w:rsidRDefault="00D81FA0"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1D68DA91" w14:textId="19DEF198" w:rsidR="00D3203C" w:rsidRDefault="00D3203C" w:rsidP="00D81FA0">
      <w:pPr>
        <w:rPr>
          <w:b/>
          <w:sz w:val="24"/>
          <w:szCs w:val="24"/>
        </w:rPr>
      </w:pPr>
    </w:p>
    <w:p w14:paraId="5A670606" w14:textId="63DC81B5" w:rsidR="00F546D1" w:rsidRPr="00EE5BC3" w:rsidRDefault="007374EF" w:rsidP="00EE5BC3">
      <w:pPr>
        <w:jc w:val="center"/>
        <w:rPr>
          <w:sz w:val="28"/>
          <w:szCs w:val="28"/>
        </w:rPr>
      </w:pPr>
      <w:r w:rsidRPr="00EE5BC3">
        <w:rPr>
          <w:b/>
          <w:sz w:val="28"/>
          <w:szCs w:val="28"/>
        </w:rPr>
        <w:lastRenderedPageBreak/>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42522AFE" w:rsidR="00D3203C" w:rsidRDefault="002A6231" w:rsidP="00FF7EBB">
            <w:pPr>
              <w:jc w:val="both"/>
              <w:rPr>
                <w:i/>
                <w:sz w:val="24"/>
                <w:szCs w:val="24"/>
              </w:rPr>
            </w:pPr>
            <w:r>
              <w:rPr>
                <w:i/>
                <w:sz w:val="24"/>
                <w:szCs w:val="24"/>
              </w:rPr>
              <w:t xml:space="preserve">                                                 --------------------------------------</w:t>
            </w:r>
          </w:p>
          <w:p w14:paraId="43F25CE6"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 xml:space="preserve">In this case study, I have examined a safeguarding assessment conducted as a social worker in children’s social care in XXX. The children will be referred to as Child 1 and Child </w:t>
            </w:r>
            <w:proofErr w:type="gramStart"/>
            <w:r w:rsidRPr="002B2718">
              <w:rPr>
                <w:rFonts w:asciiTheme="minorHAnsi" w:hAnsiTheme="minorHAnsi" w:cstheme="minorHAnsi"/>
                <w:sz w:val="24"/>
                <w:szCs w:val="24"/>
              </w:rPr>
              <w:t>2</w:t>
            </w:r>
            <w:proofErr w:type="gramEnd"/>
            <w:r w:rsidRPr="002B2718">
              <w:rPr>
                <w:rFonts w:asciiTheme="minorHAnsi" w:hAnsiTheme="minorHAnsi" w:cstheme="minorHAnsi"/>
                <w:sz w:val="24"/>
                <w:szCs w:val="24"/>
              </w:rPr>
              <w:t xml:space="preserve"> and the local authority will be referred to as XXX. Child 1 was 16 years </w:t>
            </w:r>
            <w:proofErr w:type="gramStart"/>
            <w:r w:rsidRPr="002B2718">
              <w:rPr>
                <w:rFonts w:asciiTheme="minorHAnsi" w:hAnsiTheme="minorHAnsi" w:cstheme="minorHAnsi"/>
                <w:sz w:val="24"/>
                <w:szCs w:val="24"/>
              </w:rPr>
              <w:t>old</w:t>
            </w:r>
            <w:proofErr w:type="gramEnd"/>
            <w:r w:rsidRPr="002B2718">
              <w:rPr>
                <w:rFonts w:asciiTheme="minorHAnsi" w:hAnsiTheme="minorHAnsi" w:cstheme="minorHAnsi"/>
                <w:sz w:val="24"/>
                <w:szCs w:val="24"/>
              </w:rPr>
              <w:t xml:space="preserve"> and she had cerebral palsy, needed extensive physical care and had trouble with communication. She lived with her mother and sibling and was supported by carers and specialist professionals. Her care and support </w:t>
            </w:r>
            <w:proofErr w:type="gramStart"/>
            <w:r w:rsidRPr="002B2718">
              <w:rPr>
                <w:rFonts w:asciiTheme="minorHAnsi" w:hAnsiTheme="minorHAnsi" w:cstheme="minorHAnsi"/>
                <w:sz w:val="24"/>
                <w:szCs w:val="24"/>
              </w:rPr>
              <w:t>was</w:t>
            </w:r>
            <w:proofErr w:type="gramEnd"/>
            <w:r w:rsidRPr="002B2718">
              <w:rPr>
                <w:rFonts w:asciiTheme="minorHAnsi" w:hAnsiTheme="minorHAnsi" w:cstheme="minorHAnsi"/>
                <w:sz w:val="24"/>
                <w:szCs w:val="24"/>
              </w:rPr>
              <w:t xml:space="preserve"> paid for privately by compensation relating to a negligence claim after an incident when she was a baby. The case was subject to safeguarding intervention after a carer raised concerns about the state of the family home. I was asked to make an unannounced visit and the subsequent assessment pointed to home conditions, medication, missed health appointments, personal care, emotional well-being, education and parental care. Child 1’s communication was especially important because she had the ability to communicate through speech, Makaton and an iPad. I could hear her voice and not just adults or professionals.</w:t>
            </w:r>
          </w:p>
          <w:p w14:paraId="43E2CB8E"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 xml:space="preserve">The case involved a wide range of professionals such as carers, a case manager, occupational therapy (OT), speech and language therapy (SALT) and physiotherapy and their involvement created both protective factors and added complexity as information had to be shared, assessed and brought together to create a coherent assessment. The strategy was discussed and the case was referred to the child protection conference. The professionals agreed to register Child 1 and Child 2 on the Child Protection Register. Child 1 finally announced that she did not want to live with her mother anymore. She was taken to her father’s care and remained there. The case was transferred to the new local authority and Child 1 was subsequently deregistered from child protection and remains living with her father. The purpose of this case study is not only to describe these events </w:t>
            </w:r>
            <w:r w:rsidRPr="002B2718">
              <w:rPr>
                <w:rFonts w:asciiTheme="minorHAnsi" w:hAnsiTheme="minorHAnsi" w:cstheme="minorHAnsi"/>
                <w:sz w:val="24"/>
                <w:szCs w:val="24"/>
              </w:rPr>
              <w:lastRenderedPageBreak/>
              <w:t>but to critically examine how legislation, policy, theory, evidence, communication, collaboration and professional judgement affected my practice. It considers the Welsh context of safeguarding in the Social Services and Well-being (Wales) Act 2014, the Wales Safeguarding Procedures, the Social Care Wales Code of Professional Practice and XXX’s local safeguarding arrangements. It also considers the interaction between Welsh social services and wider UK legislation, European frameworks and international children’s rights.</w:t>
            </w:r>
          </w:p>
          <w:p w14:paraId="6EA7E4EB"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 xml:space="preserve">Social work safeguarding practice in Wales is governed by a particular statutory framework. The Social Services and Well-being (Wales) Act 2014 is the foundation for social services in </w:t>
            </w:r>
            <w:proofErr w:type="gramStart"/>
            <w:r w:rsidRPr="002B2718">
              <w:rPr>
                <w:rFonts w:asciiTheme="minorHAnsi" w:hAnsiTheme="minorHAnsi" w:cstheme="minorHAnsi"/>
                <w:sz w:val="24"/>
                <w:szCs w:val="24"/>
              </w:rPr>
              <w:t>Wales</w:t>
            </w:r>
            <w:proofErr w:type="gramEnd"/>
            <w:r w:rsidRPr="002B2718">
              <w:rPr>
                <w:rFonts w:asciiTheme="minorHAnsi" w:hAnsiTheme="minorHAnsi" w:cstheme="minorHAnsi"/>
                <w:sz w:val="24"/>
                <w:szCs w:val="24"/>
              </w:rPr>
              <w:t xml:space="preserve"> and its key tenet is voice and control, well-being, prevention and co-production. The Act brings local authority duties around care and support and provides the statutory framework for safeguarding children and adults (Welsh Government, 2014). The safeguarding provisions of the Act were directly applicable to this case. Under Section 130 a local authority can make inquiries if it believes that a child is at risk. This is to put the child at the forefront of the safeguarding response, and professional judgment is required about the nature and gravity of the concerns. The Children Act 1989 is also part of the law in Wales. Section 47 provides for a local authority to investigate where there is reasonable suspicion that a child is suffering, or likely to suffer, significant harm (Children Act 1989) and that was relevant because of neglect, emotional harm and the possible impact of missed medication and health appointments.</w:t>
            </w:r>
          </w:p>
          <w:p w14:paraId="3A05FF83"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 xml:space="preserve">The Wales Safeguarding Procedures provide the operational framework for practitioners and are to be used to support the implementation of the Social Services and Well-being (Wales) Act 2014 and statutory safeguarding guidance (Wales Safeguarding Procedures, 2026). XXX's safeguarding arrangements operate at the local level within the national framework. XXX's Children's Social Care information identifies safeguarding, child protection and multi-agency involvement as key components of children's social care and is based on local safeguarding policies and procedures (XXX Council, 2026). The current Social Care Wales Code of Professional Practice is an important guide to my practice. The Code requires social care workers to respect people's views and wishes, encourage communication, support well-being and safety, challenge unsafe practices, follow safeguarding procedures, make accurate records, and be supervised in a professional way (Social Care Wales, 2026). These requirements show that safeguarding assessment cannot be separated from professional values. Not only did I have to identify </w:t>
            </w:r>
            <w:proofErr w:type="gramStart"/>
            <w:r w:rsidRPr="002B2718">
              <w:rPr>
                <w:rFonts w:asciiTheme="minorHAnsi" w:hAnsiTheme="minorHAnsi" w:cstheme="minorHAnsi"/>
                <w:sz w:val="24"/>
                <w:szCs w:val="24"/>
              </w:rPr>
              <w:t>risk</w:t>
            </w:r>
            <w:proofErr w:type="gramEnd"/>
            <w:r w:rsidRPr="002B2718">
              <w:rPr>
                <w:rFonts w:asciiTheme="minorHAnsi" w:hAnsiTheme="minorHAnsi" w:cstheme="minorHAnsi"/>
                <w:sz w:val="24"/>
                <w:szCs w:val="24"/>
              </w:rPr>
              <w:t xml:space="preserve"> but I had to balance Child 1's rights, wishes and well-being with my professional duty to protect her.</w:t>
            </w:r>
          </w:p>
          <w:p w14:paraId="13280D0C"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 xml:space="preserve">The first concern came from a carer who commented that the family home was very poor. Child 1's physical care needs and dependency on adults were so high that I thought an unannounced visit was reasonable. This was a professional opinion. Had I made the first visit announced, the family would have had time to </w:t>
            </w:r>
            <w:proofErr w:type="gramStart"/>
            <w:r w:rsidRPr="002B2718">
              <w:rPr>
                <w:rFonts w:asciiTheme="minorHAnsi" w:hAnsiTheme="minorHAnsi" w:cstheme="minorHAnsi"/>
                <w:sz w:val="24"/>
                <w:szCs w:val="24"/>
              </w:rPr>
              <w:t>prepare</w:t>
            </w:r>
            <w:proofErr w:type="gramEnd"/>
            <w:r w:rsidRPr="002B2718">
              <w:rPr>
                <w:rFonts w:asciiTheme="minorHAnsi" w:hAnsiTheme="minorHAnsi" w:cstheme="minorHAnsi"/>
                <w:sz w:val="24"/>
                <w:szCs w:val="24"/>
              </w:rPr>
              <w:t xml:space="preserve"> and I would have changed the environment that I had to examine. On the other hand, an unannounced visit might have caused distress and may have led to a bad relationship with Child 1’s mother. I had to find a balance between the family’s right to privacy and respectful practice and the need to develop a picture of the children’s situation. When I arrived, the property had been cleaned. </w:t>
            </w:r>
            <w:proofErr w:type="gramStart"/>
            <w:r w:rsidRPr="002B2718">
              <w:rPr>
                <w:rFonts w:asciiTheme="minorHAnsi" w:hAnsiTheme="minorHAnsi" w:cstheme="minorHAnsi"/>
                <w:sz w:val="24"/>
                <w:szCs w:val="24"/>
              </w:rPr>
              <w:t>So</w:t>
            </w:r>
            <w:proofErr w:type="gramEnd"/>
            <w:r w:rsidRPr="002B2718">
              <w:rPr>
                <w:rFonts w:asciiTheme="minorHAnsi" w:hAnsiTheme="minorHAnsi" w:cstheme="minorHAnsi"/>
                <w:sz w:val="24"/>
                <w:szCs w:val="24"/>
              </w:rPr>
              <w:t xml:space="preserve"> I had to balance the concern I was hearing with my direct observation. I could not simply say it was nothing because the house looked clean on the day of my visit.</w:t>
            </w:r>
          </w:p>
          <w:p w14:paraId="028951A4"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lastRenderedPageBreak/>
              <w:t xml:space="preserve">This gave rise to different narratives. I had information from a </w:t>
            </w:r>
            <w:proofErr w:type="spellStart"/>
            <w:r w:rsidRPr="002B2718">
              <w:rPr>
                <w:rFonts w:asciiTheme="minorHAnsi" w:hAnsiTheme="minorHAnsi" w:cstheme="minorHAnsi"/>
                <w:sz w:val="24"/>
                <w:szCs w:val="24"/>
              </w:rPr>
              <w:t>carer</w:t>
            </w:r>
            <w:proofErr w:type="spellEnd"/>
            <w:r w:rsidRPr="002B2718">
              <w:rPr>
                <w:rFonts w:asciiTheme="minorHAnsi" w:hAnsiTheme="minorHAnsi" w:cstheme="minorHAnsi"/>
                <w:sz w:val="24"/>
                <w:szCs w:val="24"/>
              </w:rPr>
              <w:t>, direct observations, the mother’s explanation and information from other professionals. I needed to avoid accepting the carer’s account uncritically and dismissing the concerns because the mother was distressed. Rutter and Brown (2015) describe critical thinking and professional judgement as processes where practitioners analyse competing information, recognise uncertainty and remain alert to assumptions. This was especially important because the case involved emotionally charged information and professionals who already had strong views about the mother’s care. My biggest accomplishment in this assessment was my ability to communicate directly with Child 1. She used an iPad communication device, Makaton signs and some speech. I had training and experience in signing with children with communication difficulties and was able to communicate with her using her language. This was important to me because disability should not be grounds for professionals to rely on adult opinions of a child’s experiences. Child 1’s communication difficulties did not mean she was unable to express meaningful wishes and feelings. The Social Care Wales Code requires social care workers to support individuals to communicate their views and choices and to promote voice, control and safety (Social Care Wales, 2026).</w:t>
            </w:r>
          </w:p>
          <w:p w14:paraId="690DB09B"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When Child 1 spoke independently, I could understand her speech. She said her mother shouted at her and Child 2, Child 2 did not go to school despite having to attend, she was put to bed early and did not have anyone to talk to, her mother sometimes did not give her medication and her mother did not bathe her, so she had to wait for her carers to do so. These revelations changed my understanding of the case. The assessment was no longer just about the conditions of the home, it was about Child 1's lived experience and whether her physical, emotional, health and developmental needs were being met consistently. The UNCRC Convention on the Rights of the Child states that a child has the right to express their views about issues that matter to them and that such views should be considered according to age and maturity (United Nations, 1989). Child 1’s views were especially relevant at 16. While her views were not the basis for safeguarding decisions, they were essential evidence in the assessment.</w:t>
            </w:r>
          </w:p>
          <w:p w14:paraId="4D3D14B5"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Using Makaton and assistive communication demonstrated why professional communication needs to adapt. Koprowska (2010) argues that good social work communication needs to be adapted to people’s communication needs and not to the professional communication approach. In hindsight, this was positive, as I was able to get information directly from Child 1. In addition to this, it challenged the concept that her physical disability necessarily reduced her knowledge or ability to make decisions on safeguarding. The concerns in the assessment were increasing. Poor environmental conditions, dog faeces, frequent urine smell, missed health appointments, personal care concerns, emotional distress, shouting, lack of quality time with children and concern about Child 2's school attendance all formed part of the assessment.</w:t>
            </w:r>
          </w:p>
          <w:p w14:paraId="3B5051E6"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 xml:space="preserve">Neglect is not limited to one incident and can be the continuation of failure to meet a child’s basic physical and/or psychological needs and can lead to serious impairment of health or development. As such, the assessment had to consider the effects of </w:t>
            </w:r>
            <w:proofErr w:type="gramStart"/>
            <w:r w:rsidRPr="002B2718">
              <w:rPr>
                <w:rFonts w:asciiTheme="minorHAnsi" w:hAnsiTheme="minorHAnsi" w:cstheme="minorHAnsi"/>
                <w:sz w:val="24"/>
                <w:szCs w:val="24"/>
              </w:rPr>
              <w:t>all of</w:t>
            </w:r>
            <w:proofErr w:type="gramEnd"/>
            <w:r w:rsidRPr="002B2718">
              <w:rPr>
                <w:rFonts w:asciiTheme="minorHAnsi" w:hAnsiTheme="minorHAnsi" w:cstheme="minorHAnsi"/>
                <w:sz w:val="24"/>
                <w:szCs w:val="24"/>
              </w:rPr>
              <w:t xml:space="preserve"> these concerns rather than each incident separately. Hothersall and Maas-</w:t>
            </w:r>
            <w:proofErr w:type="spellStart"/>
            <w:r w:rsidRPr="002B2718">
              <w:rPr>
                <w:rFonts w:asciiTheme="minorHAnsi" w:hAnsiTheme="minorHAnsi" w:cstheme="minorHAnsi"/>
                <w:sz w:val="24"/>
                <w:szCs w:val="24"/>
              </w:rPr>
              <w:t>Lowit</w:t>
            </w:r>
            <w:proofErr w:type="spellEnd"/>
            <w:r w:rsidRPr="002B2718">
              <w:rPr>
                <w:rFonts w:asciiTheme="minorHAnsi" w:hAnsiTheme="minorHAnsi" w:cstheme="minorHAnsi"/>
                <w:sz w:val="24"/>
                <w:szCs w:val="24"/>
              </w:rPr>
              <w:t xml:space="preserve"> (2010) state that assessing risk is about the interaction of need, vulnerability, risk and protective factors.</w:t>
            </w:r>
          </w:p>
          <w:p w14:paraId="1362BED9"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lastRenderedPageBreak/>
              <w:t xml:space="preserve">Child 1 had cerebral </w:t>
            </w:r>
            <w:proofErr w:type="gramStart"/>
            <w:r w:rsidRPr="002B2718">
              <w:rPr>
                <w:rFonts w:asciiTheme="minorHAnsi" w:hAnsiTheme="minorHAnsi" w:cstheme="minorHAnsi"/>
                <w:sz w:val="24"/>
                <w:szCs w:val="24"/>
              </w:rPr>
              <w:t>palsy</w:t>
            </w:r>
            <w:proofErr w:type="gramEnd"/>
            <w:r w:rsidRPr="002B2718">
              <w:rPr>
                <w:rFonts w:asciiTheme="minorHAnsi" w:hAnsiTheme="minorHAnsi" w:cstheme="minorHAnsi"/>
                <w:sz w:val="24"/>
                <w:szCs w:val="24"/>
              </w:rPr>
              <w:t xml:space="preserve"> so adults took care of her personal care, medication and physical support. This would have had more consequences if care was inconsistent. But I was not going to equate disability with vulnerability in a way that might be discriminatory. The safeguarding concern was not that Child 1 had cerebral palsy; rather, it seemed that her other needs were not being met consistently. Medication was particularly important. Child 1 required medication to reduce excessive secretions and for communication, as well as muscle relaxants associated with cerebral palsy. Child 1 reported that medication was sometimes missed. A few years later, the same doctors and nurses raised missed medication at the child protection conference. The problem was not only that missed medication could adversely impact Child 1’s physical health but also communication, because medication to help manage secretions can affect communication. I had to avoid thinking missed medication was intentional as I had no evidence to suggest this.</w:t>
            </w:r>
          </w:p>
          <w:p w14:paraId="4E403996"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 xml:space="preserve">A comprehensive assessment was needed, </w:t>
            </w:r>
            <w:proofErr w:type="gramStart"/>
            <w:r w:rsidRPr="002B2718">
              <w:rPr>
                <w:rFonts w:asciiTheme="minorHAnsi" w:hAnsiTheme="minorHAnsi" w:cstheme="minorHAnsi"/>
                <w:sz w:val="24"/>
                <w:szCs w:val="24"/>
              </w:rPr>
              <w:t>taking into account</w:t>
            </w:r>
            <w:proofErr w:type="gramEnd"/>
            <w:r w:rsidRPr="002B2718">
              <w:rPr>
                <w:rFonts w:asciiTheme="minorHAnsi" w:hAnsiTheme="minorHAnsi" w:cstheme="minorHAnsi"/>
                <w:sz w:val="24"/>
                <w:szCs w:val="24"/>
              </w:rPr>
              <w:t xml:space="preserve"> why medication was missed, how often this occurred and whether the mother knew the consequences. The same was true for missed health appointments. These were discussed at conference as part of the overall assessment of whether Child 1’s health needs were being properly prioritised. The concern about personal care was also tangible as Child 1 said her mother did not bathe her and waited for carers to provide this care. As we were able to provide a lot of support, it was important to check whether the existing care package was being used properly and whether the parent was taking a sufficient role in ensuring that Child 1 was cared for. Emotional neglect was also a factor, as Child 1 described being shouted at, being put to bed early and having nobody to talk to. These concerns were important because a child’s well-being is not solely about physical care. Parker, Bradley and Bradley (2017) argue that effective assessment </w:t>
            </w:r>
            <w:proofErr w:type="gramStart"/>
            <w:r w:rsidRPr="002B2718">
              <w:rPr>
                <w:rFonts w:asciiTheme="minorHAnsi" w:hAnsiTheme="minorHAnsi" w:cstheme="minorHAnsi"/>
                <w:sz w:val="24"/>
                <w:szCs w:val="24"/>
              </w:rPr>
              <w:t>has to</w:t>
            </w:r>
            <w:proofErr w:type="gramEnd"/>
            <w:r w:rsidRPr="002B2718">
              <w:rPr>
                <w:rFonts w:asciiTheme="minorHAnsi" w:hAnsiTheme="minorHAnsi" w:cstheme="minorHAnsi"/>
                <w:sz w:val="24"/>
                <w:szCs w:val="24"/>
              </w:rPr>
              <w:t xml:space="preserve"> address the whole child, including developmental needs, parenting capacity and family and environmental factors.</w:t>
            </w:r>
          </w:p>
          <w:p w14:paraId="10EE1686"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There were also protective factors for Child 1, who had carers and specialist professionals around her. She had communication technology and was able to express her wishes, and a wide professional network was already involved and willing to share concerns. These were important aspects for intervention. The problem was not just to know what was wrong, but to check whether the protective network was sufficient to remedy concerns within the parental care environment. The case demonstrated the need for multi-agency assessment because no individual professional knew what was really happening to Child 1. Her carers knew her daily life and personal care, SALT had specialist knowledge of her communication, OT had expertise in equipment and adaptations, physiotherapy provided specialist knowledge about physical needs, and a case manager had oversight of aspects of the privately funded care arrangement. Social care had statutory safeguarding responsibility.</w:t>
            </w:r>
          </w:p>
          <w:p w14:paraId="18E2BCCB"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 xml:space="preserve">It would have been wrong to assume that because Child 1 had so many privately funded services she was sufficiently safeguarded. The provision of a large package of help did not remove the statutory safeguarding responsibility. In fact, the number of people involved meant that roles and responsibilities had to be very clear. One aspect of my role was to take information and incorporate it rather than simply gather it. For example, the medication issue became more acute when considered alongside Child 1’s disclosure, missed health appointments and professional observations. Information sharing was also about confidentiality and data protection. The Information Commissioner's Office (2026) recognises that information can be shared where </w:t>
            </w:r>
            <w:r w:rsidRPr="002B2718">
              <w:rPr>
                <w:rFonts w:asciiTheme="minorHAnsi" w:hAnsiTheme="minorHAnsi" w:cstheme="minorHAnsi"/>
                <w:sz w:val="24"/>
                <w:szCs w:val="24"/>
              </w:rPr>
              <w:lastRenderedPageBreak/>
              <w:t>necessary to protect children, with consideration of necessity, proportionality and the appropriate lawful basis. The Wales Safeguarding Procedures also focus on coordinated safeguarding practice across statutory, private and voluntary organisations to keep children safe.</w:t>
            </w:r>
          </w:p>
          <w:p w14:paraId="4D716E5E"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 xml:space="preserve">Sharing a video by a </w:t>
            </w:r>
            <w:proofErr w:type="spellStart"/>
            <w:r w:rsidRPr="002B2718">
              <w:rPr>
                <w:rFonts w:asciiTheme="minorHAnsi" w:hAnsiTheme="minorHAnsi" w:cstheme="minorHAnsi"/>
                <w:sz w:val="24"/>
                <w:szCs w:val="24"/>
              </w:rPr>
              <w:t>carer</w:t>
            </w:r>
            <w:proofErr w:type="spellEnd"/>
            <w:r w:rsidRPr="002B2718">
              <w:rPr>
                <w:rFonts w:asciiTheme="minorHAnsi" w:hAnsiTheme="minorHAnsi" w:cstheme="minorHAnsi"/>
                <w:sz w:val="24"/>
                <w:szCs w:val="24"/>
              </w:rPr>
              <w:t xml:space="preserve"> with the case manager, which was then shared with professionals, also contributed to the safeguarding information available, but I needed to </w:t>
            </w:r>
            <w:proofErr w:type="gramStart"/>
            <w:r w:rsidRPr="002B2718">
              <w:rPr>
                <w:rFonts w:asciiTheme="minorHAnsi" w:hAnsiTheme="minorHAnsi" w:cstheme="minorHAnsi"/>
                <w:sz w:val="24"/>
                <w:szCs w:val="24"/>
              </w:rPr>
              <w:t>take into account</w:t>
            </w:r>
            <w:proofErr w:type="gramEnd"/>
            <w:r w:rsidRPr="002B2718">
              <w:rPr>
                <w:rFonts w:asciiTheme="minorHAnsi" w:hAnsiTheme="minorHAnsi" w:cstheme="minorHAnsi"/>
                <w:sz w:val="24"/>
                <w:szCs w:val="24"/>
              </w:rPr>
              <w:t xml:space="preserve"> the context of the material, what it showed and whether it could be corroborated. This reinforced the necessity of joint approaches and showed that multi-agency work does not mean accepting professionals’ accounts by default. Professional collaboration requires testing evidence and developing a shared understanding. A major safeguarding problem was the tension between the mother’s account, professionals’ concerns and Child 1’s account. The mother was clearly crying and said the carer had lied. Professionals also questioned the mother's involvement because of the financial situation relating to Child 1's compensation. Of course, the latter was an allegation and professional opinion, not a fact, and it would have been professionally dangerous to conclude that the mother was motivated by money without evidence. Just as my </w:t>
            </w:r>
            <w:proofErr w:type="gramStart"/>
            <w:r w:rsidRPr="002B2718">
              <w:rPr>
                <w:rFonts w:asciiTheme="minorHAnsi" w:hAnsiTheme="minorHAnsi" w:cstheme="minorHAnsi"/>
                <w:sz w:val="24"/>
                <w:szCs w:val="24"/>
              </w:rPr>
              <w:t>personal opinion</w:t>
            </w:r>
            <w:proofErr w:type="gramEnd"/>
            <w:r w:rsidRPr="002B2718">
              <w:rPr>
                <w:rFonts w:asciiTheme="minorHAnsi" w:hAnsiTheme="minorHAnsi" w:cstheme="minorHAnsi"/>
                <w:sz w:val="24"/>
                <w:szCs w:val="24"/>
              </w:rPr>
              <w:t xml:space="preserve"> that the mother was neglecting Child 1 and prioritising her relationship with her new partner was a professional judgement based on the pattern of evidence, it was not an objective assessment of the mother's intention.</w:t>
            </w:r>
          </w:p>
          <w:p w14:paraId="13A3F5F3"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 xml:space="preserve">This distinction between evidence and interpretation is fundamental to analytical social work. The Wales Safeguarding Procedures recommend that conference reports should be clear on fact, observation, allegation and opinion (Wales Safeguarding Procedures, 2026). I developed my professional judgement in the assessment. </w:t>
            </w:r>
            <w:proofErr w:type="gramStart"/>
            <w:r w:rsidRPr="002B2718">
              <w:rPr>
                <w:rFonts w:asciiTheme="minorHAnsi" w:hAnsiTheme="minorHAnsi" w:cstheme="minorHAnsi"/>
                <w:sz w:val="24"/>
                <w:szCs w:val="24"/>
              </w:rPr>
              <w:t>First</w:t>
            </w:r>
            <w:proofErr w:type="gramEnd"/>
            <w:r w:rsidRPr="002B2718">
              <w:rPr>
                <w:rFonts w:asciiTheme="minorHAnsi" w:hAnsiTheme="minorHAnsi" w:cstheme="minorHAnsi"/>
                <w:sz w:val="24"/>
                <w:szCs w:val="24"/>
              </w:rPr>
              <w:t xml:space="preserve"> I examined whether my concerns were related to the home environment, a mother and carer conflict, or broader parental difficulties. As I gained more knowledge, I began to worry that the problems were not isolated. </w:t>
            </w:r>
            <w:proofErr w:type="gramStart"/>
            <w:r w:rsidRPr="002B2718">
              <w:rPr>
                <w:rFonts w:asciiTheme="minorHAnsi" w:hAnsiTheme="minorHAnsi" w:cstheme="minorHAnsi"/>
                <w:sz w:val="24"/>
                <w:szCs w:val="24"/>
              </w:rPr>
              <w:t>The missed medication,</w:t>
            </w:r>
            <w:proofErr w:type="gramEnd"/>
            <w:r w:rsidRPr="002B2718">
              <w:rPr>
                <w:rFonts w:asciiTheme="minorHAnsi" w:hAnsiTheme="minorHAnsi" w:cstheme="minorHAnsi"/>
                <w:sz w:val="24"/>
                <w:szCs w:val="24"/>
              </w:rPr>
              <w:t xml:space="preserve"> missed health appointments, personal care concerns, environmental issues and Child 1’s emotional testimony </w:t>
            </w:r>
            <w:proofErr w:type="gramStart"/>
            <w:r w:rsidRPr="002B2718">
              <w:rPr>
                <w:rFonts w:asciiTheme="minorHAnsi" w:hAnsiTheme="minorHAnsi" w:cstheme="minorHAnsi"/>
                <w:sz w:val="24"/>
                <w:szCs w:val="24"/>
              </w:rPr>
              <w:t>were</w:t>
            </w:r>
            <w:proofErr w:type="gramEnd"/>
            <w:r w:rsidRPr="002B2718">
              <w:rPr>
                <w:rFonts w:asciiTheme="minorHAnsi" w:hAnsiTheme="minorHAnsi" w:cstheme="minorHAnsi"/>
                <w:sz w:val="24"/>
                <w:szCs w:val="24"/>
              </w:rPr>
              <w:t xml:space="preserve"> evidence of unmet need. The strategy discussion and child protection conference provided a platform to test this analysis with other professionals. The unanimous decision to register both children was helpful because it showed that the concerns were not based solely on my personal judgement.</w:t>
            </w:r>
          </w:p>
          <w:p w14:paraId="141F310A"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 xml:space="preserve">The Wales Safeguarding Procedures say conference participants need to listen to information, </w:t>
            </w:r>
            <w:proofErr w:type="gramStart"/>
            <w:r w:rsidRPr="002B2718">
              <w:rPr>
                <w:rFonts w:asciiTheme="minorHAnsi" w:hAnsiTheme="minorHAnsi" w:cstheme="minorHAnsi"/>
                <w:sz w:val="24"/>
                <w:szCs w:val="24"/>
              </w:rPr>
              <w:t>take into account</w:t>
            </w:r>
            <w:proofErr w:type="gramEnd"/>
            <w:r w:rsidRPr="002B2718">
              <w:rPr>
                <w:rFonts w:asciiTheme="minorHAnsi" w:hAnsiTheme="minorHAnsi" w:cstheme="minorHAnsi"/>
                <w:sz w:val="24"/>
                <w:szCs w:val="24"/>
              </w:rPr>
              <w:t xml:space="preserve"> risk and protective factors and ask whether the child remains at risk of significant harm. The conference process helped confirm that my decision was evidence-based and proportionate. After the conference, both children were registered and child protection plans were made. The Child Protection Plan for the mother included clear expectations to attend health appointments; liaise with professionals; act on professional advice; administer medication; support school attendance; speak with professionals in depth and be honest; seek advice where medication had been missed; and spend time with the children. These expectations were essential because they turned safeguarding concerns into tangible change in practice. The Wales Safeguarding Procedures state that a protection plan should identify what needs to change, what parents need to do, how practitioners will support change, the roles and responsibilities of those involved and how progress will be monitored (Wales Safeguarding Procedures, 2026). It was an outcome-based approach. Instead of simply noting that the mother needed to do better in her parenting, the plan listed the behaviours and actions that needed to improve.</w:t>
            </w:r>
          </w:p>
          <w:p w14:paraId="0BA9043C"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lastRenderedPageBreak/>
              <w:t>Attending health appointments addressed concerns raised by health professionals, while administering medication addressed the health risk identified through Child 1’s account and professional information. Medication errors were recognised but the parent needed to respond appropriately rather than allow the risk to remain unmanaged. Spending time with the children as a family addressed the emotional concerns Child 1 had described. The core group meetings then provided a way to monitor whether these changes were happening.</w:t>
            </w:r>
          </w:p>
          <w:p w14:paraId="6E141CBA"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The intervention therefore reflected the principle that safeguarding should be protective and supportive. The aim of the plan was not to punish the mother but to develop conditions in which she could demonstrate that she could meet the children’s needs safely. This is a strengths-based and outcome-driven social work approach where intervention identifies what needs to change while giving families opportunities to achieve change. About six months after the child protection intervention started, Child 1 announced to her parents that she no longer wanted to live with her mother, she moved to her father’s care and later refused to return.</w:t>
            </w:r>
          </w:p>
          <w:p w14:paraId="149F0ED9"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As a crucial moment in this case, Child 1’s wishes and feelings were especially important at 16. Her decision was not taken solely in isolation but in relation to the safeguarding problems that had been identified. She was expressing a strong preference about where she felt safest and most comfortable living. A child-centred approach required me to take it seriously and the change in living arrangement was safe and appropriate. Child 1 went to live with her father and did not return to her mother. Her case was transferred to the new local authority who cared for her, she was eventually deregistered from child protection and continues to live with her father. It was an encouraging outcome because the safeguarding process had moved from identifying risks to a long-term change in Child 1’s circumstances. The transfer between authorities also showed the importance of continuity, as safeguarding responsibility did not stop because Child 1 moved geographically.</w:t>
            </w:r>
          </w:p>
          <w:p w14:paraId="3509574D"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The right social work reaction was not to judge the mother personally but to assess her parenting capacity against Child 1's needs and the evidence available. A second lesson that I learnt was professional curiosity. The fact that the house had been cleaned when I visited could have eased my worries, but professional curiosity required me to ask what the child’s situation was like, what other professionals had seen, and whether there were patterns over time. This made me appreciate the difference between observation and analysis. Third was the need to challenge professional narratives. While several professionals were concerned about the mother’s motivation, I learned that consensus was not a substitute for critical thinking. Multiple professionals holding a particular view was not a sign of truth; the best assessment was formed by considering data from different sources alongside risk and protective factors.</w:t>
            </w:r>
          </w:p>
          <w:p w14:paraId="4266EEDA"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The Welsh context was critical throughout the case. The Social Services and Well-being (Wales) Act 2014 establishes a Welsh social care framework based on voice and control, well-being, prevention and partnership (Welsh Government, 2014). The Well-being of Future Generations (Wales) Act 2015 also emphasises collaboration, prevention, involvement and long-term well-being (Welsh Government, 2015). XXX's Prevention and Early Help Strategy emphasises partnership between local authority services, health, education, police and third sector organisations and children, young people and families in service development (XXX Council, 2023). Collaboration was important in the case of children who had a wide variety of needs and where multiple services were involved.</w:t>
            </w:r>
          </w:p>
          <w:p w14:paraId="01E5FEC9"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lastRenderedPageBreak/>
              <w:t xml:space="preserve">The case was an example of how communication needs should be considered individually. Equality is also important. The Equality Act 2010 protects people from discrimination </w:t>
            </w:r>
            <w:proofErr w:type="gramStart"/>
            <w:r w:rsidRPr="002B2718">
              <w:rPr>
                <w:rFonts w:asciiTheme="minorHAnsi" w:hAnsiTheme="minorHAnsi" w:cstheme="minorHAnsi"/>
                <w:sz w:val="24"/>
                <w:szCs w:val="24"/>
              </w:rPr>
              <w:t>on the basis of</w:t>
            </w:r>
            <w:proofErr w:type="gramEnd"/>
            <w:r w:rsidRPr="002B2718">
              <w:rPr>
                <w:rFonts w:asciiTheme="minorHAnsi" w:hAnsiTheme="minorHAnsi" w:cstheme="minorHAnsi"/>
                <w:sz w:val="24"/>
                <w:szCs w:val="24"/>
              </w:rPr>
              <w:t xml:space="preserve"> disability. In safeguarding practice, professionals need to understand disability-related vulnerability without making discriminatory assumptions about a child's ability. Child 1's cerebral palsy meant that we had to provide more support in some areas, but she did not lose her right to be assessed or have her wishes respected. Child 1’s safety was a matter of balance with the family’s right to private and family life, and therefore the Human Rights Act 1998 was relevant.</w:t>
            </w:r>
          </w:p>
          <w:p w14:paraId="6F6C1379"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Article 8 of the European Convention on Human Rights guarantees respect for private and family life, so intervention in family life should be legal, necessary and proportionate. Safeguarding intervention is always a balance between protecting children and respecting family relationships. The registration of both children required professional intervention and evidence that the safeguarding threshold had been met. The UNCRC was also relevant. Article 3 requires the best interests of the child to be a primary consideration, Article 12 guarantees participation rights and Article 19 protects children from abuse and neglect (United Nations, 1989). The Rights of Children and Young Persons (Wales) Measure 2011 strengthened the application of children's rights in Welsh public policy. At the European level, the UK’s withdrawal from the European Union has shifted the legal framework for cross-border child protection. Welsh Government guidance states that international agreements such as the 1996 Hague Convention matter to child protection cases involving other countries (Welsh Government, 2022).</w:t>
            </w:r>
          </w:p>
          <w:p w14:paraId="2033FA7A"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Recording was important because the safeguarding process was based on the collection and analysis of information. Social care workers need to maintain clear and accurate records, follow appropriate procedures and work effectively in supervision under the Social Care Wales Code (Social Care Wales, 2026). The Wales Safeguarding Procedures also identify records as important working documents that need to capture key facts, strengths, risk analysis, decision making and the rationale for decisions. This illustrates the difference between recording and analytical recording. For example, recording that Child 1 said medication was missed was factual. Analytical recording considers her health, how frequently medication was missed, what evidence supported the disclosure, what professionals reported and what action should be taken. Similarly, recording that the house was clean when the unannounced visit took place without recording the history, other concerns and what happened there would be incomplete. Accurate records therefore support accountability, continuity and defensible decision-making.</w:t>
            </w:r>
          </w:p>
          <w:p w14:paraId="051CEBEC"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 xml:space="preserve">In assessing the </w:t>
            </w:r>
            <w:proofErr w:type="gramStart"/>
            <w:r w:rsidRPr="002B2718">
              <w:rPr>
                <w:rFonts w:asciiTheme="minorHAnsi" w:hAnsiTheme="minorHAnsi" w:cstheme="minorHAnsi"/>
                <w:sz w:val="24"/>
                <w:szCs w:val="24"/>
              </w:rPr>
              <w:t>intervention as a whole, I</w:t>
            </w:r>
            <w:proofErr w:type="gramEnd"/>
            <w:r w:rsidRPr="002B2718">
              <w:rPr>
                <w:rFonts w:asciiTheme="minorHAnsi" w:hAnsiTheme="minorHAnsi" w:cstheme="minorHAnsi"/>
                <w:sz w:val="24"/>
                <w:szCs w:val="24"/>
              </w:rPr>
              <w:t xml:space="preserve"> personally feel that it was effective because it provided professional oversight, a clear multi-agency protection plan and, ultimately, a significant and long-term change in Child 1’s life. The unanimous decision by the conference indicated that concerns had been considered across agencies. The Child Protection Plan set expectations against which change could be measured and the core group process provided a mechanism to track progress.</w:t>
            </w:r>
          </w:p>
          <w:p w14:paraId="419368CB"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 xml:space="preserve">There were also limitations. The case involved </w:t>
            </w:r>
            <w:proofErr w:type="gramStart"/>
            <w:r w:rsidRPr="002B2718">
              <w:rPr>
                <w:rFonts w:asciiTheme="minorHAnsi" w:hAnsiTheme="minorHAnsi" w:cstheme="minorHAnsi"/>
                <w:sz w:val="24"/>
                <w:szCs w:val="24"/>
              </w:rPr>
              <w:t>a large number of</w:t>
            </w:r>
            <w:proofErr w:type="gramEnd"/>
            <w:r w:rsidRPr="002B2718">
              <w:rPr>
                <w:rFonts w:asciiTheme="minorHAnsi" w:hAnsiTheme="minorHAnsi" w:cstheme="minorHAnsi"/>
                <w:sz w:val="24"/>
                <w:szCs w:val="24"/>
              </w:rPr>
              <w:t xml:space="preserve"> professionals and a privately funded package with many providers, creating the possibility of diffusion of responsibility. Where there are many professionals, there is a risk that somebody else is assumed to be monitoring the child’s safety. I had to be clear that statutory safeguarding responsibility was not transferred from statutory services to private providers. The case also highlighted the importance of distinguishing </w:t>
            </w:r>
            <w:r w:rsidRPr="002B2718">
              <w:rPr>
                <w:rFonts w:asciiTheme="minorHAnsi" w:hAnsiTheme="minorHAnsi" w:cstheme="minorHAnsi"/>
                <w:sz w:val="24"/>
                <w:szCs w:val="24"/>
              </w:rPr>
              <w:lastRenderedPageBreak/>
              <w:t>the presence of services from the success of those services. Child 1 had carers and specialised professionals before social care became involved, but this did not mean that her needs were being met consistently. Professional concerns about the mother’s motivation might also have influenced the assessment. I therefore recognised the importance of differentiating evidence from professional opinion, particularly in safeguarding where a strong professional narrative can become self-reinforcing if alternative explanations are not explored.</w:t>
            </w:r>
          </w:p>
          <w:p w14:paraId="4F280617"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The result when Child 1 moved to her father was positive: she remained there safely, the case was transferred and she was then deregistered from child protection. However, deregistration should not be interpreted as meaning that all prior concerns were invalid. It meant that circumstances and risk assessment had changed to the point where the statutory threshold for registration was no longer met. This distinction is important because safeguarding assessments are time-sensitive and evidence-based. Overall, this case demonstrates the complexity of safeguarding practice involving a disabled young person, competing accounts, parental distress, privately funded care arrangements, health issues, communication needs and multi-agency involvement.</w:t>
            </w:r>
          </w:p>
          <w:p w14:paraId="4D7E9219"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 xml:space="preserve">The Social Services and Well-being (Wales) Act 2014, Children Act 1989, Wales Safeguarding Procedures, XXX’s local safeguarding framework and Social Care </w:t>
            </w:r>
            <w:proofErr w:type="spellStart"/>
            <w:r w:rsidRPr="002B2718">
              <w:rPr>
                <w:rFonts w:asciiTheme="minorHAnsi" w:hAnsiTheme="minorHAnsi" w:cstheme="minorHAnsi"/>
                <w:sz w:val="24"/>
                <w:szCs w:val="24"/>
              </w:rPr>
              <w:t>Wales’</w:t>
            </w:r>
            <w:proofErr w:type="spellEnd"/>
            <w:r w:rsidRPr="002B2718">
              <w:rPr>
                <w:rFonts w:asciiTheme="minorHAnsi" w:hAnsiTheme="minorHAnsi" w:cstheme="minorHAnsi"/>
                <w:sz w:val="24"/>
                <w:szCs w:val="24"/>
              </w:rPr>
              <w:t xml:space="preserve"> Code of Professional Practice formed a statutory and professional basis for my practice. This framework was key in balancing safeguarding responsibilities with children’s rights, family life, equality, communication and proportionality. The multi-agency process was essential. Professional input from others was available, but I needed to consider professional perspectives critically rather than simply accept them. The strategy discussion, child protection conference, unanimous registration decision and Child Protection Plan formed the basis of the safeguarding response.</w:t>
            </w:r>
          </w:p>
          <w:p w14:paraId="0BB79896" w14:textId="77777777" w:rsidR="002B2718" w:rsidRPr="002B2718" w:rsidRDefault="002B2718" w:rsidP="002B2718">
            <w:pPr>
              <w:spacing w:after="160"/>
              <w:rPr>
                <w:rFonts w:asciiTheme="minorHAnsi" w:hAnsiTheme="minorHAnsi" w:cstheme="minorHAnsi"/>
                <w:sz w:val="24"/>
                <w:szCs w:val="24"/>
              </w:rPr>
            </w:pPr>
            <w:r w:rsidRPr="002B2718">
              <w:rPr>
                <w:rFonts w:asciiTheme="minorHAnsi" w:hAnsiTheme="minorHAnsi" w:cstheme="minorHAnsi"/>
                <w:sz w:val="24"/>
                <w:szCs w:val="24"/>
              </w:rPr>
              <w:t>The Child Protection Plan was particularly important in making the concerns concrete and measurable in terms of medication, health appointments, education, professional communication and quality time with the children. The most significant development in the case was Child 1’s decision to leave her mother’s care and stay with her father; her wishes and feelings were particularly important at 16. The move to the new local authority and subsequent deregistration showed that safeguarding is a process of change and professional judgement needs to be evaluated as circumstances change. I learned that empathy and professional challenge must coexist in this case. Understanding the pressures of providing for a child with complex disabilities was important but was not a reason to minimise unmet needs. Supervision helped me to recognise this and to assess the mother's parenting according to Child 1’s lived experience rather than solely from her disability perspective.</w:t>
            </w:r>
          </w:p>
          <w:p w14:paraId="63A6121B" w14:textId="47A95AE0" w:rsidR="002A6231" w:rsidRPr="002A6231" w:rsidRDefault="002B2718" w:rsidP="002A6231">
            <w:pPr>
              <w:spacing w:after="160"/>
              <w:rPr>
                <w:rFonts w:asciiTheme="minorHAnsi" w:hAnsiTheme="minorHAnsi" w:cstheme="minorHAnsi"/>
                <w:sz w:val="24"/>
                <w:szCs w:val="24"/>
              </w:rPr>
            </w:pPr>
            <w:r w:rsidRPr="002B2718">
              <w:rPr>
                <w:rFonts w:asciiTheme="minorHAnsi" w:hAnsiTheme="minorHAnsi" w:cstheme="minorHAnsi"/>
                <w:sz w:val="24"/>
                <w:szCs w:val="24"/>
              </w:rPr>
              <w:t>The case has deepened my commitment to professional curiosity, analytical assessment, direct communication with children, evidence-based decision-making, effective multi-agency collaboration and reflective supervision. It has also taught me that good safeguarding practice is not only about identifying risk, but also about understanding the child’s experience, determining what needs to change, working together to achieve that change and remaining prepared to revise professional judgement when new information is presented.</w:t>
            </w:r>
          </w:p>
          <w:p w14:paraId="47F21B6A" w14:textId="79775D63" w:rsidR="007A628F" w:rsidRPr="00D1673E" w:rsidRDefault="002A6231" w:rsidP="00D1673E">
            <w:pPr>
              <w:spacing w:after="160"/>
              <w:rPr>
                <w:rFonts w:asciiTheme="minorHAnsi" w:hAnsiTheme="minorHAnsi" w:cstheme="minorHAnsi"/>
                <w:b/>
                <w:bCs/>
                <w:sz w:val="24"/>
                <w:szCs w:val="24"/>
                <w:u w:val="single"/>
              </w:rPr>
            </w:pPr>
            <w:r w:rsidRPr="002A6231">
              <w:rPr>
                <w:rFonts w:asciiTheme="minorHAnsi" w:hAnsiTheme="minorHAnsi" w:cstheme="minorHAnsi"/>
                <w:b/>
                <w:bCs/>
                <w:sz w:val="24"/>
                <w:szCs w:val="24"/>
                <w:u w:val="single"/>
              </w:rPr>
              <w:t xml:space="preserve">Total word count </w:t>
            </w:r>
            <w:r w:rsidR="002B2718">
              <w:rPr>
                <w:rFonts w:asciiTheme="minorHAnsi" w:hAnsiTheme="minorHAnsi" w:cstheme="minorHAnsi"/>
                <w:b/>
                <w:bCs/>
                <w:sz w:val="24"/>
                <w:szCs w:val="24"/>
                <w:u w:val="single"/>
              </w:rPr>
              <w:t>4389</w:t>
            </w:r>
            <w:r w:rsidRPr="002A6231">
              <w:rPr>
                <w:rFonts w:asciiTheme="minorHAnsi" w:hAnsiTheme="minorHAnsi" w:cstheme="minorHAnsi"/>
                <w:b/>
                <w:bCs/>
                <w:sz w:val="24"/>
                <w:szCs w:val="24"/>
                <w:u w:val="single"/>
              </w:rPr>
              <w:t xml:space="preserve"> words (excluding references)</w:t>
            </w:r>
            <w:r w:rsidR="00D1673E">
              <w:rPr>
                <w:rFonts w:asciiTheme="minorHAnsi" w:hAnsiTheme="minorHAnsi" w:cstheme="minorHAnsi"/>
                <w:b/>
                <w:bCs/>
                <w:sz w:val="24"/>
                <w:szCs w:val="24"/>
                <w:u w:val="single"/>
              </w:rPr>
              <w:t>.</w:t>
            </w:r>
          </w:p>
        </w:tc>
      </w:tr>
    </w:tbl>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6DFEB" w14:textId="77777777" w:rsidR="00CD2977" w:rsidRDefault="00CD2977">
      <w:r>
        <w:separator/>
      </w:r>
    </w:p>
  </w:endnote>
  <w:endnote w:type="continuationSeparator" w:id="0">
    <w:p w14:paraId="3C913FF8" w14:textId="77777777" w:rsidR="00CD2977" w:rsidRDefault="00CD2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3DDAC" w14:textId="77777777" w:rsidR="00CD2977" w:rsidRDefault="00CD2977">
      <w:r>
        <w:separator/>
      </w:r>
    </w:p>
  </w:footnote>
  <w:footnote w:type="continuationSeparator" w:id="0">
    <w:p w14:paraId="755B0BF5" w14:textId="77777777" w:rsidR="00CD2977" w:rsidRDefault="00CD29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39DE"/>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31F"/>
    <w:rsid w:val="00147DE3"/>
    <w:rsid w:val="00150794"/>
    <w:rsid w:val="00151DA6"/>
    <w:rsid w:val="001608C4"/>
    <w:rsid w:val="00164832"/>
    <w:rsid w:val="00171418"/>
    <w:rsid w:val="001772BF"/>
    <w:rsid w:val="001772DE"/>
    <w:rsid w:val="00183B10"/>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A6231"/>
    <w:rsid w:val="002B1701"/>
    <w:rsid w:val="002B23C3"/>
    <w:rsid w:val="002B2718"/>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5B63"/>
    <w:rsid w:val="003F67A4"/>
    <w:rsid w:val="00400786"/>
    <w:rsid w:val="00401FDA"/>
    <w:rsid w:val="004046F0"/>
    <w:rsid w:val="0040668F"/>
    <w:rsid w:val="00411EF7"/>
    <w:rsid w:val="00412677"/>
    <w:rsid w:val="00425160"/>
    <w:rsid w:val="0042595C"/>
    <w:rsid w:val="00430DE3"/>
    <w:rsid w:val="004348AE"/>
    <w:rsid w:val="004376C0"/>
    <w:rsid w:val="0044223A"/>
    <w:rsid w:val="0044697F"/>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875BE"/>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0994"/>
    <w:rsid w:val="0098262C"/>
    <w:rsid w:val="0098427C"/>
    <w:rsid w:val="00986B43"/>
    <w:rsid w:val="00986C0B"/>
    <w:rsid w:val="00986D46"/>
    <w:rsid w:val="00991FDA"/>
    <w:rsid w:val="00992ACA"/>
    <w:rsid w:val="009A5F3B"/>
    <w:rsid w:val="009A5F79"/>
    <w:rsid w:val="009A6F87"/>
    <w:rsid w:val="009B0B61"/>
    <w:rsid w:val="009B15DB"/>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5D56"/>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53"/>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2977"/>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1673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1FA0"/>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16B9"/>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3F5B63"/>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3F5B63"/>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D81F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437082@sudent.uwtsd.ac.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4445</Words>
  <Characters>25337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Vicky Hughes</cp:lastModifiedBy>
  <cp:revision>11</cp:revision>
  <cp:lastPrinted>2020-02-11T19:20:00Z</cp:lastPrinted>
  <dcterms:created xsi:type="dcterms:W3CDTF">2026-10-02T18:27:00Z</dcterms:created>
  <dcterms:modified xsi:type="dcterms:W3CDTF">2026-10-06T17:13:00Z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