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504D29" w14:textId="77777777" w:rsidR="00D87A54" w:rsidRDefault="00D87A54">
      <w:pPr>
        <w:pStyle w:val="p1"/>
      </w:pPr>
      <w:r>
        <w:rPr>
          <w:rStyle w:val="s1"/>
        </w:rPr>
        <w:t>As I study social work with the goal of entering child protection, I am only just starting a path that will call for strong dedication alongside targeted abilities. Protecting children through this specialty is central to keeping at-risk young people safe, so it matters that I grasp what success in the post involves. In this paper, I will set out five essential abilities, describe how I intend to build them, and point to the actions—training, observation, and relationship-building—that can move me toward professional practice in this area.</w:t>
      </w:r>
    </w:p>
    <w:p w14:paraId="27ACF5B6" w14:textId="77777777" w:rsidR="00D87A54" w:rsidRDefault="00D87A54">
      <w:pPr>
        <w:pStyle w:val="p1"/>
      </w:pPr>
      <w:r>
        <w:rPr>
          <w:rStyle w:val="apple-converted-space"/>
          <w:rFonts w:ascii="UICTFontTextStyleBody" w:hAnsi="UICTFontTextStyleBody"/>
        </w:rPr>
        <w:t> </w:t>
      </w:r>
      <w:r>
        <w:rPr>
          <w:rStyle w:val="s1"/>
        </w:rPr>
        <w:t>                       </w:t>
      </w:r>
    </w:p>
    <w:p w14:paraId="315B1C76" w14:textId="77777777" w:rsidR="00D87A54" w:rsidRDefault="00D87A54">
      <w:pPr>
        <w:pStyle w:val="p2"/>
      </w:pPr>
    </w:p>
    <w:p w14:paraId="0F5FB070" w14:textId="77777777" w:rsidR="00D87A54" w:rsidRDefault="00D87A54">
      <w:pPr>
        <w:pStyle w:val="p1"/>
      </w:pPr>
      <w:r>
        <w:rPr>
          <w:rStyle w:val="s1"/>
        </w:rPr>
        <w:t>Communication comes first as a major capability. This ability underpins good practice</w:t>
      </w:r>
    </w:p>
    <w:p w14:paraId="65007CCC" w14:textId="77777777" w:rsidR="00D87A54" w:rsidRDefault="00D87A54">
      <w:pPr>
        <w:pStyle w:val="p2"/>
      </w:pPr>
    </w:p>
    <w:p w14:paraId="5EC07C38" w14:textId="77777777" w:rsidR="00D87A54" w:rsidRDefault="00D87A54">
      <w:pPr>
        <w:pStyle w:val="p1"/>
      </w:pPr>
      <w:r>
        <w:rPr>
          <w:rStyle w:val="s1"/>
        </w:rPr>
        <w:t>As I work toward child protection within social work, I accept that the position calls for particular competencies and intentional readiness. Even though I am not in active practice yet, I have looked into the basic components required to do well in this area. In this paper, I will present five fundamental abilities for child protection work, clarify ways I can strengthen them, and lay out the academic and career steps I need to follow as preparation. Using this plan, I want to create a firm base for work devoted to keeping vulnerable children safe.</w:t>
      </w:r>
    </w:p>
    <w:p w14:paraId="196A4F95" w14:textId="77777777" w:rsidR="00D87A54" w:rsidRDefault="00D87A54">
      <w:pPr>
        <w:pStyle w:val="p2"/>
      </w:pPr>
    </w:p>
    <w:p w14:paraId="1E7BB570" w14:textId="77777777" w:rsidR="00D87A54" w:rsidRDefault="00D87A54">
      <w:pPr>
        <w:pStyle w:val="p1"/>
      </w:pPr>
      <w:r>
        <w:rPr>
          <w:rStyle w:val="s1"/>
        </w:rPr>
        <w:t>Communication is the initial key skill. In child protection, I will have to speak with clarity and empathy to children, caregivers, and multi-agency colleagues (Forrester, 2017). To improve, I intend to sign up for training in trauma-aware communication so I can shape my words around children’s emotional needs (Brandon, 2021). I also plan to accompany seasoned practitioners on home calls and school-based meetings so I can watch how they handle delicate discussions. Through doing and observing such conversations in practice settings, I expect to grow more assured about sharing hard realities while still preserving trust.</w:t>
      </w:r>
    </w:p>
    <w:p w14:paraId="0AEC46E8" w14:textId="77777777" w:rsidR="00D87A54" w:rsidRDefault="00D87A54">
      <w:pPr>
        <w:pStyle w:val="p2"/>
      </w:pPr>
    </w:p>
    <w:p w14:paraId="2568F51F" w14:textId="77777777" w:rsidR="00D87A54" w:rsidRDefault="00D87A54">
      <w:pPr>
        <w:pStyle w:val="p1"/>
      </w:pPr>
      <w:r>
        <w:rPr>
          <w:rStyle w:val="s1"/>
        </w:rPr>
        <w:t>Next, strong critical thinking is necessary. In child safeguarding, choices depend on judging danger and reading small signs Critical thinking matters because every situation calls for close reasoning—seeing beyond what appears obvious and attending to what is not spoken (</w:t>
      </w:r>
      <w:proofErr w:type="spellStart"/>
      <w:r>
        <w:rPr>
          <w:rStyle w:val="s1"/>
        </w:rPr>
        <w:t>Hickle</w:t>
      </w:r>
      <w:proofErr w:type="spellEnd"/>
      <w:r>
        <w:rPr>
          <w:rStyle w:val="s1"/>
        </w:rPr>
        <w:t>, 2019). To develop this, I will join peer-facilitated case conversations where real situations are examined in depth (Kagan, 2022). Working through these examples with guidance, I will practice spotting risk trends, balancing information, and reaching careful conclusions without rushing.</w:t>
      </w:r>
    </w:p>
    <w:p w14:paraId="46905AA3" w14:textId="77777777" w:rsidR="00D87A54" w:rsidRDefault="00D87A54">
      <w:pPr>
        <w:pStyle w:val="p2"/>
      </w:pPr>
    </w:p>
    <w:p w14:paraId="2AF1F7C8" w14:textId="38DF05BE" w:rsidR="00D87A54" w:rsidRDefault="00D87A54">
      <w:pPr>
        <w:pStyle w:val="p1"/>
      </w:pPr>
      <w:r>
        <w:rPr>
          <w:rStyle w:val="s1"/>
        </w:rPr>
        <w:t xml:space="preserve">Resilience is the third requirement. The psychological load in child protection can be </w:t>
      </w:r>
      <w:r w:rsidR="005C324E">
        <w:rPr>
          <w:rStyle w:val="s1"/>
        </w:rPr>
        <w:t>heavy because</w:t>
      </w:r>
      <w:r>
        <w:rPr>
          <w:rStyle w:val="s1"/>
        </w:rPr>
        <w:t xml:space="preserve"> we face trauma as we face trauma, unpredictability, and decisions with serious consequences day after day (Taylor, 2020). To strengthen resilience, I will take part in reflective supervision circles where difficult feelings can be worked through with support (Lewis, 2018). By building regular reflection into my routine, I will remain steady, notice my emotional boundaries, and keep my motivation over time.</w:t>
      </w:r>
    </w:p>
    <w:p w14:paraId="1FBB81F5" w14:textId="77777777" w:rsidR="00D87A54" w:rsidRDefault="00D87A54">
      <w:pPr>
        <w:pStyle w:val="p2"/>
      </w:pPr>
    </w:p>
    <w:p w14:paraId="777566B9" w14:textId="77777777" w:rsidR="00D87A54" w:rsidRDefault="00D87A54">
      <w:pPr>
        <w:pStyle w:val="p1"/>
      </w:pPr>
      <w:r>
        <w:rPr>
          <w:rStyle w:val="s1"/>
        </w:rPr>
        <w:t>Cultural competence is the fourth essential. Since children and families live within many backgrounds, practitioners must appreciate and respond to those differences with respect (Brandon, 2021). I will complete modules</w:t>
      </w:r>
    </w:p>
    <w:p w14:paraId="6DF2B56D" w14:textId="77777777" w:rsidR="00D87A54" w:rsidRDefault="00D87A54">
      <w:pPr>
        <w:pStyle w:val="p2"/>
      </w:pPr>
    </w:p>
    <w:p w14:paraId="1326F7EF" w14:textId="1BAC130D" w:rsidR="00D87A54" w:rsidRDefault="00D87A54">
      <w:pPr>
        <w:pStyle w:val="p1"/>
      </w:pPr>
      <w:r>
        <w:rPr>
          <w:rStyle w:val="s1"/>
        </w:rPr>
        <w:t xml:space="preserve">I will complete modules on cultural humility and </w:t>
      </w:r>
      <w:r w:rsidR="00C45C2E">
        <w:rPr>
          <w:rStyle w:val="s1"/>
        </w:rPr>
        <w:t>inclusion,</w:t>
      </w:r>
      <w:r>
        <w:rPr>
          <w:rStyle w:val="s1"/>
        </w:rPr>
        <w:t xml:space="preserve"> so I better understand how race, culture, and economic conditions influence family life (Brandon, 2021). I will also offer my time in diverse community hubs to learn directly through contact with different cultures. Together, these experiences should reduce bias, help me notice each family’s strengths, and shape support in a respectful way.</w:t>
      </w:r>
    </w:p>
    <w:p w14:paraId="59023D80" w14:textId="77777777" w:rsidR="00D87A54" w:rsidRDefault="00D87A54">
      <w:pPr>
        <w:pStyle w:val="p2"/>
      </w:pPr>
    </w:p>
    <w:p w14:paraId="45FE41C0" w14:textId="77777777" w:rsidR="00D87A54" w:rsidRDefault="00D87A54">
      <w:pPr>
        <w:pStyle w:val="p1"/>
      </w:pPr>
      <w:r>
        <w:rPr>
          <w:rStyle w:val="s1"/>
        </w:rPr>
        <w:t>In addition to these abilities, I need to finish accredited social work education. I intend to complete an undergraduate Social Work degree and then take a postgraduate award centred on child and family practice (Nursing and Midwifery Council, 2018). Once qualified, I will apply to join Social Work England so that professional requirements are fully met. I also plan to pursue placements within child welfare services, where I can learn directly—evaluating danger, undertaking home visits, and working jointly with families.</w:t>
      </w:r>
    </w:p>
    <w:p w14:paraId="462D2BF4" w14:textId="77777777" w:rsidR="00D87A54" w:rsidRDefault="00D87A54">
      <w:pPr>
        <w:pStyle w:val="p2"/>
      </w:pPr>
    </w:p>
    <w:p w14:paraId="4DFC1B3D" w14:textId="77777777" w:rsidR="00D87A54" w:rsidRDefault="00D87A54">
      <w:pPr>
        <w:pStyle w:val="p1"/>
      </w:pPr>
      <w:r>
        <w:rPr>
          <w:rStyle w:val="s1"/>
        </w:rPr>
        <w:t>Building connections will matter as well. I will reach out to qualified practitioners through bodies such as the British Association of Social Workers (Brandon, 2021). By setting up informational conversations, I can hear how their careers developed, seek guidance, and spot areas where I still need growth. Ongoing support from a mentor can steady me during training and help me understand the day-to-day reality before I formally start work. Speaking with experienced staff can also let me hear about difficulties they encounter, including heavy workloads, managing emotional strain, and responding to complex family circumstances. Taking in their accounts will help ready me psychologically and emotionally for what the role demands.</w:t>
      </w:r>
    </w:p>
    <w:p w14:paraId="5BADC6B4" w14:textId="77777777" w:rsidR="00D87A54" w:rsidRDefault="00D87A54">
      <w:pPr>
        <w:pStyle w:val="p2"/>
      </w:pPr>
    </w:p>
    <w:p w14:paraId="34ACD589" w14:textId="77777777" w:rsidR="00D87A54" w:rsidRDefault="00D87A54">
      <w:pPr>
        <w:pStyle w:val="p1"/>
      </w:pPr>
      <w:r>
        <w:rPr>
          <w:rStyle w:val="s1"/>
        </w:rPr>
        <w:t>Ethical conduct and professional behaviour are also fundamental to</w:t>
      </w:r>
    </w:p>
    <w:p w14:paraId="6588C30E" w14:textId="77777777" w:rsidR="00D87A54" w:rsidRDefault="00D87A54">
      <w:pPr>
        <w:pStyle w:val="p2"/>
      </w:pPr>
    </w:p>
    <w:p w14:paraId="4AAFEB91" w14:textId="77777777" w:rsidR="00D87A54" w:rsidRDefault="00D87A54">
      <w:pPr>
        <w:pStyle w:val="p1"/>
      </w:pPr>
      <w:r>
        <w:rPr>
          <w:rStyle w:val="s1"/>
        </w:rPr>
        <w:t>In addition, emotional intelligence is a key requirement in this line of work. Practitioners need to notice the feelings of others while also understanding their own reactions. Supporting children affected by harm or neglect can be distressing, and if self-awareness is lacking, the impact may become too much. To develop this area, I will use reflective methods, keep a journal of placement experiences, and attend supervision where challenges can be discussed honestly. With these habits, I can stay caring while avoiding emotional depletion.</w:t>
      </w:r>
    </w:p>
    <w:p w14:paraId="59ED00B3" w14:textId="77777777" w:rsidR="00D87A54" w:rsidRDefault="00D87A54">
      <w:pPr>
        <w:pStyle w:val="p2"/>
      </w:pPr>
    </w:p>
    <w:p w14:paraId="0D384B12" w14:textId="33ECA628" w:rsidR="006214C7" w:rsidRDefault="006214C7" w:rsidP="006214C7">
      <w:pPr>
        <w:pStyle w:val="p2"/>
      </w:pPr>
      <w:r>
        <w:t xml:space="preserve">As a fifth point, working well with others is essential. Safeguarding children is not done alone; it requires joint action among </w:t>
      </w:r>
      <w:r w:rsidR="00CE3882">
        <w:t>organisations</w:t>
      </w:r>
      <w:r>
        <w:t xml:space="preserve"> (</w:t>
      </w:r>
      <w:proofErr w:type="spellStart"/>
      <w:r>
        <w:t>Hickle</w:t>
      </w:r>
      <w:proofErr w:type="spellEnd"/>
      <w:r>
        <w:t>, 2019). To develop this ability, I plan to take part in cross‑disciplinary sessions alongside educators, medical staff, and police. In those environments, teamwork will help me learn to communicate details clearly, support colleagues collectively, and keep the child’s protection as the central concern.</w:t>
      </w:r>
    </w:p>
    <w:p w14:paraId="43A4B2A7" w14:textId="77777777" w:rsidR="006214C7" w:rsidRDefault="006214C7" w:rsidP="006214C7">
      <w:pPr>
        <w:pStyle w:val="p2"/>
      </w:pPr>
    </w:p>
    <w:p w14:paraId="0046F603" w14:textId="5F2D4EEB" w:rsidR="006214C7" w:rsidRDefault="006214C7">
      <w:pPr>
        <w:pStyle w:val="p2"/>
      </w:pPr>
      <w:r>
        <w:t xml:space="preserve">In addition to developing these abilities, I need to finish accredited training in social work. I intend to work toward a Social Work </w:t>
      </w:r>
      <w:r w:rsidR="000041D7">
        <w:t>BA and</w:t>
      </w:r>
      <w:r>
        <w:t xml:space="preserve"> then continue with an advanced award concentrating on services for children and families (Nursing and Midwifery Council, 2018). Once I qualify, I will sign up with Social Work England so that I satisfy every professional requirement. I also plan to secure practice placements within child protection </w:t>
      </w:r>
      <w:r w:rsidR="00417336">
        <w:t>organisations</w:t>
      </w:r>
      <w:r>
        <w:t>, allowing me to gain direct experience—</w:t>
      </w:r>
      <w:r w:rsidR="009650D6">
        <w:t>finding</w:t>
      </w:r>
      <w:r>
        <w:t xml:space="preserve"> dangers, making visits to homes, and working alongside families.</w:t>
      </w:r>
    </w:p>
    <w:p w14:paraId="09D989B8" w14:textId="77777777" w:rsidR="006214C7" w:rsidRDefault="006214C7">
      <w:pPr>
        <w:pStyle w:val="p2"/>
      </w:pPr>
    </w:p>
    <w:p w14:paraId="7440C9DC" w14:textId="59AEE1EF" w:rsidR="00D87A54" w:rsidRDefault="00D87A54">
      <w:pPr>
        <w:pStyle w:val="p1"/>
        <w:rPr>
          <w:rStyle w:val="s1"/>
        </w:rPr>
      </w:pPr>
      <w:r>
        <w:rPr>
          <w:rStyle w:val="s1"/>
        </w:rPr>
        <w:t xml:space="preserve">To conclude, qualifying for child protection involves much more than </w:t>
      </w:r>
      <w:r w:rsidR="00161D30">
        <w:rPr>
          <w:rStyle w:val="s1"/>
        </w:rPr>
        <w:t>study-based</w:t>
      </w:r>
      <w:r>
        <w:rPr>
          <w:rStyle w:val="s1"/>
        </w:rPr>
        <w:t xml:space="preserve"> credentials alone. It requires effective communication, analytical thinking, resilience, cultural competence, collaboration, professional conduct, emotional intelligence, and dedication to ongoing learning. As a learner, I know my development is still in progress, yet through study, reading, relationship-building, observation, and volunteering, I can steadily gain the understanding and practice this field needs. By engaging with experienced practitioners, taking part in placements, and continuing to refine my abilities, I will equip myself to advocate effectively for vulnerable children and families. Even if the route is demanding, I am confident that commitment, empathy, and continual personal growth can help me become a skilled and professional child</w:t>
      </w:r>
      <w:r w:rsidR="003C6439">
        <w:rPr>
          <w:rStyle w:val="s1"/>
        </w:rPr>
        <w:t xml:space="preserve"> </w:t>
      </w:r>
      <w:r w:rsidR="00E8773E">
        <w:rPr>
          <w:rStyle w:val="s1"/>
        </w:rPr>
        <w:t xml:space="preserve">protection </w:t>
      </w:r>
      <w:r w:rsidR="00FA7386">
        <w:rPr>
          <w:rStyle w:val="s1"/>
        </w:rPr>
        <w:t xml:space="preserve">social </w:t>
      </w:r>
      <w:r w:rsidR="00E8773E">
        <w:rPr>
          <w:rStyle w:val="s1"/>
        </w:rPr>
        <w:t>Worker.</w:t>
      </w:r>
    </w:p>
    <w:p w14:paraId="50133E2F" w14:textId="77777777" w:rsidR="00E8773E" w:rsidRDefault="00E8773E">
      <w:pPr>
        <w:pStyle w:val="p1"/>
        <w:rPr>
          <w:rStyle w:val="s1"/>
        </w:rPr>
      </w:pPr>
    </w:p>
    <w:p w14:paraId="5232084A" w14:textId="77777777" w:rsidR="00C42325" w:rsidRDefault="00C42325">
      <w:pPr>
        <w:pStyle w:val="p1"/>
        <w:rPr>
          <w:rStyle w:val="s1"/>
        </w:rPr>
      </w:pPr>
    </w:p>
    <w:p w14:paraId="069F4183" w14:textId="6EAB6E0A" w:rsidR="00F07839" w:rsidRPr="00F07839" w:rsidRDefault="009F72F8" w:rsidP="002979FB">
      <w:pPr>
        <w:spacing w:after="0" w:line="240" w:lineRule="auto"/>
        <w:rPr>
          <w:rFonts w:ascii="UICTFontTextStyleEmphasizedBody" w:hAnsi="UICTFontTextStyleEmphasizedBody" w:cs="Times New Roman"/>
          <w:b/>
          <w:bCs/>
          <w:i/>
          <w:iCs/>
          <w:kern w:val="0"/>
          <w:sz w:val="29"/>
          <w:szCs w:val="29"/>
          <w14:ligatures w14:val="none"/>
        </w:rPr>
      </w:pPr>
      <w:r>
        <w:rPr>
          <w:rFonts w:ascii="UICTFontTextStyleEmphasizedBody" w:hAnsi="UICTFontTextStyleEmphasizedBody" w:cs="Times New Roman"/>
          <w:b/>
          <w:bCs/>
          <w:i/>
          <w:iCs/>
          <w:kern w:val="0"/>
          <w:sz w:val="29"/>
          <w:szCs w:val="29"/>
          <w14:ligatures w14:val="none"/>
        </w:rPr>
        <w:t xml:space="preserve">References </w:t>
      </w:r>
    </w:p>
    <w:p w14:paraId="0DE8276A"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p>
    <w:p w14:paraId="1E3CBB4B"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r w:rsidRPr="002979FB">
        <w:rPr>
          <w:rFonts w:ascii="UICTFontTextStyleEmphasizedBody" w:hAnsi="UICTFontTextStyleEmphasizedBody" w:cs="Times New Roman"/>
          <w:b/>
          <w:bCs/>
          <w:kern w:val="0"/>
          <w:sz w:val="29"/>
          <w:szCs w:val="29"/>
          <w14:ligatures w14:val="none"/>
        </w:rPr>
        <w:t xml:space="preserve">Brandon, M. (2021) </w:t>
      </w:r>
      <w:r w:rsidRPr="002979FB">
        <w:rPr>
          <w:rFonts w:ascii=".AppleSystemUIFont" w:hAnsi=".AppleSystemUIFont" w:cs="Times New Roman"/>
          <w:b/>
          <w:bCs/>
          <w:i/>
          <w:iCs/>
          <w:kern w:val="0"/>
          <w:sz w:val="29"/>
          <w:szCs w:val="29"/>
          <w14:ligatures w14:val="none"/>
        </w:rPr>
        <w:t>Trauma-Informed Communication in Social Work</w:t>
      </w:r>
      <w:r w:rsidRPr="002979FB">
        <w:rPr>
          <w:rFonts w:ascii="UICTFontTextStyleEmphasizedBody" w:hAnsi="UICTFontTextStyleEmphasizedBody" w:cs="Times New Roman"/>
          <w:b/>
          <w:bCs/>
          <w:kern w:val="0"/>
          <w:sz w:val="29"/>
          <w:szCs w:val="29"/>
          <w14:ligatures w14:val="none"/>
        </w:rPr>
        <w:t>. London: Jessica Kingsley Publishers.</w:t>
      </w:r>
    </w:p>
    <w:p w14:paraId="1AE9DF0D"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p>
    <w:p w14:paraId="191EAF0C"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r w:rsidRPr="002979FB">
        <w:rPr>
          <w:rFonts w:ascii="UICTFontTextStyleEmphasizedBody" w:hAnsi="UICTFontTextStyleEmphasizedBody" w:cs="Times New Roman"/>
          <w:b/>
          <w:bCs/>
          <w:kern w:val="0"/>
          <w:sz w:val="29"/>
          <w:szCs w:val="29"/>
          <w14:ligatures w14:val="none"/>
        </w:rPr>
        <w:t xml:space="preserve">Forrester, D. (2017) </w:t>
      </w:r>
      <w:r w:rsidRPr="002979FB">
        <w:rPr>
          <w:rFonts w:ascii=".AppleSystemUIFont" w:hAnsi=".AppleSystemUIFont" w:cs="Times New Roman"/>
          <w:b/>
          <w:bCs/>
          <w:i/>
          <w:iCs/>
          <w:kern w:val="0"/>
          <w:sz w:val="29"/>
          <w:szCs w:val="29"/>
          <w14:ligatures w14:val="none"/>
        </w:rPr>
        <w:t>Effective Communication Skills for Social Workers</w:t>
      </w:r>
      <w:r w:rsidRPr="002979FB">
        <w:rPr>
          <w:rFonts w:ascii="UICTFontTextStyleEmphasizedBody" w:hAnsi="UICTFontTextStyleEmphasizedBody" w:cs="Times New Roman"/>
          <w:b/>
          <w:bCs/>
          <w:kern w:val="0"/>
          <w:sz w:val="29"/>
          <w:szCs w:val="29"/>
          <w14:ligatures w14:val="none"/>
        </w:rPr>
        <w:t>. Bristol: Policy Press.</w:t>
      </w:r>
    </w:p>
    <w:p w14:paraId="492E111D"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p>
    <w:p w14:paraId="07535064"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proofErr w:type="spellStart"/>
      <w:r w:rsidRPr="002979FB">
        <w:rPr>
          <w:rFonts w:ascii="UICTFontTextStyleEmphasizedBody" w:hAnsi="UICTFontTextStyleEmphasizedBody" w:cs="Times New Roman"/>
          <w:b/>
          <w:bCs/>
          <w:kern w:val="0"/>
          <w:sz w:val="29"/>
          <w:szCs w:val="29"/>
          <w14:ligatures w14:val="none"/>
        </w:rPr>
        <w:t>Hickle</w:t>
      </w:r>
      <w:proofErr w:type="spellEnd"/>
      <w:r w:rsidRPr="002979FB">
        <w:rPr>
          <w:rFonts w:ascii="UICTFontTextStyleEmphasizedBody" w:hAnsi="UICTFontTextStyleEmphasizedBody" w:cs="Times New Roman"/>
          <w:b/>
          <w:bCs/>
          <w:kern w:val="0"/>
          <w:sz w:val="29"/>
          <w:szCs w:val="29"/>
          <w14:ligatures w14:val="none"/>
        </w:rPr>
        <w:t xml:space="preserve">, K. (2019) </w:t>
      </w:r>
      <w:r w:rsidRPr="002979FB">
        <w:rPr>
          <w:rFonts w:ascii=".AppleSystemUIFont" w:hAnsi=".AppleSystemUIFont" w:cs="Times New Roman"/>
          <w:b/>
          <w:bCs/>
          <w:i/>
          <w:iCs/>
          <w:kern w:val="0"/>
          <w:sz w:val="29"/>
          <w:szCs w:val="29"/>
          <w14:ligatures w14:val="none"/>
        </w:rPr>
        <w:t>Critical Thinking in Child Welfare</w:t>
      </w:r>
      <w:r w:rsidRPr="002979FB">
        <w:rPr>
          <w:rFonts w:ascii="UICTFontTextStyleEmphasizedBody" w:hAnsi="UICTFontTextStyleEmphasizedBody" w:cs="Times New Roman"/>
          <w:b/>
          <w:bCs/>
          <w:kern w:val="0"/>
          <w:sz w:val="29"/>
          <w:szCs w:val="29"/>
          <w14:ligatures w14:val="none"/>
        </w:rPr>
        <w:t>. New York: Columbia University Press.</w:t>
      </w:r>
    </w:p>
    <w:p w14:paraId="223FD16A"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p>
    <w:p w14:paraId="0551951F"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r w:rsidRPr="002979FB">
        <w:rPr>
          <w:rFonts w:ascii="UICTFontTextStyleEmphasizedBody" w:hAnsi="UICTFontTextStyleEmphasizedBody" w:cs="Times New Roman"/>
          <w:b/>
          <w:bCs/>
          <w:kern w:val="0"/>
          <w:sz w:val="29"/>
          <w:szCs w:val="29"/>
          <w14:ligatures w14:val="none"/>
        </w:rPr>
        <w:t xml:space="preserve">Kagan, C. (2022) </w:t>
      </w:r>
      <w:r w:rsidRPr="002979FB">
        <w:rPr>
          <w:rFonts w:ascii=".AppleSystemUIFont" w:hAnsi=".AppleSystemUIFont" w:cs="Times New Roman"/>
          <w:b/>
          <w:bCs/>
          <w:i/>
          <w:iCs/>
          <w:kern w:val="0"/>
          <w:sz w:val="29"/>
          <w:szCs w:val="29"/>
          <w14:ligatures w14:val="none"/>
        </w:rPr>
        <w:t>Case Study Analysis in Social Work</w:t>
      </w:r>
      <w:r w:rsidRPr="002979FB">
        <w:rPr>
          <w:rFonts w:ascii="UICTFontTextStyleEmphasizedBody" w:hAnsi="UICTFontTextStyleEmphasizedBody" w:cs="Times New Roman"/>
          <w:b/>
          <w:bCs/>
          <w:kern w:val="0"/>
          <w:sz w:val="29"/>
          <w:szCs w:val="29"/>
          <w14:ligatures w14:val="none"/>
        </w:rPr>
        <w:t>. London: Sage Publications.</w:t>
      </w:r>
    </w:p>
    <w:p w14:paraId="25D26FEC"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p>
    <w:p w14:paraId="151C8A47"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r w:rsidRPr="002979FB">
        <w:rPr>
          <w:rFonts w:ascii="UICTFontTextStyleEmphasizedBody" w:hAnsi="UICTFontTextStyleEmphasizedBody" w:cs="Times New Roman"/>
          <w:b/>
          <w:bCs/>
          <w:kern w:val="0"/>
          <w:sz w:val="29"/>
          <w:szCs w:val="29"/>
          <w14:ligatures w14:val="none"/>
        </w:rPr>
        <w:t xml:space="preserve">Lewis, P. (2018) </w:t>
      </w:r>
      <w:r w:rsidRPr="002979FB">
        <w:rPr>
          <w:rFonts w:ascii=".AppleSystemUIFont" w:hAnsi=".AppleSystemUIFont" w:cs="Times New Roman"/>
          <w:b/>
          <w:bCs/>
          <w:i/>
          <w:iCs/>
          <w:kern w:val="0"/>
          <w:sz w:val="29"/>
          <w:szCs w:val="29"/>
          <w14:ligatures w14:val="none"/>
        </w:rPr>
        <w:t>Reflective Supervision in Social Work Practice</w:t>
      </w:r>
      <w:r w:rsidRPr="002979FB">
        <w:rPr>
          <w:rFonts w:ascii="UICTFontTextStyleEmphasizedBody" w:hAnsi="UICTFontTextStyleEmphasizedBody" w:cs="Times New Roman"/>
          <w:b/>
          <w:bCs/>
          <w:kern w:val="0"/>
          <w:sz w:val="29"/>
          <w:szCs w:val="29"/>
          <w14:ligatures w14:val="none"/>
        </w:rPr>
        <w:t xml:space="preserve">. London: </w:t>
      </w:r>
      <w:proofErr w:type="spellStart"/>
      <w:r w:rsidRPr="002979FB">
        <w:rPr>
          <w:rFonts w:ascii="UICTFontTextStyleEmphasizedBody" w:hAnsi="UICTFontTextStyleEmphasizedBody" w:cs="Times New Roman"/>
          <w:b/>
          <w:bCs/>
          <w:kern w:val="0"/>
          <w:sz w:val="29"/>
          <w:szCs w:val="29"/>
          <w14:ligatures w14:val="none"/>
        </w:rPr>
        <w:t>Routledge</w:t>
      </w:r>
      <w:proofErr w:type="spellEnd"/>
      <w:r w:rsidRPr="002979FB">
        <w:rPr>
          <w:rFonts w:ascii="UICTFontTextStyleEmphasizedBody" w:hAnsi="UICTFontTextStyleEmphasizedBody" w:cs="Times New Roman"/>
          <w:b/>
          <w:bCs/>
          <w:kern w:val="0"/>
          <w:sz w:val="29"/>
          <w:szCs w:val="29"/>
          <w14:ligatures w14:val="none"/>
        </w:rPr>
        <w:t>.</w:t>
      </w:r>
    </w:p>
    <w:p w14:paraId="02F17B98"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p>
    <w:p w14:paraId="051F39BC"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r w:rsidRPr="002979FB">
        <w:rPr>
          <w:rFonts w:ascii="UICTFontTextStyleEmphasizedBody" w:hAnsi="UICTFontTextStyleEmphasizedBody" w:cs="Times New Roman"/>
          <w:b/>
          <w:bCs/>
          <w:kern w:val="0"/>
          <w:sz w:val="29"/>
          <w:szCs w:val="29"/>
          <w14:ligatures w14:val="none"/>
        </w:rPr>
        <w:t xml:space="preserve">Nursing and Midwifery Council (2018) </w:t>
      </w:r>
      <w:r w:rsidRPr="002979FB">
        <w:rPr>
          <w:rFonts w:ascii=".AppleSystemUIFont" w:hAnsi=".AppleSystemUIFont" w:cs="Times New Roman"/>
          <w:b/>
          <w:bCs/>
          <w:i/>
          <w:iCs/>
          <w:kern w:val="0"/>
          <w:sz w:val="29"/>
          <w:szCs w:val="29"/>
          <w14:ligatures w14:val="none"/>
        </w:rPr>
        <w:t>The Code: Professional Standards of Practice and Behaviour for Nurses, Midwives and Nursing Associates</w:t>
      </w:r>
      <w:r w:rsidRPr="002979FB">
        <w:rPr>
          <w:rFonts w:ascii="UICTFontTextStyleEmphasizedBody" w:hAnsi="UICTFontTextStyleEmphasizedBody" w:cs="Times New Roman"/>
          <w:b/>
          <w:bCs/>
          <w:kern w:val="0"/>
          <w:sz w:val="29"/>
          <w:szCs w:val="29"/>
          <w14:ligatures w14:val="none"/>
        </w:rPr>
        <w:t>. London: NMC.</w:t>
      </w:r>
    </w:p>
    <w:p w14:paraId="19F687AA"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p>
    <w:p w14:paraId="21BF4F3C" w14:textId="77777777" w:rsidR="002979FB" w:rsidRPr="002979FB" w:rsidRDefault="002979FB" w:rsidP="002979FB">
      <w:pPr>
        <w:spacing w:after="0" w:line="240" w:lineRule="auto"/>
        <w:rPr>
          <w:rFonts w:ascii=".AppleSystemUIFont" w:hAnsi=".AppleSystemUIFont" w:cs="Times New Roman"/>
          <w:kern w:val="0"/>
          <w:sz w:val="29"/>
          <w:szCs w:val="29"/>
          <w14:ligatures w14:val="none"/>
        </w:rPr>
      </w:pPr>
      <w:r w:rsidRPr="002979FB">
        <w:rPr>
          <w:rFonts w:ascii="UICTFontTextStyleEmphasizedBody" w:hAnsi="UICTFontTextStyleEmphasizedBody" w:cs="Times New Roman"/>
          <w:b/>
          <w:bCs/>
          <w:kern w:val="0"/>
          <w:sz w:val="29"/>
          <w:szCs w:val="29"/>
          <w14:ligatures w14:val="none"/>
        </w:rPr>
        <w:t xml:space="preserve">Taylor, C. (2020) </w:t>
      </w:r>
      <w:r w:rsidRPr="002979FB">
        <w:rPr>
          <w:rFonts w:ascii=".AppleSystemUIFont" w:hAnsi=".AppleSystemUIFont" w:cs="Times New Roman"/>
          <w:b/>
          <w:bCs/>
          <w:i/>
          <w:iCs/>
          <w:kern w:val="0"/>
          <w:sz w:val="29"/>
          <w:szCs w:val="29"/>
          <w14:ligatures w14:val="none"/>
        </w:rPr>
        <w:t>Resilience and Emotional Wellbeing in Social Work</w:t>
      </w:r>
      <w:r w:rsidRPr="002979FB">
        <w:rPr>
          <w:rFonts w:ascii="UICTFontTextStyleEmphasizedBody" w:hAnsi="UICTFontTextStyleEmphasizedBody" w:cs="Times New Roman"/>
          <w:b/>
          <w:bCs/>
          <w:kern w:val="0"/>
          <w:sz w:val="29"/>
          <w:szCs w:val="29"/>
          <w14:ligatures w14:val="none"/>
        </w:rPr>
        <w:t>. Oxford: Oxford University Press.</w:t>
      </w:r>
    </w:p>
    <w:p w14:paraId="72999824" w14:textId="77777777" w:rsidR="00C42325" w:rsidRDefault="00C42325">
      <w:pPr>
        <w:pStyle w:val="p1"/>
        <w:rPr>
          <w:rStyle w:val="s1"/>
        </w:rPr>
      </w:pPr>
    </w:p>
    <w:p w14:paraId="3E3FB7DC" w14:textId="77777777" w:rsidR="00E8773E" w:rsidRDefault="00E8773E">
      <w:pPr>
        <w:pStyle w:val="p1"/>
      </w:pPr>
    </w:p>
    <w:p w14:paraId="1EE04B29" w14:textId="77777777" w:rsidR="00D87A54" w:rsidRDefault="00D87A54"/>
    <w:sectPr w:rsidR="00D87A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A54"/>
    <w:rsid w:val="000041D7"/>
    <w:rsid w:val="00161D30"/>
    <w:rsid w:val="001F1D78"/>
    <w:rsid w:val="002979FB"/>
    <w:rsid w:val="003C6439"/>
    <w:rsid w:val="00417336"/>
    <w:rsid w:val="0049130B"/>
    <w:rsid w:val="005C324E"/>
    <w:rsid w:val="006214C7"/>
    <w:rsid w:val="0088560A"/>
    <w:rsid w:val="00917284"/>
    <w:rsid w:val="009650D6"/>
    <w:rsid w:val="009F72F8"/>
    <w:rsid w:val="00C42325"/>
    <w:rsid w:val="00C45C2E"/>
    <w:rsid w:val="00CE3882"/>
    <w:rsid w:val="00CF30C4"/>
    <w:rsid w:val="00D817DF"/>
    <w:rsid w:val="00D87A54"/>
    <w:rsid w:val="00E8773E"/>
    <w:rsid w:val="00F07839"/>
    <w:rsid w:val="00F32661"/>
    <w:rsid w:val="00FA7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38F8C0"/>
  <w15:chartTrackingRefBased/>
  <w15:docId w15:val="{15B73D12-EE5C-6A42-8614-737C37220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7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7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A54"/>
    <w:rPr>
      <w:rFonts w:eastAsiaTheme="majorEastAsia" w:cstheme="majorBidi"/>
      <w:color w:val="272727" w:themeColor="text1" w:themeTint="D8"/>
    </w:rPr>
  </w:style>
  <w:style w:type="paragraph" w:styleId="Title">
    <w:name w:val="Title"/>
    <w:basedOn w:val="Normal"/>
    <w:next w:val="Normal"/>
    <w:link w:val="TitleChar"/>
    <w:uiPriority w:val="10"/>
    <w:qFormat/>
    <w:rsid w:val="00D87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A54"/>
    <w:pPr>
      <w:spacing w:before="160"/>
      <w:jc w:val="center"/>
    </w:pPr>
    <w:rPr>
      <w:i/>
      <w:iCs/>
      <w:color w:val="404040" w:themeColor="text1" w:themeTint="BF"/>
    </w:rPr>
  </w:style>
  <w:style w:type="character" w:customStyle="1" w:styleId="QuoteChar">
    <w:name w:val="Quote Char"/>
    <w:basedOn w:val="DefaultParagraphFont"/>
    <w:link w:val="Quote"/>
    <w:uiPriority w:val="29"/>
    <w:rsid w:val="00D87A54"/>
    <w:rPr>
      <w:i/>
      <w:iCs/>
      <w:color w:val="404040" w:themeColor="text1" w:themeTint="BF"/>
    </w:rPr>
  </w:style>
  <w:style w:type="paragraph" w:styleId="ListParagraph">
    <w:name w:val="List Paragraph"/>
    <w:basedOn w:val="Normal"/>
    <w:uiPriority w:val="34"/>
    <w:qFormat/>
    <w:rsid w:val="00D87A54"/>
    <w:pPr>
      <w:ind w:left="720"/>
      <w:contextualSpacing/>
    </w:pPr>
  </w:style>
  <w:style w:type="character" w:styleId="IntenseEmphasis">
    <w:name w:val="Intense Emphasis"/>
    <w:basedOn w:val="DefaultParagraphFont"/>
    <w:uiPriority w:val="21"/>
    <w:qFormat/>
    <w:rsid w:val="00D87A54"/>
    <w:rPr>
      <w:i/>
      <w:iCs/>
      <w:color w:val="0F4761" w:themeColor="accent1" w:themeShade="BF"/>
    </w:rPr>
  </w:style>
  <w:style w:type="paragraph" w:styleId="IntenseQuote">
    <w:name w:val="Intense Quote"/>
    <w:basedOn w:val="Normal"/>
    <w:next w:val="Normal"/>
    <w:link w:val="IntenseQuoteChar"/>
    <w:uiPriority w:val="30"/>
    <w:qFormat/>
    <w:rsid w:val="00D87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A54"/>
    <w:rPr>
      <w:i/>
      <w:iCs/>
      <w:color w:val="0F4761" w:themeColor="accent1" w:themeShade="BF"/>
    </w:rPr>
  </w:style>
  <w:style w:type="character" w:styleId="IntenseReference">
    <w:name w:val="Intense Reference"/>
    <w:basedOn w:val="DefaultParagraphFont"/>
    <w:uiPriority w:val="32"/>
    <w:qFormat/>
    <w:rsid w:val="00D87A54"/>
    <w:rPr>
      <w:b/>
      <w:bCs/>
      <w:smallCaps/>
      <w:color w:val="0F4761" w:themeColor="accent1" w:themeShade="BF"/>
      <w:spacing w:val="5"/>
    </w:rPr>
  </w:style>
  <w:style w:type="paragraph" w:customStyle="1" w:styleId="p1">
    <w:name w:val="p1"/>
    <w:basedOn w:val="Normal"/>
    <w:rsid w:val="00D87A54"/>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D87A54"/>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D87A54"/>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D87A54"/>
  </w:style>
  <w:style w:type="character" w:customStyle="1" w:styleId="s3">
    <w:name w:val="s3"/>
    <w:basedOn w:val="DefaultParagraphFont"/>
    <w:rsid w:val="002979FB"/>
    <w:rPr>
      <w:b/>
      <w:bCs/>
      <w:i/>
      <w:iCs/>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1202</Words>
  <Characters>6856</Characters>
  <Application>Microsoft Office Word</Application>
  <DocSecurity>0</DocSecurity>
  <Lines>57</Lines>
  <Paragraphs>16</Paragraphs>
  <ScaleCrop>false</ScaleCrop>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Shulammite Nkiru Emeghara (2536049)</dc:creator>
  <cp:keywords/>
  <dc:description/>
  <cp:lastModifiedBy>Shulammite Nkiru Emeghara (2536049)</cp:lastModifiedBy>
  <cp:revision>2</cp:revision>
  <dcterms:created xsi:type="dcterms:W3CDTF">2026-06-26T09:16:00Z</dcterms:created>
  <dcterms:modified xsi:type="dcterms:W3CDTF">2026-06-26T09:16:00Z</dcterms:modified>
</cp:coreProperties>
</file>