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7409E138" w14:textId="5C89AB99" w:rsidR="0065420F" w:rsidRPr="00C43814" w:rsidRDefault="0065420F" w:rsidP="00574AF4">
      <w:pPr>
        <w:widowControl w:val="0"/>
        <w:spacing w:after="0" w:line="360" w:lineRule="auto"/>
        <w:rPr>
          <w:rFonts w:ascii="Arial" w:eastAsia="Times New Roman" w:hAnsi="Arial" w:cs="Arial"/>
          <w:b/>
          <w:sz w:val="28"/>
          <w:szCs w:val="28"/>
          <w:lang w:eastAsia="en-GB" w:bidi="bn-BD"/>
        </w:rPr>
      </w:pPr>
    </w:p>
    <w:p w14:paraId="3A1228D1" w14:textId="46BEBD81" w:rsidR="0065420F" w:rsidRPr="00D66B76" w:rsidRDefault="0065420F" w:rsidP="00D66B76">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Programme: </w:t>
      </w:r>
      <w:r w:rsidR="00D66B76" w:rsidRPr="00D66B76">
        <w:rPr>
          <w:rFonts w:ascii="Arial" w:eastAsia="Times New Roman" w:hAnsi="Arial" w:cs="Arial"/>
          <w:b/>
          <w:sz w:val="28"/>
          <w:szCs w:val="28"/>
          <w:lang w:eastAsia="en-GB" w:bidi="bn-BD"/>
        </w:rPr>
        <w:t>MSc Public Health and Social Care in Practice</w:t>
      </w:r>
    </w:p>
    <w:p w14:paraId="65B49CFC" w14:textId="41D1F6EE" w:rsidR="0065420F" w:rsidRPr="00C43814" w:rsidRDefault="0065420F" w:rsidP="0065420F">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CE636B" w:rsidRPr="00CE636B">
        <w:rPr>
          <w:rFonts w:ascii="Arial" w:hAnsi="Arial" w:cs="Arial"/>
          <w:b/>
          <w:sz w:val="28"/>
        </w:rPr>
        <w:t xml:space="preserve">Population Health and Digital Health Promotion </w:t>
      </w:r>
      <w:r w:rsidR="00124F52" w:rsidRPr="00D66B76">
        <w:rPr>
          <w:rFonts w:ascii="Arial" w:hAnsi="Arial" w:cs="Arial"/>
          <w:b/>
          <w:sz w:val="28"/>
        </w:rPr>
        <w:t>(</w:t>
      </w:r>
      <w:r w:rsidR="00CE636B">
        <w:rPr>
          <w:rFonts w:ascii="Arial" w:eastAsia="Times New Roman" w:hAnsi="Arial" w:cs="Arial"/>
          <w:b/>
          <w:sz w:val="28"/>
          <w:szCs w:val="24"/>
          <w:lang w:eastAsia="en-GB" w:bidi="bn-BD"/>
        </w:rPr>
        <w:t>LCHS7009</w:t>
      </w:r>
      <w:r w:rsidRPr="00C43814">
        <w:rPr>
          <w:rFonts w:ascii="Arial" w:eastAsia="Times New Roman" w:hAnsi="Arial" w:cs="Arial"/>
          <w:b/>
          <w:sz w:val="28"/>
          <w:szCs w:val="24"/>
          <w:lang w:eastAsia="en-GB" w:bidi="bn-BD"/>
        </w:rPr>
        <w:t>)</w:t>
      </w:r>
    </w:p>
    <w:p w14:paraId="5CF75F30" w14:textId="28A64A17" w:rsidR="0065420F" w:rsidRPr="00124F52" w:rsidRDefault="0065420F" w:rsidP="00491D11">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Assignment Title: </w:t>
      </w:r>
      <w:r w:rsidR="00491D11">
        <w:rPr>
          <w:rFonts w:ascii="Arial" w:eastAsia="Times New Roman" w:hAnsi="Arial" w:cs="Arial"/>
          <w:b/>
          <w:sz w:val="28"/>
          <w:szCs w:val="24"/>
          <w:lang w:eastAsia="en-GB" w:bidi="bn-BD"/>
        </w:rPr>
        <w:t xml:space="preserve">Component 1 </w:t>
      </w:r>
    </w:p>
    <w:p w14:paraId="190BA701" w14:textId="61D75530" w:rsidR="0065420F" w:rsidRPr="00124F52" w:rsidRDefault="0065420F" w:rsidP="00124F52">
      <w:pPr>
        <w:widowControl w:val="0"/>
        <w:spacing w:after="0" w:line="360" w:lineRule="auto"/>
        <w:jc w:val="center"/>
        <w:rPr>
          <w:rFonts w:ascii="Arial" w:hAnsi="Arial" w:cs="Arial"/>
          <w:b/>
          <w:sz w:val="28"/>
        </w:rPr>
      </w:pPr>
      <w:r w:rsidRPr="00C43814">
        <w:rPr>
          <w:rFonts w:ascii="Arial" w:eastAsia="Times New Roman" w:hAnsi="Arial" w:cs="Arial"/>
          <w:b/>
          <w:sz w:val="28"/>
          <w:szCs w:val="28"/>
          <w:lang w:eastAsia="en-GB" w:bidi="bn-BD"/>
        </w:rPr>
        <w:t xml:space="preserve">Lecturer: </w:t>
      </w:r>
      <w:proofErr w:type="spellStart"/>
      <w:r w:rsidR="00491D11" w:rsidRPr="00491D11">
        <w:rPr>
          <w:rFonts w:ascii="Arial" w:hAnsi="Arial" w:cs="Arial"/>
          <w:b/>
          <w:sz w:val="28"/>
        </w:rPr>
        <w:t>Diola</w:t>
      </w:r>
      <w:proofErr w:type="spellEnd"/>
      <w:r w:rsidR="00491D11" w:rsidRPr="00491D11">
        <w:rPr>
          <w:rFonts w:ascii="Arial" w:hAnsi="Arial" w:cs="Arial"/>
          <w:b/>
          <w:sz w:val="28"/>
        </w:rPr>
        <w:t xml:space="preserve"> </w:t>
      </w:r>
      <w:proofErr w:type="spellStart"/>
      <w:r w:rsidR="00491D11" w:rsidRPr="00491D11">
        <w:rPr>
          <w:rFonts w:ascii="Arial" w:hAnsi="Arial" w:cs="Arial"/>
          <w:b/>
          <w:sz w:val="28"/>
        </w:rPr>
        <w:t>Bijlhout</w:t>
      </w:r>
      <w:proofErr w:type="spellEnd"/>
      <w:r w:rsidR="00491D11" w:rsidRPr="00491D11">
        <w:rPr>
          <w:rFonts w:ascii="Arial" w:hAnsi="Arial" w:cs="Arial"/>
          <w:b/>
          <w:sz w:val="28"/>
        </w:rPr>
        <w:t>`</w:t>
      </w:r>
    </w:p>
    <w:p w14:paraId="00EDB553" w14:textId="111A1738" w:rsidR="00574AF4" w:rsidRPr="00D66B76" w:rsidRDefault="00574AF4" w:rsidP="00D66B76">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404B63">
        <w:rPr>
          <w:rFonts w:ascii="Arial" w:eastAsia="Times New Roman" w:hAnsi="Arial" w:cs="Arial"/>
          <w:b/>
          <w:sz w:val="28"/>
          <w:szCs w:val="28"/>
          <w:lang w:eastAsia="en-GB" w:bidi="bn-BD"/>
        </w:rPr>
        <w:t>Md</w:t>
      </w:r>
      <w:proofErr w:type="spellEnd"/>
      <w:r w:rsidR="00E12C12" w:rsidRPr="00E12C12">
        <w:rPr>
          <w:rFonts w:ascii="Arial" w:eastAsia="Times New Roman" w:hAnsi="Arial" w:cs="Arial"/>
          <w:b/>
          <w:sz w:val="28"/>
          <w:szCs w:val="28"/>
          <w:lang w:eastAsia="en-GB" w:bidi="bn-BD"/>
        </w:rPr>
        <w:t xml:space="preserve"> </w:t>
      </w:r>
      <w:proofErr w:type="spellStart"/>
      <w:r w:rsidR="00404B63">
        <w:rPr>
          <w:rFonts w:ascii="Arial" w:eastAsia="Times New Roman" w:hAnsi="Arial" w:cs="Arial"/>
          <w:b/>
          <w:sz w:val="28"/>
          <w:szCs w:val="28"/>
          <w:lang w:eastAsia="en-GB" w:bidi="bn-BD"/>
        </w:rPr>
        <w:t>Aseiqur</w:t>
      </w:r>
      <w:proofErr w:type="spellEnd"/>
      <w:r w:rsidR="00404B63">
        <w:rPr>
          <w:rFonts w:ascii="Arial" w:eastAsia="Times New Roman" w:hAnsi="Arial" w:cs="Arial"/>
          <w:b/>
          <w:sz w:val="28"/>
          <w:szCs w:val="28"/>
          <w:lang w:eastAsia="en-GB" w:bidi="bn-BD"/>
        </w:rPr>
        <w:t xml:space="preserve"> </w:t>
      </w:r>
      <w:proofErr w:type="spellStart"/>
      <w:r w:rsidR="00404B63">
        <w:rPr>
          <w:rFonts w:ascii="Arial" w:eastAsia="Times New Roman" w:hAnsi="Arial" w:cs="Arial"/>
          <w:b/>
          <w:sz w:val="28"/>
          <w:szCs w:val="28"/>
          <w:lang w:eastAsia="en-GB" w:bidi="bn-BD"/>
        </w:rPr>
        <w:t>R</w:t>
      </w:r>
      <w:r w:rsidR="00404B63" w:rsidRPr="00E12C12">
        <w:rPr>
          <w:rFonts w:ascii="Arial" w:eastAsia="Times New Roman" w:hAnsi="Arial" w:cs="Arial"/>
          <w:b/>
          <w:sz w:val="28"/>
          <w:szCs w:val="28"/>
          <w:lang w:eastAsia="en-GB" w:bidi="bn-BD"/>
        </w:rPr>
        <w:t>ahaman</w:t>
      </w:r>
      <w:proofErr w:type="spellEnd"/>
    </w:p>
    <w:p w14:paraId="49C65F32" w14:textId="47B6DF45" w:rsidR="00574AF4" w:rsidRPr="00574AF4" w:rsidRDefault="00574AF4" w:rsidP="00574AF4">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E12C12" w:rsidRPr="00E12C12">
        <w:rPr>
          <w:rFonts w:ascii="Arial" w:eastAsia="Times New Roman" w:hAnsi="Arial" w:cs="Arial"/>
          <w:b/>
          <w:sz w:val="28"/>
          <w:szCs w:val="28"/>
          <w:lang w:eastAsia="en-GB" w:bidi="bn-BD"/>
        </w:rPr>
        <w:t>2524402</w:t>
      </w:r>
    </w:p>
    <w:p w14:paraId="301B8191" w14:textId="374FE7DF" w:rsidR="006A30E4" w:rsidRDefault="006A30E4" w:rsidP="008C315F">
      <w:pPr>
        <w:widowControl w:val="0"/>
        <w:spacing w:after="0" w:line="360" w:lineRule="auto"/>
        <w:jc w:val="center"/>
        <w:rPr>
          <w:rFonts w:ascii="Arial" w:hAnsi="Arial" w:cs="Arial"/>
          <w:b/>
          <w:sz w:val="28"/>
          <w:szCs w:val="28"/>
        </w:rPr>
      </w:pPr>
    </w:p>
    <w:p w14:paraId="0F7F2C8F" w14:textId="77777777" w:rsidR="00491D11" w:rsidRDefault="00491D11"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6B91AADF" w14:textId="1A4C6290" w:rsidR="008C315F" w:rsidRDefault="008C315F" w:rsidP="008C315F">
      <w:pPr>
        <w:jc w:val="center"/>
        <w:rPr>
          <w:rFonts w:ascii="Arial" w:eastAsia="Times New Roman" w:hAnsi="Arial" w:cs="Arial"/>
          <w:b/>
          <w:lang w:eastAsia="en-GB"/>
        </w:rPr>
      </w:pPr>
    </w:p>
    <w:p w14:paraId="7F6DF904" w14:textId="77777777" w:rsidR="008F0D4B" w:rsidRPr="00EB6FE2" w:rsidRDefault="008F0D4B" w:rsidP="008C315F">
      <w:pPr>
        <w:jc w:val="center"/>
        <w:rPr>
          <w:rFonts w:ascii="Arial" w:eastAsia="Times New Roman" w:hAnsi="Arial" w:cs="Arial"/>
          <w:b/>
          <w:lang w:eastAsia="en-GB"/>
        </w:rPr>
      </w:pPr>
    </w:p>
    <w:p w14:paraId="19AA621A" w14:textId="2455AD55"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rPr>
      </w:sdtEndPr>
      <w:sdtContent>
        <w:p w14:paraId="0D9A9F72" w14:textId="39C43D53" w:rsidR="001A5555" w:rsidRPr="008955ED" w:rsidRDefault="001A5555" w:rsidP="004F16F8">
          <w:pPr>
            <w:pStyle w:val="TOCHeading"/>
            <w:jc w:val="center"/>
            <w:rPr>
              <w:rFonts w:cs="Arial"/>
              <w:b w:val="0"/>
              <w:color w:val="auto"/>
              <w:sz w:val="24"/>
              <w:szCs w:val="24"/>
            </w:rPr>
          </w:pPr>
          <w:r w:rsidRPr="008955ED">
            <w:rPr>
              <w:rFonts w:cs="Arial"/>
              <w:color w:val="auto"/>
              <w:sz w:val="24"/>
              <w:szCs w:val="24"/>
            </w:rPr>
            <w:t>Contents</w:t>
          </w:r>
        </w:p>
        <w:p w14:paraId="5614FC77" w14:textId="5C6A5FBC" w:rsidR="00356EC7" w:rsidRPr="00356EC7" w:rsidRDefault="001A5555">
          <w:pPr>
            <w:pStyle w:val="TOC1"/>
            <w:tabs>
              <w:tab w:val="right" w:leader="dot" w:pos="9350"/>
            </w:tabs>
            <w:rPr>
              <w:rFonts w:ascii="Arial" w:eastAsiaTheme="minorEastAsia" w:hAnsi="Arial" w:cs="Arial"/>
              <w:noProof/>
              <w:sz w:val="24"/>
              <w:lang w:eastAsia="en-GB"/>
            </w:rPr>
          </w:pPr>
          <w:r w:rsidRPr="008955ED">
            <w:rPr>
              <w:rFonts w:ascii="Arial" w:hAnsi="Arial" w:cs="Arial"/>
              <w:sz w:val="24"/>
              <w:szCs w:val="24"/>
            </w:rPr>
            <w:fldChar w:fldCharType="begin"/>
          </w:r>
          <w:r w:rsidRPr="008955ED">
            <w:rPr>
              <w:rFonts w:ascii="Arial" w:hAnsi="Arial" w:cs="Arial"/>
              <w:sz w:val="24"/>
              <w:szCs w:val="24"/>
            </w:rPr>
            <w:instrText xml:space="preserve"> TOC \o "1-3" \h \z \u </w:instrText>
          </w:r>
          <w:r w:rsidRPr="008955ED">
            <w:rPr>
              <w:rFonts w:ascii="Arial" w:hAnsi="Arial" w:cs="Arial"/>
              <w:sz w:val="24"/>
              <w:szCs w:val="24"/>
            </w:rPr>
            <w:fldChar w:fldCharType="separate"/>
          </w:r>
          <w:hyperlink w:anchor="_Toc234623597" w:history="1">
            <w:r w:rsidR="00356EC7" w:rsidRPr="00356EC7">
              <w:rPr>
                <w:rStyle w:val="Hyperlink"/>
                <w:rFonts w:ascii="Arial" w:hAnsi="Arial" w:cs="Arial"/>
                <w:noProof/>
                <w:sz w:val="24"/>
                <w:lang w:eastAsia="en-GB"/>
              </w:rPr>
              <w:t>Blog 1: The Impact of the NHS App on Digital Health Promotion</w:t>
            </w:r>
            <w:r w:rsidR="00356EC7" w:rsidRPr="00356EC7">
              <w:rPr>
                <w:rFonts w:ascii="Arial" w:hAnsi="Arial" w:cs="Arial"/>
                <w:noProof/>
                <w:webHidden/>
                <w:sz w:val="24"/>
              </w:rPr>
              <w:tab/>
            </w:r>
            <w:r w:rsidR="00356EC7" w:rsidRPr="00356EC7">
              <w:rPr>
                <w:rFonts w:ascii="Arial" w:hAnsi="Arial" w:cs="Arial"/>
                <w:noProof/>
                <w:webHidden/>
                <w:sz w:val="24"/>
              </w:rPr>
              <w:fldChar w:fldCharType="begin"/>
            </w:r>
            <w:r w:rsidR="00356EC7" w:rsidRPr="00356EC7">
              <w:rPr>
                <w:rFonts w:ascii="Arial" w:hAnsi="Arial" w:cs="Arial"/>
                <w:noProof/>
                <w:webHidden/>
                <w:sz w:val="24"/>
              </w:rPr>
              <w:instrText xml:space="preserve"> PAGEREF _Toc234623597 \h </w:instrText>
            </w:r>
            <w:r w:rsidR="00356EC7" w:rsidRPr="00356EC7">
              <w:rPr>
                <w:rFonts w:ascii="Arial" w:hAnsi="Arial" w:cs="Arial"/>
                <w:noProof/>
                <w:webHidden/>
                <w:sz w:val="24"/>
              </w:rPr>
            </w:r>
            <w:r w:rsidR="00356EC7" w:rsidRPr="00356EC7">
              <w:rPr>
                <w:rFonts w:ascii="Arial" w:hAnsi="Arial" w:cs="Arial"/>
                <w:noProof/>
                <w:webHidden/>
                <w:sz w:val="24"/>
              </w:rPr>
              <w:fldChar w:fldCharType="separate"/>
            </w:r>
            <w:r w:rsidR="00356EC7" w:rsidRPr="00356EC7">
              <w:rPr>
                <w:rFonts w:ascii="Arial" w:hAnsi="Arial" w:cs="Arial"/>
                <w:noProof/>
                <w:webHidden/>
                <w:sz w:val="24"/>
              </w:rPr>
              <w:t>1</w:t>
            </w:r>
            <w:r w:rsidR="00356EC7" w:rsidRPr="00356EC7">
              <w:rPr>
                <w:rFonts w:ascii="Arial" w:hAnsi="Arial" w:cs="Arial"/>
                <w:noProof/>
                <w:webHidden/>
                <w:sz w:val="24"/>
              </w:rPr>
              <w:fldChar w:fldCharType="end"/>
            </w:r>
          </w:hyperlink>
        </w:p>
        <w:p w14:paraId="7E263C91" w14:textId="79BE8753" w:rsidR="00356EC7" w:rsidRPr="00356EC7" w:rsidRDefault="00B97B81">
          <w:pPr>
            <w:pStyle w:val="TOC2"/>
            <w:tabs>
              <w:tab w:val="right" w:leader="dot" w:pos="9350"/>
            </w:tabs>
            <w:rPr>
              <w:rFonts w:ascii="Arial" w:eastAsiaTheme="minorEastAsia" w:hAnsi="Arial" w:cs="Arial"/>
              <w:noProof/>
              <w:sz w:val="24"/>
              <w:lang w:eastAsia="en-GB"/>
            </w:rPr>
          </w:pPr>
          <w:hyperlink w:anchor="_Toc234623598" w:history="1">
            <w:r w:rsidR="00356EC7" w:rsidRPr="00356EC7">
              <w:rPr>
                <w:rStyle w:val="Hyperlink"/>
                <w:rFonts w:ascii="Arial" w:hAnsi="Arial" w:cs="Arial"/>
                <w:noProof/>
                <w:sz w:val="24"/>
                <w:lang w:eastAsia="en-GB"/>
              </w:rPr>
              <w:t>Can Digital Technology Improve Public Health?</w:t>
            </w:r>
            <w:r w:rsidR="00356EC7" w:rsidRPr="00356EC7">
              <w:rPr>
                <w:rFonts w:ascii="Arial" w:hAnsi="Arial" w:cs="Arial"/>
                <w:noProof/>
                <w:webHidden/>
                <w:sz w:val="24"/>
              </w:rPr>
              <w:tab/>
            </w:r>
            <w:r w:rsidR="00356EC7" w:rsidRPr="00356EC7">
              <w:rPr>
                <w:rFonts w:ascii="Arial" w:hAnsi="Arial" w:cs="Arial"/>
                <w:noProof/>
                <w:webHidden/>
                <w:sz w:val="24"/>
              </w:rPr>
              <w:fldChar w:fldCharType="begin"/>
            </w:r>
            <w:r w:rsidR="00356EC7" w:rsidRPr="00356EC7">
              <w:rPr>
                <w:rFonts w:ascii="Arial" w:hAnsi="Arial" w:cs="Arial"/>
                <w:noProof/>
                <w:webHidden/>
                <w:sz w:val="24"/>
              </w:rPr>
              <w:instrText xml:space="preserve"> PAGEREF _Toc234623598 \h </w:instrText>
            </w:r>
            <w:r w:rsidR="00356EC7" w:rsidRPr="00356EC7">
              <w:rPr>
                <w:rFonts w:ascii="Arial" w:hAnsi="Arial" w:cs="Arial"/>
                <w:noProof/>
                <w:webHidden/>
                <w:sz w:val="24"/>
              </w:rPr>
            </w:r>
            <w:r w:rsidR="00356EC7" w:rsidRPr="00356EC7">
              <w:rPr>
                <w:rFonts w:ascii="Arial" w:hAnsi="Arial" w:cs="Arial"/>
                <w:noProof/>
                <w:webHidden/>
                <w:sz w:val="24"/>
              </w:rPr>
              <w:fldChar w:fldCharType="separate"/>
            </w:r>
            <w:r w:rsidR="00356EC7" w:rsidRPr="00356EC7">
              <w:rPr>
                <w:rFonts w:ascii="Arial" w:hAnsi="Arial" w:cs="Arial"/>
                <w:noProof/>
                <w:webHidden/>
                <w:sz w:val="24"/>
              </w:rPr>
              <w:t>1</w:t>
            </w:r>
            <w:r w:rsidR="00356EC7" w:rsidRPr="00356EC7">
              <w:rPr>
                <w:rFonts w:ascii="Arial" w:hAnsi="Arial" w:cs="Arial"/>
                <w:noProof/>
                <w:webHidden/>
                <w:sz w:val="24"/>
              </w:rPr>
              <w:fldChar w:fldCharType="end"/>
            </w:r>
          </w:hyperlink>
        </w:p>
        <w:p w14:paraId="1BEE70A0" w14:textId="741C632E" w:rsidR="00356EC7" w:rsidRPr="00356EC7" w:rsidRDefault="00B97B81">
          <w:pPr>
            <w:pStyle w:val="TOC1"/>
            <w:tabs>
              <w:tab w:val="right" w:leader="dot" w:pos="9350"/>
            </w:tabs>
            <w:rPr>
              <w:rFonts w:ascii="Arial" w:eastAsiaTheme="minorEastAsia" w:hAnsi="Arial" w:cs="Arial"/>
              <w:noProof/>
              <w:sz w:val="24"/>
              <w:lang w:eastAsia="en-GB"/>
            </w:rPr>
          </w:pPr>
          <w:hyperlink w:anchor="_Toc234623599" w:history="1">
            <w:r w:rsidR="00356EC7" w:rsidRPr="00356EC7">
              <w:rPr>
                <w:rStyle w:val="Hyperlink"/>
                <w:rFonts w:ascii="Arial" w:hAnsi="Arial" w:cs="Arial"/>
                <w:noProof/>
                <w:sz w:val="24"/>
              </w:rPr>
              <w:t>References</w:t>
            </w:r>
            <w:r w:rsidR="00356EC7" w:rsidRPr="00356EC7">
              <w:rPr>
                <w:rFonts w:ascii="Arial" w:hAnsi="Arial" w:cs="Arial"/>
                <w:noProof/>
                <w:webHidden/>
                <w:sz w:val="24"/>
              </w:rPr>
              <w:tab/>
            </w:r>
            <w:r w:rsidR="00356EC7" w:rsidRPr="00356EC7">
              <w:rPr>
                <w:rFonts w:ascii="Arial" w:hAnsi="Arial" w:cs="Arial"/>
                <w:noProof/>
                <w:webHidden/>
                <w:sz w:val="24"/>
              </w:rPr>
              <w:fldChar w:fldCharType="begin"/>
            </w:r>
            <w:r w:rsidR="00356EC7" w:rsidRPr="00356EC7">
              <w:rPr>
                <w:rFonts w:ascii="Arial" w:hAnsi="Arial" w:cs="Arial"/>
                <w:noProof/>
                <w:webHidden/>
                <w:sz w:val="24"/>
              </w:rPr>
              <w:instrText xml:space="preserve"> PAGEREF _Toc234623599 \h </w:instrText>
            </w:r>
            <w:r w:rsidR="00356EC7" w:rsidRPr="00356EC7">
              <w:rPr>
                <w:rFonts w:ascii="Arial" w:hAnsi="Arial" w:cs="Arial"/>
                <w:noProof/>
                <w:webHidden/>
                <w:sz w:val="24"/>
              </w:rPr>
            </w:r>
            <w:r w:rsidR="00356EC7" w:rsidRPr="00356EC7">
              <w:rPr>
                <w:rFonts w:ascii="Arial" w:hAnsi="Arial" w:cs="Arial"/>
                <w:noProof/>
                <w:webHidden/>
                <w:sz w:val="24"/>
              </w:rPr>
              <w:fldChar w:fldCharType="separate"/>
            </w:r>
            <w:r w:rsidR="00356EC7" w:rsidRPr="00356EC7">
              <w:rPr>
                <w:rFonts w:ascii="Arial" w:hAnsi="Arial" w:cs="Arial"/>
                <w:noProof/>
                <w:webHidden/>
                <w:sz w:val="24"/>
              </w:rPr>
              <w:t>3</w:t>
            </w:r>
            <w:r w:rsidR="00356EC7" w:rsidRPr="00356EC7">
              <w:rPr>
                <w:rFonts w:ascii="Arial" w:hAnsi="Arial" w:cs="Arial"/>
                <w:noProof/>
                <w:webHidden/>
                <w:sz w:val="24"/>
              </w:rPr>
              <w:fldChar w:fldCharType="end"/>
            </w:r>
          </w:hyperlink>
        </w:p>
        <w:p w14:paraId="25637DF9" w14:textId="290324A9" w:rsidR="00356EC7" w:rsidRPr="00356EC7" w:rsidRDefault="00B97B81">
          <w:pPr>
            <w:pStyle w:val="TOC1"/>
            <w:tabs>
              <w:tab w:val="right" w:leader="dot" w:pos="9350"/>
            </w:tabs>
            <w:rPr>
              <w:rFonts w:ascii="Arial" w:eastAsiaTheme="minorEastAsia" w:hAnsi="Arial" w:cs="Arial"/>
              <w:noProof/>
              <w:sz w:val="24"/>
              <w:lang w:eastAsia="en-GB"/>
            </w:rPr>
          </w:pPr>
          <w:hyperlink w:anchor="_Toc234623600" w:history="1">
            <w:r w:rsidR="00356EC7" w:rsidRPr="00356EC7">
              <w:rPr>
                <w:rStyle w:val="Hyperlink"/>
                <w:rFonts w:ascii="Arial" w:hAnsi="Arial" w:cs="Arial"/>
                <w:noProof/>
                <w:sz w:val="24"/>
              </w:rPr>
              <w:t>Blog 2: Health Connect AI – A Personalised Digital Health Promotion Platform for Preventing Obesity and Type 2 Diabetes</w:t>
            </w:r>
            <w:r w:rsidR="00356EC7" w:rsidRPr="00356EC7">
              <w:rPr>
                <w:rFonts w:ascii="Arial" w:hAnsi="Arial" w:cs="Arial"/>
                <w:noProof/>
                <w:webHidden/>
                <w:sz w:val="24"/>
              </w:rPr>
              <w:tab/>
            </w:r>
            <w:r w:rsidR="00356EC7" w:rsidRPr="00356EC7">
              <w:rPr>
                <w:rFonts w:ascii="Arial" w:hAnsi="Arial" w:cs="Arial"/>
                <w:noProof/>
                <w:webHidden/>
                <w:sz w:val="24"/>
              </w:rPr>
              <w:fldChar w:fldCharType="begin"/>
            </w:r>
            <w:r w:rsidR="00356EC7" w:rsidRPr="00356EC7">
              <w:rPr>
                <w:rFonts w:ascii="Arial" w:hAnsi="Arial" w:cs="Arial"/>
                <w:noProof/>
                <w:webHidden/>
                <w:sz w:val="24"/>
              </w:rPr>
              <w:instrText xml:space="preserve"> PAGEREF _Toc234623600 \h </w:instrText>
            </w:r>
            <w:r w:rsidR="00356EC7" w:rsidRPr="00356EC7">
              <w:rPr>
                <w:rFonts w:ascii="Arial" w:hAnsi="Arial" w:cs="Arial"/>
                <w:noProof/>
                <w:webHidden/>
                <w:sz w:val="24"/>
              </w:rPr>
            </w:r>
            <w:r w:rsidR="00356EC7" w:rsidRPr="00356EC7">
              <w:rPr>
                <w:rFonts w:ascii="Arial" w:hAnsi="Arial" w:cs="Arial"/>
                <w:noProof/>
                <w:webHidden/>
                <w:sz w:val="24"/>
              </w:rPr>
              <w:fldChar w:fldCharType="separate"/>
            </w:r>
            <w:r w:rsidR="00356EC7" w:rsidRPr="00356EC7">
              <w:rPr>
                <w:rFonts w:ascii="Arial" w:hAnsi="Arial" w:cs="Arial"/>
                <w:noProof/>
                <w:webHidden/>
                <w:sz w:val="24"/>
              </w:rPr>
              <w:t>4</w:t>
            </w:r>
            <w:r w:rsidR="00356EC7" w:rsidRPr="00356EC7">
              <w:rPr>
                <w:rFonts w:ascii="Arial" w:hAnsi="Arial" w:cs="Arial"/>
                <w:noProof/>
                <w:webHidden/>
                <w:sz w:val="24"/>
              </w:rPr>
              <w:fldChar w:fldCharType="end"/>
            </w:r>
          </w:hyperlink>
        </w:p>
        <w:p w14:paraId="74E476BF" w14:textId="1E34D53E" w:rsidR="00356EC7" w:rsidRDefault="00B97B81">
          <w:pPr>
            <w:pStyle w:val="TOC1"/>
            <w:tabs>
              <w:tab w:val="right" w:leader="dot" w:pos="9350"/>
            </w:tabs>
            <w:rPr>
              <w:rFonts w:eastAsiaTheme="minorEastAsia"/>
              <w:noProof/>
              <w:lang w:eastAsia="en-GB"/>
            </w:rPr>
          </w:pPr>
          <w:hyperlink w:anchor="_Toc234623601" w:history="1">
            <w:r w:rsidR="00356EC7" w:rsidRPr="00356EC7">
              <w:rPr>
                <w:rStyle w:val="Hyperlink"/>
                <w:rFonts w:ascii="Arial" w:hAnsi="Arial" w:cs="Arial"/>
                <w:noProof/>
                <w:sz w:val="24"/>
              </w:rPr>
              <w:t>Reference</w:t>
            </w:r>
            <w:r w:rsidR="00356EC7" w:rsidRPr="00356EC7">
              <w:rPr>
                <w:rFonts w:ascii="Arial" w:hAnsi="Arial" w:cs="Arial"/>
                <w:noProof/>
                <w:webHidden/>
                <w:sz w:val="24"/>
              </w:rPr>
              <w:tab/>
            </w:r>
            <w:r w:rsidR="00356EC7" w:rsidRPr="00356EC7">
              <w:rPr>
                <w:rFonts w:ascii="Arial" w:hAnsi="Arial" w:cs="Arial"/>
                <w:noProof/>
                <w:webHidden/>
                <w:sz w:val="24"/>
              </w:rPr>
              <w:fldChar w:fldCharType="begin"/>
            </w:r>
            <w:r w:rsidR="00356EC7" w:rsidRPr="00356EC7">
              <w:rPr>
                <w:rFonts w:ascii="Arial" w:hAnsi="Arial" w:cs="Arial"/>
                <w:noProof/>
                <w:webHidden/>
                <w:sz w:val="24"/>
              </w:rPr>
              <w:instrText xml:space="preserve"> PAGEREF _Toc234623601 \h </w:instrText>
            </w:r>
            <w:r w:rsidR="00356EC7" w:rsidRPr="00356EC7">
              <w:rPr>
                <w:rFonts w:ascii="Arial" w:hAnsi="Arial" w:cs="Arial"/>
                <w:noProof/>
                <w:webHidden/>
                <w:sz w:val="24"/>
              </w:rPr>
            </w:r>
            <w:r w:rsidR="00356EC7" w:rsidRPr="00356EC7">
              <w:rPr>
                <w:rFonts w:ascii="Arial" w:hAnsi="Arial" w:cs="Arial"/>
                <w:noProof/>
                <w:webHidden/>
                <w:sz w:val="24"/>
              </w:rPr>
              <w:fldChar w:fldCharType="separate"/>
            </w:r>
            <w:r w:rsidR="00356EC7" w:rsidRPr="00356EC7">
              <w:rPr>
                <w:rFonts w:ascii="Arial" w:hAnsi="Arial" w:cs="Arial"/>
                <w:noProof/>
                <w:webHidden/>
                <w:sz w:val="24"/>
              </w:rPr>
              <w:t>6</w:t>
            </w:r>
            <w:r w:rsidR="00356EC7" w:rsidRPr="00356EC7">
              <w:rPr>
                <w:rFonts w:ascii="Arial" w:hAnsi="Arial" w:cs="Arial"/>
                <w:noProof/>
                <w:webHidden/>
                <w:sz w:val="24"/>
              </w:rPr>
              <w:fldChar w:fldCharType="end"/>
            </w:r>
          </w:hyperlink>
        </w:p>
        <w:p w14:paraId="4C00B1E2" w14:textId="0B6FAB8D" w:rsidR="00DB4FAD" w:rsidRDefault="001A5555" w:rsidP="00316464">
          <w:pPr>
            <w:spacing w:line="360" w:lineRule="auto"/>
            <w:jc w:val="both"/>
            <w:rPr>
              <w:rFonts w:ascii="Arial" w:hAnsi="Arial" w:cs="Arial"/>
            </w:rPr>
          </w:pPr>
          <w:r w:rsidRPr="008955ED">
            <w:rPr>
              <w:rFonts w:ascii="Arial" w:hAnsi="Arial" w:cs="Arial"/>
              <w:b/>
              <w:bCs/>
              <w:noProof/>
              <w:sz w:val="24"/>
              <w:szCs w:val="24"/>
            </w:rPr>
            <w:fldChar w:fldCharType="end"/>
          </w:r>
        </w:p>
      </w:sdtContent>
    </w:sdt>
    <w:p w14:paraId="2CBA6FD1" w14:textId="540EC97B" w:rsidR="00DB4FAD" w:rsidRDefault="00DB4FAD" w:rsidP="00DB4FAD">
      <w:pPr>
        <w:rPr>
          <w:rFonts w:ascii="Arial" w:hAnsi="Arial" w:cs="Arial"/>
        </w:rPr>
      </w:pPr>
    </w:p>
    <w:p w14:paraId="56544FEB" w14:textId="3C530E23" w:rsidR="00045271" w:rsidRDefault="00045271" w:rsidP="00DB4FAD">
      <w:pPr>
        <w:rPr>
          <w:rFonts w:ascii="Arial" w:hAnsi="Arial" w:cs="Arial"/>
        </w:rPr>
      </w:pPr>
    </w:p>
    <w:p w14:paraId="5952342C" w14:textId="720914E5" w:rsidR="00045271" w:rsidRDefault="00045271" w:rsidP="00DB4FAD">
      <w:pPr>
        <w:rPr>
          <w:rFonts w:ascii="Arial" w:hAnsi="Arial" w:cs="Arial"/>
        </w:rPr>
      </w:pPr>
    </w:p>
    <w:p w14:paraId="6173873B" w14:textId="17F0E8DC" w:rsidR="00045271" w:rsidRDefault="00045271" w:rsidP="00DB4FAD">
      <w:pPr>
        <w:rPr>
          <w:rFonts w:ascii="Arial" w:hAnsi="Arial" w:cs="Arial"/>
        </w:rPr>
      </w:pPr>
    </w:p>
    <w:p w14:paraId="1022077B" w14:textId="77777777" w:rsidR="00045271" w:rsidRDefault="00045271" w:rsidP="00DB4FAD">
      <w:pPr>
        <w:rPr>
          <w:rFonts w:ascii="Arial" w:hAnsi="Arial" w:cs="Arial"/>
        </w:rPr>
      </w:pPr>
    </w:p>
    <w:p w14:paraId="4C5D3B45" w14:textId="51E3B27C" w:rsidR="001A5555" w:rsidRPr="00DB4FAD" w:rsidRDefault="001A5555" w:rsidP="00DB4FAD">
      <w:pPr>
        <w:rPr>
          <w:rFonts w:ascii="Arial" w:hAnsi="Arial" w:cs="Arial"/>
        </w:rPr>
        <w:sectPr w:rsidR="001A5555" w:rsidRPr="00DB4FAD" w:rsidSect="001A5555">
          <w:footerReference w:type="default" r:id="rId9"/>
          <w:pgSz w:w="12240" w:h="15840"/>
          <w:pgMar w:top="1440" w:right="1440" w:bottom="1440" w:left="1440" w:header="720" w:footer="720" w:gutter="0"/>
          <w:pgNumType w:fmt="lowerRoman"/>
          <w:cols w:space="720"/>
        </w:sectPr>
      </w:pPr>
    </w:p>
    <w:p w14:paraId="6AC705A1" w14:textId="77777777" w:rsidR="00392548" w:rsidRPr="00F3259F" w:rsidRDefault="00392548" w:rsidP="00BA7E52">
      <w:pPr>
        <w:pStyle w:val="Heading1"/>
        <w:jc w:val="center"/>
        <w:rPr>
          <w:lang w:eastAsia="en-GB"/>
        </w:rPr>
      </w:pPr>
      <w:bookmarkStart w:id="0" w:name="_Toc234623597"/>
      <w:bookmarkStart w:id="1" w:name="_4wxmkwmd022q" w:colFirst="0" w:colLast="0"/>
      <w:bookmarkEnd w:id="1"/>
      <w:r w:rsidRPr="00F3259F">
        <w:rPr>
          <w:lang w:eastAsia="en-GB"/>
        </w:rPr>
        <w:lastRenderedPageBreak/>
        <w:t>Blog 1: The Impact of the NHS App on Digital Health Promotion</w:t>
      </w:r>
      <w:bookmarkEnd w:id="0"/>
    </w:p>
    <w:p w14:paraId="79A2CD1E" w14:textId="1D260A1B" w:rsidR="00392548" w:rsidRPr="00F3259F" w:rsidRDefault="00392548" w:rsidP="00BA7E52">
      <w:pPr>
        <w:pStyle w:val="Heading2"/>
        <w:rPr>
          <w:lang w:eastAsia="en-GB"/>
        </w:rPr>
      </w:pPr>
      <w:bookmarkStart w:id="2" w:name="_Toc234623598"/>
      <w:r w:rsidRPr="00F3259F">
        <w:rPr>
          <w:lang w:eastAsia="en-GB"/>
        </w:rPr>
        <w:t>Can Digital Technology Improve Public Health?</w:t>
      </w:r>
      <w:bookmarkEnd w:id="2"/>
    </w:p>
    <w:p w14:paraId="4F64EA6C" w14:textId="49C896FC" w:rsidR="00B51550" w:rsidRDefault="00B51550" w:rsidP="00B51550">
      <w:pPr>
        <w:spacing w:before="240" w:after="240" w:line="360" w:lineRule="auto"/>
        <w:jc w:val="both"/>
        <w:rPr>
          <w:rFonts w:ascii="Arial" w:hAnsi="Arial" w:cs="Arial"/>
          <w:sz w:val="24"/>
          <w:lang w:eastAsia="en-GB"/>
        </w:rPr>
      </w:pPr>
      <w:r w:rsidRPr="00B51550">
        <w:rPr>
          <w:rFonts w:ascii="Arial" w:hAnsi="Arial" w:cs="Arial"/>
          <w:sz w:val="24"/>
          <w:lang w:eastAsia="en-GB"/>
        </w:rPr>
        <w:t xml:space="preserve">Digital health technologies are rapidly changing how health and healthcare are provided and how people take care of themselves. A significant public health issue in the United Kingdom is the growing incidence of non-communicable diseases (NCDs), such as obesity, type 2 diabetes, cardiovascular diseases and chronic respiratory diseases. The World Health Organization (WHO) estimated that NCDs are responsible for around 43 million deaths each year, over 75% of all non-pandemic deaths in the world (WHO, 2024). Chronic conditions are more likely to be higher due to higher rates of overweight and obesity in adults in England (NHS England, 2024), around 64% of adults in England are overweight or obese. These circumstances can affect quality of life, healthcare costs and put a significant strain on the National Health Service (NHS). </w:t>
      </w:r>
    </w:p>
    <w:p w14:paraId="2B89D396" w14:textId="3FE4E30E" w:rsidR="001042CB" w:rsidRDefault="001042CB" w:rsidP="001042CB">
      <w:pPr>
        <w:spacing w:before="240" w:after="240" w:line="360" w:lineRule="auto"/>
        <w:jc w:val="center"/>
        <w:rPr>
          <w:rFonts w:ascii="Arial" w:hAnsi="Arial" w:cs="Arial"/>
          <w:noProof/>
          <w:sz w:val="24"/>
          <w:lang w:eastAsia="en-GB"/>
        </w:rPr>
      </w:pPr>
      <w:r w:rsidRPr="001042CB">
        <w:rPr>
          <w:rFonts w:ascii="Arial" w:hAnsi="Arial" w:cs="Arial"/>
          <w:noProof/>
          <w:sz w:val="24"/>
          <w:lang w:eastAsia="en-GB"/>
        </w:rPr>
        <w:drawing>
          <wp:inline distT="0" distB="0" distL="0" distR="0" wp14:anchorId="4AE75458" wp14:editId="279BA004">
            <wp:extent cx="3381375" cy="2254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718_15364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1375" cy="2254250"/>
                    </a:xfrm>
                    <a:prstGeom prst="rect">
                      <a:avLst/>
                    </a:prstGeom>
                  </pic:spPr>
                </pic:pic>
              </a:graphicData>
            </a:graphic>
          </wp:inline>
        </w:drawing>
      </w:r>
      <w:r w:rsidRPr="001042CB">
        <w:rPr>
          <w:rFonts w:ascii="Arial" w:hAnsi="Arial" w:cs="Arial"/>
          <w:noProof/>
          <w:sz w:val="24"/>
          <w:lang w:eastAsia="en-GB"/>
        </w:rPr>
        <w:t>5)</w:t>
      </w:r>
    </w:p>
    <w:p w14:paraId="484C108D" w14:textId="3B5EE4AA" w:rsidR="001042CB" w:rsidRPr="001042CB" w:rsidRDefault="001042CB" w:rsidP="001042CB">
      <w:pPr>
        <w:pStyle w:val="Caption"/>
        <w:rPr>
          <w:lang w:eastAsia="en-GB"/>
        </w:rPr>
      </w:pPr>
      <w:r w:rsidRPr="001042CB">
        <w:rPr>
          <w:lang w:eastAsia="en-GB"/>
        </w:rPr>
        <w:t>Figure 1. The NHS App provides access to appointments, prescriptions, medical records, and trusted health information. (e.g., NHS England, 2025)</w:t>
      </w:r>
    </w:p>
    <w:p w14:paraId="6D8212DD" w14:textId="77777777" w:rsidR="00B51550" w:rsidRPr="00B51550" w:rsidRDefault="00B51550" w:rsidP="00B51550">
      <w:pPr>
        <w:spacing w:before="240" w:after="240" w:line="360" w:lineRule="auto"/>
        <w:jc w:val="both"/>
        <w:rPr>
          <w:rFonts w:ascii="Arial" w:hAnsi="Arial" w:cs="Arial"/>
          <w:sz w:val="24"/>
          <w:lang w:eastAsia="en-GB"/>
        </w:rPr>
      </w:pPr>
      <w:r w:rsidRPr="00B51550">
        <w:rPr>
          <w:rFonts w:ascii="Arial" w:hAnsi="Arial" w:cs="Arial"/>
          <w:sz w:val="24"/>
          <w:lang w:eastAsia="en-GB"/>
        </w:rPr>
        <w:t xml:space="preserve">The NHS App is one of the most popular digital health devices in the UK, allowing patients to use their smartphones or tablets to connect with healthcare. The app enables patients to manage GP appointments, make repeat prescriptions, access their medical records, receive screening and vaccination reminders, and access trusted health information (NHS England, 2024). The NHS App facilitates personalised healthcare services and assists </w:t>
      </w:r>
      <w:r w:rsidRPr="00B51550">
        <w:rPr>
          <w:rFonts w:ascii="Arial" w:hAnsi="Arial" w:cs="Arial"/>
          <w:sz w:val="24"/>
          <w:lang w:eastAsia="en-GB"/>
        </w:rPr>
        <w:lastRenderedPageBreak/>
        <w:t>people to better manage their health, thus promoting preventative healthcare. Reminders for things like vaccinations, cancer screening and NHS Health Checks, for instance, can help to get people to engage with preventive programmes and early detection of disease.</w:t>
      </w:r>
    </w:p>
    <w:p w14:paraId="321A9C20" w14:textId="645ECDBB" w:rsidR="00B51550" w:rsidRDefault="00406260" w:rsidP="00B51550">
      <w:pPr>
        <w:spacing w:before="240" w:after="240" w:line="360" w:lineRule="auto"/>
        <w:jc w:val="both"/>
        <w:rPr>
          <w:rFonts w:ascii="Arial" w:hAnsi="Arial" w:cs="Arial"/>
          <w:sz w:val="24"/>
          <w:lang w:eastAsia="en-GB"/>
        </w:rPr>
      </w:pPr>
      <w:r w:rsidRPr="00406260">
        <w:rPr>
          <w:rFonts w:ascii="Arial" w:hAnsi="Arial" w:cs="Arial"/>
          <w:sz w:val="24"/>
          <w:lang w:eastAsia="en-GB"/>
        </w:rPr>
        <w:t xml:space="preserve">Digital technologies such as the NHS App have some evidence of positive impact on health promotion/patient engagement. The WHO Global Strategy on Digital Health states that digital health interventions can be used to improve access to health services, complement health information, and support </w:t>
      </w:r>
      <w:r w:rsidR="00A71BF6" w:rsidRPr="00406260">
        <w:rPr>
          <w:rFonts w:ascii="Arial" w:hAnsi="Arial" w:cs="Arial"/>
          <w:sz w:val="24"/>
          <w:lang w:eastAsia="en-GB"/>
        </w:rPr>
        <w:t>behaviour</w:t>
      </w:r>
      <w:r w:rsidRPr="00406260">
        <w:rPr>
          <w:rFonts w:ascii="Arial" w:hAnsi="Arial" w:cs="Arial"/>
          <w:sz w:val="24"/>
          <w:lang w:eastAsia="en-GB"/>
        </w:rPr>
        <w:t xml:space="preserve"> change by communicating to people in an individualized way and providing reminders at appropriate times (WHO, 2021). Besides, </w:t>
      </w:r>
      <w:proofErr w:type="spellStart"/>
      <w:r w:rsidRPr="00406260">
        <w:rPr>
          <w:rFonts w:ascii="Arial" w:hAnsi="Arial" w:cs="Arial"/>
          <w:sz w:val="24"/>
          <w:lang w:eastAsia="en-GB"/>
        </w:rPr>
        <w:t>Marcolino</w:t>
      </w:r>
      <w:proofErr w:type="spellEnd"/>
      <w:r w:rsidRPr="00406260">
        <w:rPr>
          <w:rFonts w:ascii="Arial" w:hAnsi="Arial" w:cs="Arial"/>
          <w:sz w:val="24"/>
          <w:lang w:eastAsia="en-GB"/>
        </w:rPr>
        <w:t xml:space="preserve"> et al. (2018) performed a systematic review and concluded that mobile health apps have proven to positively influence medication adherence, self-management of diseases and empowerment of patients </w:t>
      </w:r>
      <w:r>
        <w:rPr>
          <w:rFonts w:ascii="Arial" w:hAnsi="Arial" w:cs="Arial"/>
          <w:sz w:val="24"/>
          <w:lang w:eastAsia="en-GB"/>
        </w:rPr>
        <w:t>suffering from chronic diseases</w:t>
      </w:r>
      <w:r w:rsidR="00B51550" w:rsidRPr="00B51550">
        <w:rPr>
          <w:rFonts w:ascii="Arial" w:hAnsi="Arial" w:cs="Arial"/>
          <w:sz w:val="24"/>
          <w:lang w:eastAsia="en-GB"/>
        </w:rPr>
        <w:t xml:space="preserve">. </w:t>
      </w:r>
    </w:p>
    <w:p w14:paraId="24077DB7" w14:textId="29CFB360" w:rsidR="00042FE9" w:rsidRDefault="00042FE9" w:rsidP="00042FE9">
      <w:pPr>
        <w:spacing w:before="240" w:after="240" w:line="360" w:lineRule="auto"/>
        <w:jc w:val="center"/>
        <w:rPr>
          <w:rFonts w:ascii="Arial" w:hAnsi="Arial" w:cs="Arial"/>
          <w:sz w:val="24"/>
          <w:lang w:eastAsia="en-GB"/>
        </w:rPr>
      </w:pPr>
      <w:r>
        <w:rPr>
          <w:rFonts w:ascii="Arial" w:hAnsi="Arial" w:cs="Arial"/>
          <w:noProof/>
          <w:sz w:val="24"/>
          <w:lang w:eastAsia="en-GB"/>
        </w:rPr>
        <w:drawing>
          <wp:inline distT="0" distB="0" distL="0" distR="0" wp14:anchorId="29FB0D0D" wp14:editId="121DDD2A">
            <wp:extent cx="2200275" cy="31115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11">
                      <a:extLst>
                        <a:ext uri="{28A0092B-C50C-407E-A947-70E740481C1C}">
                          <a14:useLocalDpi xmlns:a14="http://schemas.microsoft.com/office/drawing/2010/main" val="0"/>
                        </a:ext>
                      </a:extLst>
                    </a:blip>
                    <a:stretch>
                      <a:fillRect/>
                    </a:stretch>
                  </pic:blipFill>
                  <pic:spPr>
                    <a:xfrm>
                      <a:off x="0" y="0"/>
                      <a:ext cx="2209551" cy="3124666"/>
                    </a:xfrm>
                    <a:prstGeom prst="rect">
                      <a:avLst/>
                    </a:prstGeom>
                  </pic:spPr>
                </pic:pic>
              </a:graphicData>
            </a:graphic>
          </wp:inline>
        </w:drawing>
      </w:r>
    </w:p>
    <w:p w14:paraId="42AD3503" w14:textId="77777777" w:rsidR="00042FE9" w:rsidRPr="00042FE9" w:rsidRDefault="00042FE9" w:rsidP="00042FE9">
      <w:pPr>
        <w:pStyle w:val="Caption"/>
        <w:rPr>
          <w:lang w:eastAsia="en-GB"/>
        </w:rPr>
      </w:pPr>
      <w:r w:rsidRPr="00042FE9">
        <w:rPr>
          <w:lang w:eastAsia="en-GB"/>
        </w:rPr>
        <w:t>Figure 2. Mobile health technologies support patient engagement and self</w:t>
      </w:r>
      <w:r w:rsidRPr="00042FE9">
        <w:rPr>
          <w:rFonts w:ascii="Cambria Math" w:hAnsi="Cambria Math" w:cs="Cambria Math"/>
          <w:lang w:eastAsia="en-GB"/>
        </w:rPr>
        <w:t>‑</w:t>
      </w:r>
      <w:r w:rsidRPr="00042FE9">
        <w:rPr>
          <w:lang w:eastAsia="en-GB"/>
        </w:rPr>
        <w:t xml:space="preserve">management.  </w:t>
      </w:r>
    </w:p>
    <w:p w14:paraId="2021381A" w14:textId="09D783AB" w:rsidR="00042FE9" w:rsidRPr="00B51550" w:rsidRDefault="00042FE9" w:rsidP="00042FE9">
      <w:pPr>
        <w:pStyle w:val="Caption"/>
        <w:rPr>
          <w:lang w:eastAsia="en-GB"/>
        </w:rPr>
      </w:pPr>
      <w:r w:rsidRPr="00042FE9">
        <w:rPr>
          <w:lang w:eastAsia="en-GB"/>
        </w:rPr>
        <w:t>Source: NHS England (2025), “NHS App – Official Screenshots,” NHS Digital Media Library.</w:t>
      </w:r>
    </w:p>
    <w:p w14:paraId="41E44A92" w14:textId="77777777" w:rsidR="00B51550" w:rsidRPr="00B51550" w:rsidRDefault="00B51550" w:rsidP="00B51550">
      <w:pPr>
        <w:spacing w:before="240" w:after="240" w:line="360" w:lineRule="auto"/>
        <w:jc w:val="both"/>
        <w:rPr>
          <w:rFonts w:ascii="Arial" w:hAnsi="Arial" w:cs="Arial"/>
          <w:sz w:val="24"/>
          <w:lang w:eastAsia="en-GB"/>
        </w:rPr>
      </w:pPr>
      <w:r w:rsidRPr="00B51550">
        <w:rPr>
          <w:rFonts w:ascii="Arial" w:hAnsi="Arial" w:cs="Arial"/>
          <w:sz w:val="24"/>
          <w:lang w:eastAsia="en-GB"/>
        </w:rPr>
        <w:t>However, there are some drawbacks to the NHS App. Digital inequality is one of the key issues. Older adults, disabled people, people in deprived communities and those lacking in digital literacy may struggle to access or use digital health services (</w:t>
      </w:r>
      <w:proofErr w:type="spellStart"/>
      <w:r w:rsidRPr="00B51550">
        <w:rPr>
          <w:rFonts w:ascii="Arial" w:hAnsi="Arial" w:cs="Arial"/>
          <w:sz w:val="24"/>
          <w:lang w:eastAsia="en-GB"/>
        </w:rPr>
        <w:t>Topol</w:t>
      </w:r>
      <w:proofErr w:type="spellEnd"/>
      <w:r w:rsidRPr="00B51550">
        <w:rPr>
          <w:rFonts w:ascii="Arial" w:hAnsi="Arial" w:cs="Arial"/>
          <w:sz w:val="24"/>
          <w:lang w:eastAsia="en-GB"/>
        </w:rPr>
        <w:t xml:space="preserve">, 2019). This </w:t>
      </w:r>
      <w:r w:rsidRPr="00B51550">
        <w:rPr>
          <w:rFonts w:ascii="Arial" w:hAnsi="Arial" w:cs="Arial"/>
          <w:sz w:val="24"/>
          <w:lang w:eastAsia="en-GB"/>
        </w:rPr>
        <w:lastRenderedPageBreak/>
        <w:t>could exacerbate health inequalities as a health promotion user may be the least likely to use digital technologies, thus potentially limiting the reach of these interventions to those who could benefit the most. Furthermore, privacy issues, cybersecurity threats, and the safeguarding of health-related data may also hinder consumer confidence in digital health services.</w:t>
      </w:r>
    </w:p>
    <w:p w14:paraId="7108E145" w14:textId="0A944189" w:rsidR="00BB758B" w:rsidRDefault="00B51550" w:rsidP="00B51550">
      <w:pPr>
        <w:spacing w:before="240" w:after="240" w:line="360" w:lineRule="auto"/>
        <w:jc w:val="both"/>
        <w:rPr>
          <w:rFonts w:ascii="Arial" w:hAnsi="Arial" w:cs="Arial"/>
          <w:sz w:val="24"/>
        </w:rPr>
      </w:pPr>
      <w:r w:rsidRPr="00B51550">
        <w:rPr>
          <w:rFonts w:ascii="Arial" w:hAnsi="Arial" w:cs="Arial"/>
          <w:sz w:val="24"/>
          <w:lang w:eastAsia="en-GB"/>
        </w:rPr>
        <w:t>Technological and policy measures can help overcome these weaknesses. Digital health literacy is promoted through community education programmes and tailored training to build confidence and skills to use digital technologies effectively. Increasing access to low cost Internet and making Internet accessible to people with disabilities on digital platforms would also help to minimize digital exclusion. Last, but not least, digital technologies should complement and not supplant face-to-face healthcare services, allowing patients to still receive this when clinically needed. In conclusion, the NHS App is a successful digital health promotion intervention which can improve patient engagement and support disease prevention, but the long-term potential of the intervention within public health must be maximized, with digital equali</w:t>
      </w:r>
      <w:r>
        <w:rPr>
          <w:rFonts w:ascii="Arial" w:hAnsi="Arial" w:cs="Arial"/>
          <w:sz w:val="24"/>
          <w:lang w:eastAsia="en-GB"/>
        </w:rPr>
        <w:t>ty and privacy issues addressed</w:t>
      </w:r>
      <w:r w:rsidR="002C6512" w:rsidRPr="00F3259F">
        <w:rPr>
          <w:rFonts w:ascii="Arial" w:hAnsi="Arial" w:cs="Arial"/>
          <w:sz w:val="24"/>
        </w:rPr>
        <w:t>.</w:t>
      </w:r>
    </w:p>
    <w:p w14:paraId="74A2D9F7" w14:textId="0610A25B" w:rsidR="00BA7E52" w:rsidRDefault="00BA7E52" w:rsidP="00B51550">
      <w:pPr>
        <w:spacing w:before="240" w:after="240" w:line="360" w:lineRule="auto"/>
        <w:jc w:val="both"/>
        <w:rPr>
          <w:rFonts w:ascii="Arial" w:hAnsi="Arial" w:cs="Arial"/>
          <w:sz w:val="24"/>
        </w:rPr>
      </w:pPr>
    </w:p>
    <w:p w14:paraId="47313016" w14:textId="7B247FFF" w:rsidR="00BA7E52" w:rsidRDefault="00BA7E52" w:rsidP="00B51550">
      <w:pPr>
        <w:spacing w:before="240" w:after="240" w:line="360" w:lineRule="auto"/>
        <w:jc w:val="both"/>
        <w:rPr>
          <w:rFonts w:ascii="Arial" w:hAnsi="Arial" w:cs="Arial"/>
          <w:sz w:val="24"/>
        </w:rPr>
      </w:pPr>
    </w:p>
    <w:p w14:paraId="424F4921" w14:textId="796690B1" w:rsidR="00BA7E52" w:rsidRDefault="00BA7E52" w:rsidP="00B51550">
      <w:pPr>
        <w:spacing w:before="240" w:after="240" w:line="360" w:lineRule="auto"/>
        <w:jc w:val="both"/>
        <w:rPr>
          <w:rFonts w:ascii="Arial" w:hAnsi="Arial" w:cs="Arial"/>
          <w:sz w:val="24"/>
        </w:rPr>
      </w:pPr>
    </w:p>
    <w:p w14:paraId="6EC9BC33" w14:textId="70B77547" w:rsidR="00BA7E52" w:rsidRDefault="00BA7E52" w:rsidP="00B51550">
      <w:pPr>
        <w:spacing w:before="240" w:after="240" w:line="360" w:lineRule="auto"/>
        <w:jc w:val="both"/>
        <w:rPr>
          <w:rFonts w:ascii="Arial" w:hAnsi="Arial" w:cs="Arial"/>
          <w:sz w:val="24"/>
        </w:rPr>
      </w:pPr>
    </w:p>
    <w:p w14:paraId="491B20A6" w14:textId="1B3A478B" w:rsidR="00BA7E52" w:rsidRDefault="00BA7E52" w:rsidP="00B51550">
      <w:pPr>
        <w:spacing w:before="240" w:after="240" w:line="360" w:lineRule="auto"/>
        <w:jc w:val="both"/>
        <w:rPr>
          <w:rFonts w:ascii="Arial" w:hAnsi="Arial" w:cs="Arial"/>
          <w:sz w:val="24"/>
        </w:rPr>
      </w:pPr>
    </w:p>
    <w:p w14:paraId="25D7610F" w14:textId="7F17D411" w:rsidR="00BA7E52" w:rsidRDefault="00BA7E52" w:rsidP="00B51550">
      <w:pPr>
        <w:spacing w:before="240" w:after="240" w:line="360" w:lineRule="auto"/>
        <w:jc w:val="both"/>
        <w:rPr>
          <w:rFonts w:ascii="Arial" w:hAnsi="Arial" w:cs="Arial"/>
          <w:sz w:val="24"/>
        </w:rPr>
      </w:pPr>
    </w:p>
    <w:p w14:paraId="502F8331" w14:textId="5D2114FE" w:rsidR="00BA7E52" w:rsidRDefault="00BA7E52" w:rsidP="00B51550">
      <w:pPr>
        <w:spacing w:before="240" w:after="240" w:line="360" w:lineRule="auto"/>
        <w:jc w:val="both"/>
        <w:rPr>
          <w:rFonts w:ascii="Arial" w:hAnsi="Arial" w:cs="Arial"/>
          <w:sz w:val="24"/>
        </w:rPr>
      </w:pPr>
    </w:p>
    <w:p w14:paraId="592F37A1" w14:textId="77777777" w:rsidR="00BA7E52" w:rsidRPr="00F3259F" w:rsidRDefault="00BA7E52" w:rsidP="00B51550">
      <w:pPr>
        <w:spacing w:before="240" w:after="240" w:line="360" w:lineRule="auto"/>
        <w:jc w:val="both"/>
        <w:rPr>
          <w:rFonts w:ascii="Arial" w:hAnsi="Arial" w:cs="Arial"/>
          <w:sz w:val="24"/>
        </w:rPr>
      </w:pPr>
    </w:p>
    <w:p w14:paraId="1E010A89" w14:textId="5E16D7FA" w:rsidR="00BB758B" w:rsidRPr="00F3259F" w:rsidRDefault="00BB758B" w:rsidP="00BA7E52">
      <w:pPr>
        <w:pStyle w:val="Heading1"/>
      </w:pPr>
      <w:bookmarkStart w:id="3" w:name="_Toc234623599"/>
      <w:r w:rsidRPr="00F3259F">
        <w:lastRenderedPageBreak/>
        <w:t>References</w:t>
      </w:r>
      <w:bookmarkEnd w:id="3"/>
    </w:p>
    <w:p w14:paraId="4F3087DB"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Times New Roman" w:eastAsia="Times New Roman" w:hAnsi="Times New Roman" w:cs="Times New Roman"/>
          <w:szCs w:val="24"/>
          <w:lang w:eastAsia="en-GB"/>
        </w:rPr>
        <w:t>A</w:t>
      </w:r>
      <w:r w:rsidRPr="00A71BF6">
        <w:rPr>
          <w:rFonts w:ascii="Arial" w:eastAsia="Times New Roman" w:hAnsi="Arial" w:cs="Arial"/>
          <w:szCs w:val="24"/>
          <w:lang w:eastAsia="en-GB"/>
        </w:rPr>
        <w:t xml:space="preserve">garwal, P., Gordon, D., Griffith, J., </w:t>
      </w:r>
      <w:proofErr w:type="spellStart"/>
      <w:r w:rsidRPr="00A71BF6">
        <w:rPr>
          <w:rFonts w:ascii="Arial" w:eastAsia="Times New Roman" w:hAnsi="Arial" w:cs="Arial"/>
          <w:szCs w:val="24"/>
          <w:lang w:eastAsia="en-GB"/>
        </w:rPr>
        <w:t>McSweeney</w:t>
      </w:r>
      <w:proofErr w:type="spellEnd"/>
      <w:r w:rsidRPr="00A71BF6">
        <w:rPr>
          <w:rFonts w:ascii="Arial" w:eastAsia="Times New Roman" w:hAnsi="Arial" w:cs="Arial"/>
          <w:szCs w:val="24"/>
          <w:lang w:eastAsia="en-GB"/>
        </w:rPr>
        <w:t xml:space="preserve">, T., Murphy, J., Nouri, S., Shih, S. and Walker, J. (2020) ‘The impact of digital health interventions on patient engagement and health outcomes: A systematic review’, </w:t>
      </w:r>
      <w:r w:rsidRPr="00A71BF6">
        <w:rPr>
          <w:rFonts w:ascii="Arial" w:eastAsia="Times New Roman" w:hAnsi="Arial" w:cs="Arial"/>
          <w:i/>
          <w:iCs/>
          <w:szCs w:val="24"/>
          <w:lang w:eastAsia="en-GB"/>
        </w:rPr>
        <w:t>Journal of Medical Internet Research</w:t>
      </w:r>
      <w:r w:rsidRPr="00A71BF6">
        <w:rPr>
          <w:rFonts w:ascii="Arial" w:eastAsia="Times New Roman" w:hAnsi="Arial" w:cs="Arial"/>
          <w:szCs w:val="24"/>
          <w:lang w:eastAsia="en-GB"/>
        </w:rPr>
        <w:t xml:space="preserve">, 22(6), e16295. Available at: </w:t>
      </w:r>
      <w:hyperlink r:id="rId12" w:history="1">
        <w:r w:rsidRPr="00A71BF6">
          <w:rPr>
            <w:rFonts w:ascii="Arial" w:eastAsia="Times New Roman" w:hAnsi="Arial" w:cs="Arial"/>
            <w:color w:val="0000FF"/>
            <w:szCs w:val="24"/>
            <w:u w:val="single"/>
            <w:lang w:eastAsia="en-GB"/>
          </w:rPr>
          <w:t>https://www.jmir.org/2020/6/e16295</w:t>
        </w:r>
      </w:hyperlink>
      <w:r w:rsidRPr="00A71BF6">
        <w:rPr>
          <w:rFonts w:ascii="Arial" w:eastAsia="Times New Roman" w:hAnsi="Arial" w:cs="Arial"/>
          <w:szCs w:val="24"/>
          <w:lang w:eastAsia="en-GB"/>
        </w:rPr>
        <w:t xml:space="preserve"> (Accessed: 11 July 2026).</w:t>
      </w:r>
    </w:p>
    <w:p w14:paraId="13D8AB63"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proofErr w:type="spellStart"/>
      <w:r w:rsidRPr="00A71BF6">
        <w:rPr>
          <w:rFonts w:ascii="Arial" w:eastAsia="Times New Roman" w:hAnsi="Arial" w:cs="Arial"/>
          <w:szCs w:val="24"/>
          <w:lang w:eastAsia="en-GB"/>
        </w:rPr>
        <w:t>Marcolino</w:t>
      </w:r>
      <w:proofErr w:type="spellEnd"/>
      <w:r w:rsidRPr="00A71BF6">
        <w:rPr>
          <w:rFonts w:ascii="Arial" w:eastAsia="Times New Roman" w:hAnsi="Arial" w:cs="Arial"/>
          <w:szCs w:val="24"/>
          <w:lang w:eastAsia="en-GB"/>
        </w:rPr>
        <w:t xml:space="preserve">, M.S., Oliveira, J.A.Q., </w:t>
      </w:r>
      <w:proofErr w:type="spellStart"/>
      <w:r w:rsidRPr="00A71BF6">
        <w:rPr>
          <w:rFonts w:ascii="Arial" w:eastAsia="Times New Roman" w:hAnsi="Arial" w:cs="Arial"/>
          <w:szCs w:val="24"/>
          <w:lang w:eastAsia="en-GB"/>
        </w:rPr>
        <w:t>D’Agostino</w:t>
      </w:r>
      <w:proofErr w:type="spellEnd"/>
      <w:r w:rsidRPr="00A71BF6">
        <w:rPr>
          <w:rFonts w:ascii="Arial" w:eastAsia="Times New Roman" w:hAnsi="Arial" w:cs="Arial"/>
          <w:szCs w:val="24"/>
          <w:lang w:eastAsia="en-GB"/>
        </w:rPr>
        <w:t xml:space="preserve">, M., Ribeiro, A.L.P., </w:t>
      </w:r>
      <w:proofErr w:type="spellStart"/>
      <w:r w:rsidRPr="00A71BF6">
        <w:rPr>
          <w:rFonts w:ascii="Arial" w:eastAsia="Times New Roman" w:hAnsi="Arial" w:cs="Arial"/>
          <w:szCs w:val="24"/>
          <w:lang w:eastAsia="en-GB"/>
        </w:rPr>
        <w:t>Alkmim</w:t>
      </w:r>
      <w:proofErr w:type="spellEnd"/>
      <w:r w:rsidRPr="00A71BF6">
        <w:rPr>
          <w:rFonts w:ascii="Arial" w:eastAsia="Times New Roman" w:hAnsi="Arial" w:cs="Arial"/>
          <w:szCs w:val="24"/>
          <w:lang w:eastAsia="en-GB"/>
        </w:rPr>
        <w:t xml:space="preserve">, M.B.M. and </w:t>
      </w:r>
      <w:proofErr w:type="spellStart"/>
      <w:r w:rsidRPr="00A71BF6">
        <w:rPr>
          <w:rFonts w:ascii="Arial" w:eastAsia="Times New Roman" w:hAnsi="Arial" w:cs="Arial"/>
          <w:szCs w:val="24"/>
          <w:lang w:eastAsia="en-GB"/>
        </w:rPr>
        <w:t>Novillo</w:t>
      </w:r>
      <w:proofErr w:type="spellEnd"/>
      <w:r w:rsidRPr="00A71BF6">
        <w:rPr>
          <w:rFonts w:ascii="Arial" w:eastAsia="Times New Roman" w:hAnsi="Arial" w:cs="Arial"/>
          <w:szCs w:val="24"/>
          <w:lang w:eastAsia="en-GB"/>
        </w:rPr>
        <w:t xml:space="preserve">-Ortiz, D. (2018) ‘The impact of </w:t>
      </w:r>
      <w:proofErr w:type="spellStart"/>
      <w:r w:rsidRPr="00A71BF6">
        <w:rPr>
          <w:rFonts w:ascii="Arial" w:eastAsia="Times New Roman" w:hAnsi="Arial" w:cs="Arial"/>
          <w:szCs w:val="24"/>
          <w:lang w:eastAsia="en-GB"/>
        </w:rPr>
        <w:t>mHealth</w:t>
      </w:r>
      <w:proofErr w:type="spellEnd"/>
      <w:r w:rsidRPr="00A71BF6">
        <w:rPr>
          <w:rFonts w:ascii="Arial" w:eastAsia="Times New Roman" w:hAnsi="Arial" w:cs="Arial"/>
          <w:szCs w:val="24"/>
          <w:lang w:eastAsia="en-GB"/>
        </w:rPr>
        <w:t xml:space="preserve"> interventions: Systematic review of systematic reviews’, </w:t>
      </w:r>
      <w:r w:rsidRPr="00A71BF6">
        <w:rPr>
          <w:rFonts w:ascii="Arial" w:eastAsia="Times New Roman" w:hAnsi="Arial" w:cs="Arial"/>
          <w:i/>
          <w:iCs/>
          <w:szCs w:val="24"/>
          <w:lang w:eastAsia="en-GB"/>
        </w:rPr>
        <w:t xml:space="preserve">JMIR </w:t>
      </w:r>
      <w:proofErr w:type="spellStart"/>
      <w:r w:rsidRPr="00A71BF6">
        <w:rPr>
          <w:rFonts w:ascii="Arial" w:eastAsia="Times New Roman" w:hAnsi="Arial" w:cs="Arial"/>
          <w:i/>
          <w:iCs/>
          <w:szCs w:val="24"/>
          <w:lang w:eastAsia="en-GB"/>
        </w:rPr>
        <w:t>mHealth</w:t>
      </w:r>
      <w:proofErr w:type="spellEnd"/>
      <w:r w:rsidRPr="00A71BF6">
        <w:rPr>
          <w:rFonts w:ascii="Arial" w:eastAsia="Times New Roman" w:hAnsi="Arial" w:cs="Arial"/>
          <w:i/>
          <w:iCs/>
          <w:szCs w:val="24"/>
          <w:lang w:eastAsia="en-GB"/>
        </w:rPr>
        <w:t xml:space="preserve"> and </w:t>
      </w:r>
      <w:proofErr w:type="spellStart"/>
      <w:r w:rsidRPr="00A71BF6">
        <w:rPr>
          <w:rFonts w:ascii="Arial" w:eastAsia="Times New Roman" w:hAnsi="Arial" w:cs="Arial"/>
          <w:i/>
          <w:iCs/>
          <w:szCs w:val="24"/>
          <w:lang w:eastAsia="en-GB"/>
        </w:rPr>
        <w:t>uHealth</w:t>
      </w:r>
      <w:proofErr w:type="spellEnd"/>
      <w:r w:rsidRPr="00A71BF6">
        <w:rPr>
          <w:rFonts w:ascii="Arial" w:eastAsia="Times New Roman" w:hAnsi="Arial" w:cs="Arial"/>
          <w:szCs w:val="24"/>
          <w:lang w:eastAsia="en-GB"/>
        </w:rPr>
        <w:t xml:space="preserve">, 6(1), e23. Available at: </w:t>
      </w:r>
      <w:hyperlink r:id="rId13" w:history="1">
        <w:r w:rsidRPr="00A71BF6">
          <w:rPr>
            <w:rFonts w:ascii="Arial" w:eastAsia="Times New Roman" w:hAnsi="Arial" w:cs="Arial"/>
            <w:color w:val="0000FF"/>
            <w:szCs w:val="24"/>
            <w:u w:val="single"/>
            <w:lang w:eastAsia="en-GB"/>
          </w:rPr>
          <w:t>https://mhealth.jmir.org/2018/1/e23/</w:t>
        </w:r>
      </w:hyperlink>
      <w:r w:rsidRPr="00A71BF6">
        <w:rPr>
          <w:rFonts w:ascii="Arial" w:eastAsia="Times New Roman" w:hAnsi="Arial" w:cs="Arial"/>
          <w:szCs w:val="24"/>
          <w:lang w:eastAsia="en-GB"/>
        </w:rPr>
        <w:t xml:space="preserve"> (Accessed: 11 July 2026).</w:t>
      </w:r>
    </w:p>
    <w:p w14:paraId="7A33ABBC"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National Institute for Health and Care Excellence (NICE) (2022) </w:t>
      </w:r>
      <w:r w:rsidRPr="00A71BF6">
        <w:rPr>
          <w:rFonts w:ascii="Arial" w:eastAsia="Times New Roman" w:hAnsi="Arial" w:cs="Arial"/>
          <w:i/>
          <w:iCs/>
          <w:szCs w:val="24"/>
          <w:lang w:eastAsia="en-GB"/>
        </w:rPr>
        <w:t>Evidence standards framework for digital health technologies</w:t>
      </w:r>
      <w:r w:rsidRPr="00A71BF6">
        <w:rPr>
          <w:rFonts w:ascii="Arial" w:eastAsia="Times New Roman" w:hAnsi="Arial" w:cs="Arial"/>
          <w:szCs w:val="24"/>
          <w:lang w:eastAsia="en-GB"/>
        </w:rPr>
        <w:t xml:space="preserve">. Available at: </w:t>
      </w:r>
      <w:hyperlink r:id="rId14" w:history="1">
        <w:r w:rsidRPr="00A71BF6">
          <w:rPr>
            <w:rFonts w:ascii="Arial" w:eastAsia="Times New Roman" w:hAnsi="Arial" w:cs="Arial"/>
            <w:color w:val="0000FF"/>
            <w:szCs w:val="24"/>
            <w:u w:val="single"/>
            <w:lang w:eastAsia="en-GB"/>
          </w:rPr>
          <w:t>https://www.nice.org.uk/corporate/ecd7</w:t>
        </w:r>
      </w:hyperlink>
      <w:r w:rsidRPr="00A71BF6">
        <w:rPr>
          <w:rFonts w:ascii="Arial" w:eastAsia="Times New Roman" w:hAnsi="Arial" w:cs="Arial"/>
          <w:szCs w:val="24"/>
          <w:lang w:eastAsia="en-GB"/>
        </w:rPr>
        <w:t xml:space="preserve"> (Accessed: 11 July 2026).</w:t>
      </w:r>
    </w:p>
    <w:p w14:paraId="2B504309"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NHS England (2024) </w:t>
      </w:r>
      <w:r w:rsidRPr="00A71BF6">
        <w:rPr>
          <w:rFonts w:ascii="Arial" w:eastAsia="Times New Roman" w:hAnsi="Arial" w:cs="Arial"/>
          <w:i/>
          <w:iCs/>
          <w:szCs w:val="24"/>
          <w:lang w:eastAsia="en-GB"/>
        </w:rPr>
        <w:t>NHS App</w:t>
      </w:r>
      <w:r w:rsidRPr="00A71BF6">
        <w:rPr>
          <w:rFonts w:ascii="Arial" w:eastAsia="Times New Roman" w:hAnsi="Arial" w:cs="Arial"/>
          <w:szCs w:val="24"/>
          <w:lang w:eastAsia="en-GB"/>
        </w:rPr>
        <w:t xml:space="preserve">. Available at: </w:t>
      </w:r>
      <w:hyperlink r:id="rId15" w:history="1">
        <w:r w:rsidRPr="00A71BF6">
          <w:rPr>
            <w:rFonts w:ascii="Arial" w:eastAsia="Times New Roman" w:hAnsi="Arial" w:cs="Arial"/>
            <w:color w:val="0000FF"/>
            <w:szCs w:val="24"/>
            <w:u w:val="single"/>
            <w:lang w:eastAsia="en-GB"/>
          </w:rPr>
          <w:t>https://www.nhs.uk/nhs-app/</w:t>
        </w:r>
      </w:hyperlink>
      <w:r w:rsidRPr="00A71BF6">
        <w:rPr>
          <w:rFonts w:ascii="Arial" w:eastAsia="Times New Roman" w:hAnsi="Arial" w:cs="Arial"/>
          <w:szCs w:val="24"/>
          <w:lang w:eastAsia="en-GB"/>
        </w:rPr>
        <w:t xml:space="preserve"> (Accessed: 11 July 2026).</w:t>
      </w:r>
    </w:p>
    <w:p w14:paraId="41286DF0"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NHS England (2024) </w:t>
      </w:r>
      <w:r w:rsidRPr="00A71BF6">
        <w:rPr>
          <w:rFonts w:ascii="Arial" w:eastAsia="Times New Roman" w:hAnsi="Arial" w:cs="Arial"/>
          <w:i/>
          <w:iCs/>
          <w:szCs w:val="24"/>
          <w:lang w:eastAsia="en-GB"/>
        </w:rPr>
        <w:t>Statistics on obesity, physical activity and diet, England</w:t>
      </w:r>
      <w:r w:rsidRPr="00A71BF6">
        <w:rPr>
          <w:rFonts w:ascii="Arial" w:eastAsia="Times New Roman" w:hAnsi="Arial" w:cs="Arial"/>
          <w:szCs w:val="24"/>
          <w:lang w:eastAsia="en-GB"/>
        </w:rPr>
        <w:t xml:space="preserve">. Available at: </w:t>
      </w:r>
      <w:hyperlink r:id="rId16" w:history="1">
        <w:r w:rsidRPr="00A71BF6">
          <w:rPr>
            <w:rFonts w:ascii="Arial" w:eastAsia="Times New Roman" w:hAnsi="Arial" w:cs="Arial"/>
            <w:color w:val="0000FF"/>
            <w:szCs w:val="24"/>
            <w:u w:val="single"/>
            <w:lang w:eastAsia="en-GB"/>
          </w:rPr>
          <w:t>https://digital.nhs.uk/data-and-information/publications/statistical/health-survey-for-england</w:t>
        </w:r>
      </w:hyperlink>
      <w:r w:rsidRPr="00A71BF6">
        <w:rPr>
          <w:rFonts w:ascii="Arial" w:eastAsia="Times New Roman" w:hAnsi="Arial" w:cs="Arial"/>
          <w:szCs w:val="24"/>
          <w:lang w:eastAsia="en-GB"/>
        </w:rPr>
        <w:t xml:space="preserve"> (Accessed: 11 July 2026).</w:t>
      </w:r>
    </w:p>
    <w:p w14:paraId="470E5678"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Office for National Statistics (ONS) (2023) </w:t>
      </w:r>
      <w:r w:rsidRPr="00A71BF6">
        <w:rPr>
          <w:rFonts w:ascii="Arial" w:eastAsia="Times New Roman" w:hAnsi="Arial" w:cs="Arial"/>
          <w:i/>
          <w:iCs/>
          <w:szCs w:val="24"/>
          <w:lang w:eastAsia="en-GB"/>
        </w:rPr>
        <w:t>Internet access – households and individuals, Great Britain</w:t>
      </w:r>
      <w:r w:rsidRPr="00A71BF6">
        <w:rPr>
          <w:rFonts w:ascii="Arial" w:eastAsia="Times New Roman" w:hAnsi="Arial" w:cs="Arial"/>
          <w:szCs w:val="24"/>
          <w:lang w:eastAsia="en-GB"/>
        </w:rPr>
        <w:t xml:space="preserve">. Available at: </w:t>
      </w:r>
      <w:hyperlink r:id="rId17" w:history="1">
        <w:r w:rsidRPr="00A71BF6">
          <w:rPr>
            <w:rFonts w:ascii="Arial" w:eastAsia="Times New Roman" w:hAnsi="Arial" w:cs="Arial"/>
            <w:color w:val="0000FF"/>
            <w:szCs w:val="24"/>
            <w:u w:val="single"/>
            <w:lang w:eastAsia="en-GB"/>
          </w:rPr>
          <w:t>https://www.ons.gov.uk/peoplepopulationandcommunity/householdcharacteristics/homeinternetandsocialmediausage</w:t>
        </w:r>
      </w:hyperlink>
      <w:r w:rsidRPr="00A71BF6">
        <w:rPr>
          <w:rFonts w:ascii="Arial" w:eastAsia="Times New Roman" w:hAnsi="Arial" w:cs="Arial"/>
          <w:szCs w:val="24"/>
          <w:lang w:eastAsia="en-GB"/>
        </w:rPr>
        <w:t xml:space="preserve"> (Accessed: 11 July 2026).</w:t>
      </w:r>
    </w:p>
    <w:p w14:paraId="0C1821F9"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Public Health England (2020) </w:t>
      </w:r>
      <w:r w:rsidRPr="00A71BF6">
        <w:rPr>
          <w:rFonts w:ascii="Arial" w:eastAsia="Times New Roman" w:hAnsi="Arial" w:cs="Arial"/>
          <w:i/>
          <w:iCs/>
          <w:szCs w:val="24"/>
          <w:lang w:eastAsia="en-GB"/>
        </w:rPr>
        <w:t>Health Profile for England 2020</w:t>
      </w:r>
      <w:r w:rsidRPr="00A71BF6">
        <w:rPr>
          <w:rFonts w:ascii="Arial" w:eastAsia="Times New Roman" w:hAnsi="Arial" w:cs="Arial"/>
          <w:szCs w:val="24"/>
          <w:lang w:eastAsia="en-GB"/>
        </w:rPr>
        <w:t xml:space="preserve">. Available at: </w:t>
      </w:r>
      <w:hyperlink r:id="rId18" w:history="1">
        <w:r w:rsidRPr="00A71BF6">
          <w:rPr>
            <w:rFonts w:ascii="Arial" w:eastAsia="Times New Roman" w:hAnsi="Arial" w:cs="Arial"/>
            <w:color w:val="0000FF"/>
            <w:szCs w:val="24"/>
            <w:u w:val="single"/>
            <w:lang w:eastAsia="en-GB"/>
          </w:rPr>
          <w:t>https://www.gov.uk/government/publications/health-profile-for-england-2020</w:t>
        </w:r>
      </w:hyperlink>
      <w:r w:rsidRPr="00A71BF6">
        <w:rPr>
          <w:rFonts w:ascii="Arial" w:eastAsia="Times New Roman" w:hAnsi="Arial" w:cs="Arial"/>
          <w:szCs w:val="24"/>
          <w:lang w:eastAsia="en-GB"/>
        </w:rPr>
        <w:t xml:space="preserve"> (Accessed: 11 July 2026).</w:t>
      </w:r>
    </w:p>
    <w:p w14:paraId="14DC01E9"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proofErr w:type="spellStart"/>
      <w:r w:rsidRPr="00A71BF6">
        <w:rPr>
          <w:rFonts w:ascii="Arial" w:eastAsia="Times New Roman" w:hAnsi="Arial" w:cs="Arial"/>
          <w:szCs w:val="24"/>
          <w:lang w:eastAsia="en-GB"/>
        </w:rPr>
        <w:t>Topol</w:t>
      </w:r>
      <w:proofErr w:type="spellEnd"/>
      <w:r w:rsidRPr="00A71BF6">
        <w:rPr>
          <w:rFonts w:ascii="Arial" w:eastAsia="Times New Roman" w:hAnsi="Arial" w:cs="Arial"/>
          <w:szCs w:val="24"/>
          <w:lang w:eastAsia="en-GB"/>
        </w:rPr>
        <w:t xml:space="preserve">, E. (2019) </w:t>
      </w:r>
      <w:r w:rsidRPr="00A71BF6">
        <w:rPr>
          <w:rFonts w:ascii="Arial" w:eastAsia="Times New Roman" w:hAnsi="Arial" w:cs="Arial"/>
          <w:i/>
          <w:iCs/>
          <w:szCs w:val="24"/>
          <w:lang w:eastAsia="en-GB"/>
        </w:rPr>
        <w:t xml:space="preserve">The </w:t>
      </w:r>
      <w:proofErr w:type="spellStart"/>
      <w:r w:rsidRPr="00A71BF6">
        <w:rPr>
          <w:rFonts w:ascii="Arial" w:eastAsia="Times New Roman" w:hAnsi="Arial" w:cs="Arial"/>
          <w:i/>
          <w:iCs/>
          <w:szCs w:val="24"/>
          <w:lang w:eastAsia="en-GB"/>
        </w:rPr>
        <w:t>Topol</w:t>
      </w:r>
      <w:proofErr w:type="spellEnd"/>
      <w:r w:rsidRPr="00A71BF6">
        <w:rPr>
          <w:rFonts w:ascii="Arial" w:eastAsia="Times New Roman" w:hAnsi="Arial" w:cs="Arial"/>
          <w:i/>
          <w:iCs/>
          <w:szCs w:val="24"/>
          <w:lang w:eastAsia="en-GB"/>
        </w:rPr>
        <w:t xml:space="preserve"> Review: Preparing the healthcare workforce to deliver the digital future</w:t>
      </w:r>
      <w:r w:rsidRPr="00A71BF6">
        <w:rPr>
          <w:rFonts w:ascii="Arial" w:eastAsia="Times New Roman" w:hAnsi="Arial" w:cs="Arial"/>
          <w:szCs w:val="24"/>
          <w:lang w:eastAsia="en-GB"/>
        </w:rPr>
        <w:t xml:space="preserve">. Available at: </w:t>
      </w:r>
      <w:hyperlink r:id="rId19" w:history="1">
        <w:r w:rsidRPr="00A71BF6">
          <w:rPr>
            <w:rFonts w:ascii="Arial" w:eastAsia="Times New Roman" w:hAnsi="Arial" w:cs="Arial"/>
            <w:color w:val="0000FF"/>
            <w:szCs w:val="24"/>
            <w:u w:val="single"/>
            <w:lang w:eastAsia="en-GB"/>
          </w:rPr>
          <w:t>https://topol.hee.nhs.uk/</w:t>
        </w:r>
      </w:hyperlink>
      <w:r w:rsidRPr="00A71BF6">
        <w:rPr>
          <w:rFonts w:ascii="Arial" w:eastAsia="Times New Roman" w:hAnsi="Arial" w:cs="Arial"/>
          <w:szCs w:val="24"/>
          <w:lang w:eastAsia="en-GB"/>
        </w:rPr>
        <w:t xml:space="preserve"> (Accessed: 11 July 2026).</w:t>
      </w:r>
    </w:p>
    <w:p w14:paraId="574200D0"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World Health Organization (2021) </w:t>
      </w:r>
      <w:r w:rsidRPr="00A71BF6">
        <w:rPr>
          <w:rFonts w:ascii="Arial" w:eastAsia="Times New Roman" w:hAnsi="Arial" w:cs="Arial"/>
          <w:i/>
          <w:iCs/>
          <w:szCs w:val="24"/>
          <w:lang w:eastAsia="en-GB"/>
        </w:rPr>
        <w:t>Global Strategy on Digital Health 2020–2025</w:t>
      </w:r>
      <w:r w:rsidRPr="00A71BF6">
        <w:rPr>
          <w:rFonts w:ascii="Arial" w:eastAsia="Times New Roman" w:hAnsi="Arial" w:cs="Arial"/>
          <w:szCs w:val="24"/>
          <w:lang w:eastAsia="en-GB"/>
        </w:rPr>
        <w:t xml:space="preserve">. Available at: </w:t>
      </w:r>
      <w:hyperlink r:id="rId20" w:history="1">
        <w:r w:rsidRPr="00A71BF6">
          <w:rPr>
            <w:rFonts w:ascii="Arial" w:eastAsia="Times New Roman" w:hAnsi="Arial" w:cs="Arial"/>
            <w:color w:val="0000FF"/>
            <w:szCs w:val="24"/>
            <w:u w:val="single"/>
            <w:lang w:eastAsia="en-GB"/>
          </w:rPr>
          <w:t>https://www.who.int/publications/i/item/9789240020924</w:t>
        </w:r>
      </w:hyperlink>
      <w:r w:rsidRPr="00A71BF6">
        <w:rPr>
          <w:rFonts w:ascii="Arial" w:eastAsia="Times New Roman" w:hAnsi="Arial" w:cs="Arial"/>
          <w:szCs w:val="24"/>
          <w:lang w:eastAsia="en-GB"/>
        </w:rPr>
        <w:t xml:space="preserve"> (Accessed: 11 July 2026).</w:t>
      </w:r>
    </w:p>
    <w:p w14:paraId="1A261C1C" w14:textId="77777777" w:rsidR="00A71BF6" w:rsidRPr="00A71BF6" w:rsidRDefault="00A71BF6" w:rsidP="00A71BF6">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World Health Organization (2024) </w:t>
      </w:r>
      <w:proofErr w:type="spellStart"/>
      <w:r w:rsidRPr="00A71BF6">
        <w:rPr>
          <w:rFonts w:ascii="Arial" w:eastAsia="Times New Roman" w:hAnsi="Arial" w:cs="Arial"/>
          <w:i/>
          <w:iCs/>
          <w:szCs w:val="24"/>
          <w:lang w:eastAsia="en-GB"/>
        </w:rPr>
        <w:t>Noncommunicable</w:t>
      </w:r>
      <w:proofErr w:type="spellEnd"/>
      <w:r w:rsidRPr="00A71BF6">
        <w:rPr>
          <w:rFonts w:ascii="Arial" w:eastAsia="Times New Roman" w:hAnsi="Arial" w:cs="Arial"/>
          <w:i/>
          <w:iCs/>
          <w:szCs w:val="24"/>
          <w:lang w:eastAsia="en-GB"/>
        </w:rPr>
        <w:t xml:space="preserve"> diseases</w:t>
      </w:r>
      <w:r w:rsidRPr="00A71BF6">
        <w:rPr>
          <w:rFonts w:ascii="Arial" w:eastAsia="Times New Roman" w:hAnsi="Arial" w:cs="Arial"/>
          <w:szCs w:val="24"/>
          <w:lang w:eastAsia="en-GB"/>
        </w:rPr>
        <w:t xml:space="preserve">. Available at: </w:t>
      </w:r>
      <w:hyperlink r:id="rId21" w:history="1">
        <w:r w:rsidRPr="00A71BF6">
          <w:rPr>
            <w:rFonts w:ascii="Arial" w:eastAsia="Times New Roman" w:hAnsi="Arial" w:cs="Arial"/>
            <w:color w:val="0000FF"/>
            <w:szCs w:val="24"/>
            <w:u w:val="single"/>
            <w:lang w:eastAsia="en-GB"/>
          </w:rPr>
          <w:t>https://www.who.int/news-room/fact-sheets/detail/noncommunicable-diseases</w:t>
        </w:r>
      </w:hyperlink>
      <w:r w:rsidRPr="00A71BF6">
        <w:rPr>
          <w:rFonts w:ascii="Arial" w:eastAsia="Times New Roman" w:hAnsi="Arial" w:cs="Arial"/>
          <w:szCs w:val="24"/>
          <w:lang w:eastAsia="en-GB"/>
        </w:rPr>
        <w:t xml:space="preserve"> (Accessed: 11 July 2026).</w:t>
      </w:r>
    </w:p>
    <w:p w14:paraId="1943F22A" w14:textId="5C53C332" w:rsidR="00BA7E52" w:rsidRPr="00F3259F" w:rsidRDefault="00BA7E52" w:rsidP="00F3259F">
      <w:pPr>
        <w:spacing w:before="240" w:after="240" w:line="360" w:lineRule="auto"/>
        <w:jc w:val="both"/>
        <w:rPr>
          <w:rFonts w:ascii="Arial" w:hAnsi="Arial" w:cs="Arial"/>
          <w:sz w:val="24"/>
        </w:rPr>
      </w:pPr>
    </w:p>
    <w:p w14:paraId="084E7404" w14:textId="3A716C47" w:rsidR="004E1F83" w:rsidRPr="00B51550" w:rsidRDefault="004E1F83" w:rsidP="00BA7E52">
      <w:pPr>
        <w:pStyle w:val="Heading1"/>
        <w:jc w:val="center"/>
      </w:pPr>
      <w:bookmarkStart w:id="4" w:name="_Toc234623600"/>
      <w:r w:rsidRPr="00B51550">
        <w:lastRenderedPageBreak/>
        <w:t xml:space="preserve">Blog 2: </w:t>
      </w:r>
      <w:r w:rsidR="00F3259F" w:rsidRPr="00B51550">
        <w:t>Health Connect</w:t>
      </w:r>
      <w:r w:rsidRPr="00B51550">
        <w:t xml:space="preserve"> AI – A Personalised Digital Health Promotion Platform for Preventing Obesity and Type 2 Diabetes</w:t>
      </w:r>
      <w:bookmarkEnd w:id="4"/>
    </w:p>
    <w:p w14:paraId="1EA27F1B" w14:textId="25BB4B11" w:rsidR="00511B2E" w:rsidRPr="00511B2E" w:rsidRDefault="00511B2E" w:rsidP="00511B2E">
      <w:pPr>
        <w:spacing w:before="240" w:after="240" w:line="360" w:lineRule="auto"/>
        <w:jc w:val="both"/>
        <w:rPr>
          <w:rFonts w:ascii="Arial" w:hAnsi="Arial" w:cs="Arial"/>
          <w:sz w:val="24"/>
        </w:rPr>
      </w:pPr>
      <w:r w:rsidRPr="00511B2E">
        <w:rPr>
          <w:rFonts w:ascii="Arial" w:hAnsi="Arial" w:cs="Arial"/>
          <w:sz w:val="24"/>
        </w:rPr>
        <w:t xml:space="preserve">Obesity and type 2 diabetes are major public health issues globally, and are key drivers of morbidity, premature mortality, and increasing health care expenditure. The World Health Organization (WHO) estimates that more than 1 billion people are affected by obesity worldwide, and that non-communicable diseases (NCDs) are responsible for about 43 million deaths each year, which is 75% of all non-pandemic deaths (WHO, 2024). </w:t>
      </w:r>
      <w:r w:rsidR="00DF3F0E" w:rsidRPr="00DF3F0E">
        <w:rPr>
          <w:rFonts w:ascii="Arial" w:hAnsi="Arial" w:cs="Arial"/>
          <w:sz w:val="24"/>
        </w:rPr>
        <w:t>Approximately half of adults (64%) in England are overweight or obese, which increases their risk of diabetes, cardiovascular disease, stroke, and some cancers (NHS England, 2024). These conditions can be prevented to the greatest extent with a better lifestyl</w:t>
      </w:r>
      <w:r w:rsidR="00406260">
        <w:rPr>
          <w:rFonts w:ascii="Arial" w:hAnsi="Arial" w:cs="Arial"/>
          <w:sz w:val="24"/>
        </w:rPr>
        <w:t xml:space="preserve">e </w:t>
      </w:r>
      <w:r w:rsidRPr="00511B2E">
        <w:rPr>
          <w:rFonts w:ascii="Arial" w:hAnsi="Arial" w:cs="Arial"/>
          <w:sz w:val="24"/>
        </w:rPr>
        <w:t>habits, many people have a low level of motivation to adopt and sustain a healthy lifestyle, lack personalised support and have poor access to preventative healthcare. Innovative digital health technologies are therefore key to enhance the health promotion and prevention system.</w:t>
      </w:r>
    </w:p>
    <w:p w14:paraId="5AF301C1" w14:textId="69849303" w:rsidR="00511B2E" w:rsidRDefault="00511B2E" w:rsidP="00511B2E">
      <w:pPr>
        <w:spacing w:before="240" w:after="240" w:line="360" w:lineRule="auto"/>
        <w:jc w:val="both"/>
        <w:rPr>
          <w:rFonts w:ascii="Arial" w:hAnsi="Arial" w:cs="Arial"/>
          <w:sz w:val="24"/>
        </w:rPr>
      </w:pPr>
      <w:r w:rsidRPr="00511B2E">
        <w:rPr>
          <w:rFonts w:ascii="Arial" w:hAnsi="Arial" w:cs="Arial"/>
          <w:sz w:val="24"/>
        </w:rPr>
        <w:t xml:space="preserve">In response, I have created Health Connect AI – a smart mobile health app that leverages artificial intelligence (AI), wearable technology and behavioural science to provide personalised health promotion. Health Connect AI is distinct from numerous current health apps focused on physical activity or calorie monitoring, by offering customized lifestyle suggestions that align with users' health data, patterns, and objectives. When users register, they fill out a health survey that asks them for details on age, weight, diet, </w:t>
      </w:r>
      <w:r w:rsidR="00DF3F0E" w:rsidRPr="00DF3F0E">
        <w:rPr>
          <w:rFonts w:ascii="Arial" w:hAnsi="Arial" w:cs="Arial"/>
          <w:sz w:val="24"/>
        </w:rPr>
        <w:t xml:space="preserve">Physical activity, sleep habits, smoking habits and family health history. The app will then suggest personalized exercise plans, healthy food plans, medication reminders, hydration reminders and realistic health goals for the week. They integrate with </w:t>
      </w:r>
      <w:r w:rsidRPr="00511B2E">
        <w:rPr>
          <w:rFonts w:ascii="Arial" w:hAnsi="Arial" w:cs="Arial"/>
          <w:sz w:val="24"/>
        </w:rPr>
        <w:t>wearable devices, providing real-time fitness data and feedback on physical activity, heart rate, sleep quality, and calorie burn.</w:t>
      </w:r>
    </w:p>
    <w:p w14:paraId="1E08C9A9" w14:textId="500150A4" w:rsidR="009A08F2" w:rsidRDefault="009A08F2" w:rsidP="009A08F2">
      <w:pPr>
        <w:spacing w:before="240" w:after="240" w:line="360" w:lineRule="auto"/>
        <w:jc w:val="center"/>
        <w:rPr>
          <w:rFonts w:ascii="Arial" w:hAnsi="Arial" w:cs="Arial"/>
          <w:sz w:val="24"/>
        </w:rPr>
      </w:pPr>
      <w:r>
        <w:rPr>
          <w:rFonts w:ascii="Arial" w:hAnsi="Arial" w:cs="Arial"/>
          <w:noProof/>
          <w:sz w:val="24"/>
          <w:lang w:eastAsia="en-GB"/>
        </w:rPr>
        <w:lastRenderedPageBreak/>
        <w:drawing>
          <wp:inline distT="0" distB="0" distL="0" distR="0" wp14:anchorId="160155FF" wp14:editId="66DE2FFB">
            <wp:extent cx="3724275" cy="2482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718_15463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24275" cy="2482850"/>
                    </a:xfrm>
                    <a:prstGeom prst="rect">
                      <a:avLst/>
                    </a:prstGeom>
                  </pic:spPr>
                </pic:pic>
              </a:graphicData>
            </a:graphic>
          </wp:inline>
        </w:drawing>
      </w:r>
    </w:p>
    <w:p w14:paraId="20288485" w14:textId="6B5AF777" w:rsidR="009A08F2" w:rsidRPr="00602221" w:rsidRDefault="009A08F2" w:rsidP="00602221">
      <w:pPr>
        <w:pStyle w:val="Caption"/>
      </w:pPr>
      <w:r w:rsidRPr="009A08F2">
        <w:t xml:space="preserve">Figure 2. Concept design of the </w:t>
      </w:r>
      <w:proofErr w:type="spellStart"/>
      <w:r w:rsidRPr="009A08F2">
        <w:t>HealthConnect</w:t>
      </w:r>
      <w:proofErr w:type="spellEnd"/>
      <w:r w:rsidRPr="009A08F2">
        <w:t xml:space="preserve"> AI mobile application showing personalised health coaching and real</w:t>
      </w:r>
      <w:r w:rsidRPr="009A08F2">
        <w:rPr>
          <w:rFonts w:ascii="Cambria Math" w:hAnsi="Cambria Math" w:cs="Cambria Math"/>
        </w:rPr>
        <w:t>‑</w:t>
      </w:r>
      <w:r w:rsidR="00602221">
        <w:t>time monitoring.</w:t>
      </w:r>
    </w:p>
    <w:p w14:paraId="681EDBA3" w14:textId="3798C5EF" w:rsidR="00602221" w:rsidRPr="00511B2E" w:rsidRDefault="00511B2E" w:rsidP="00511B2E">
      <w:pPr>
        <w:spacing w:before="240" w:after="240" w:line="360" w:lineRule="auto"/>
        <w:jc w:val="both"/>
        <w:rPr>
          <w:rFonts w:ascii="Arial" w:hAnsi="Arial" w:cs="Arial"/>
          <w:sz w:val="24"/>
        </w:rPr>
      </w:pPr>
      <w:r w:rsidRPr="00511B2E">
        <w:rPr>
          <w:rFonts w:ascii="Arial" w:hAnsi="Arial" w:cs="Arial"/>
          <w:sz w:val="24"/>
        </w:rPr>
        <w:t xml:space="preserve">By providing personalized coaching, motivational messages, and tracking users' progress, Health Connect AI aims to foster positive </w:t>
      </w:r>
      <w:r w:rsidR="00BA7E52" w:rsidRPr="00511B2E">
        <w:rPr>
          <w:rFonts w:ascii="Arial" w:hAnsi="Arial" w:cs="Arial"/>
          <w:sz w:val="24"/>
        </w:rPr>
        <w:t>behaviour</w:t>
      </w:r>
      <w:r w:rsidRPr="00511B2E">
        <w:rPr>
          <w:rFonts w:ascii="Arial" w:hAnsi="Arial" w:cs="Arial"/>
          <w:sz w:val="24"/>
        </w:rPr>
        <w:t xml:space="preserve"> change and encourage sustainable habits for maintaining good health. The AI system monitors and learns from users' actions to detect unhealthy patterns and offer recommendations when necessary before health risks escalate. The application also provides reminders for NHS Health Checks, immunisation and screening programmes, promoting preventive healthcare. There is evidence that personalised digital health interventions are more effective to support self-management than generic health information, in increasing physical activity and long-term adherence to</w:t>
      </w:r>
      <w:r w:rsidR="00602221">
        <w:rPr>
          <w:rFonts w:ascii="Arial" w:hAnsi="Arial" w:cs="Arial"/>
          <w:sz w:val="24"/>
        </w:rPr>
        <w:t xml:space="preserve"> health behaviours (WHO, 2021).</w:t>
      </w:r>
    </w:p>
    <w:p w14:paraId="00C7B686" w14:textId="736EA2CD" w:rsidR="00602221" w:rsidRDefault="00511B2E" w:rsidP="00511B2E">
      <w:pPr>
        <w:spacing w:before="240" w:after="240" w:line="360" w:lineRule="auto"/>
        <w:jc w:val="both"/>
        <w:rPr>
          <w:rFonts w:ascii="Arial" w:hAnsi="Arial" w:cs="Arial"/>
          <w:sz w:val="24"/>
        </w:rPr>
      </w:pPr>
      <w:r w:rsidRPr="00511B2E">
        <w:rPr>
          <w:rFonts w:ascii="Arial" w:hAnsi="Arial" w:cs="Arial"/>
          <w:sz w:val="24"/>
        </w:rPr>
        <w:t>Several benefits of the proposed platform. Personalised recommendations will have the advantage of motivating users since they will be based on their personal health needs, and not on a generic recommendation. The continuous monitoring allows early detection of health risks and provides a pathway to action to prevent chronic diseases. The lack of access to smartphones, wearable devices, or digital skills could hinder the ability to reap benefits from digital exclusion for older adults or lower-income populations (</w:t>
      </w:r>
      <w:proofErr w:type="spellStart"/>
      <w:r w:rsidRPr="00511B2E">
        <w:rPr>
          <w:rFonts w:ascii="Arial" w:hAnsi="Arial" w:cs="Arial"/>
          <w:sz w:val="24"/>
        </w:rPr>
        <w:t>Topol</w:t>
      </w:r>
      <w:proofErr w:type="spellEnd"/>
      <w:r w:rsidRPr="00511B2E">
        <w:rPr>
          <w:rFonts w:ascii="Arial" w:hAnsi="Arial" w:cs="Arial"/>
          <w:sz w:val="24"/>
        </w:rPr>
        <w:t xml:space="preserve"> 2019). There may also be privacy and cybersecurity issues with the use of sensitive health information, and AI-driven recommendations can't be a substitute for clinical skills and experience.</w:t>
      </w:r>
      <w:r w:rsidR="00602221">
        <w:rPr>
          <w:rFonts w:ascii="Arial" w:hAnsi="Arial" w:cs="Arial"/>
          <w:sz w:val="24"/>
        </w:rPr>
        <w:t xml:space="preserve">      </w:t>
      </w:r>
    </w:p>
    <w:p w14:paraId="4264DFCC" w14:textId="0BA9F580" w:rsidR="00602221" w:rsidRDefault="00602221" w:rsidP="00511B2E">
      <w:pPr>
        <w:spacing w:before="240" w:after="240" w:line="360" w:lineRule="auto"/>
        <w:jc w:val="both"/>
        <w:rPr>
          <w:rFonts w:ascii="Arial" w:hAnsi="Arial" w:cs="Arial"/>
          <w:sz w:val="24"/>
        </w:rPr>
      </w:pPr>
      <w:r>
        <w:rPr>
          <w:rFonts w:ascii="Arial" w:hAnsi="Arial" w:cs="Arial"/>
          <w:noProof/>
          <w:sz w:val="24"/>
          <w:lang w:eastAsia="en-GB"/>
        </w:rPr>
        <w:lastRenderedPageBreak/>
        <w:drawing>
          <wp:inline distT="0" distB="0" distL="0" distR="0" wp14:anchorId="305B3F62" wp14:editId="5AC67202">
            <wp:extent cx="6157947" cy="2152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718_154826.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70299" cy="2156968"/>
                    </a:xfrm>
                    <a:prstGeom prst="rect">
                      <a:avLst/>
                    </a:prstGeom>
                  </pic:spPr>
                </pic:pic>
              </a:graphicData>
            </a:graphic>
          </wp:inline>
        </w:drawing>
      </w:r>
    </w:p>
    <w:p w14:paraId="123BF4BD" w14:textId="07C9E4D8" w:rsidR="00602221" w:rsidRDefault="00602221" w:rsidP="00602221">
      <w:pPr>
        <w:pStyle w:val="Caption"/>
      </w:pPr>
      <w:r w:rsidRPr="00602221">
        <w:t xml:space="preserve">Figure 3. </w:t>
      </w:r>
      <w:proofErr w:type="spellStart"/>
      <w:r w:rsidRPr="00602221">
        <w:t>HealthConnect</w:t>
      </w:r>
      <w:proofErr w:type="spellEnd"/>
      <w:r w:rsidRPr="00602221">
        <w:t> AI workflow</w:t>
      </w:r>
    </w:p>
    <w:p w14:paraId="30A10CFA" w14:textId="51810C59" w:rsidR="00BB758B" w:rsidRPr="00F3259F" w:rsidRDefault="00511B2E" w:rsidP="00511B2E">
      <w:pPr>
        <w:spacing w:before="240" w:after="240" w:line="360" w:lineRule="auto"/>
        <w:jc w:val="both"/>
        <w:rPr>
          <w:rFonts w:ascii="Arial" w:hAnsi="Arial" w:cs="Arial"/>
          <w:sz w:val="24"/>
        </w:rPr>
      </w:pPr>
      <w:r w:rsidRPr="00511B2E">
        <w:rPr>
          <w:rFonts w:ascii="Arial" w:hAnsi="Arial" w:cs="Arial"/>
          <w:sz w:val="24"/>
        </w:rPr>
        <w:t>Digital literacy training, the subsidisation of wearable devices for vulnerable users, enhanced cyber security measures, such as multi-factor authentication and encryption, and adherence to UK GDPR can help mitigate these limitations. Importantly, Health Connect AI should not replace clinical specialists, but rather act as a supportive tool that facilitates communication between patients and specialists, enabling the exchange of information and patient details in a secure manner. In general, the platform can be used to enhance health promotion, to help individuals adopt healthier lifestyles, and to decrease the burden of obesity and type 2 diabetes in the longer-term, by providing personalised, accessible, and ev</w:t>
      </w:r>
      <w:r>
        <w:rPr>
          <w:rFonts w:ascii="Arial" w:hAnsi="Arial" w:cs="Arial"/>
          <w:sz w:val="24"/>
        </w:rPr>
        <w:t>idence-based digital healthcare</w:t>
      </w:r>
      <w:r w:rsidR="004E1F83" w:rsidRPr="00F3259F">
        <w:rPr>
          <w:rFonts w:ascii="Arial" w:hAnsi="Arial" w:cs="Arial"/>
          <w:sz w:val="24"/>
        </w:rPr>
        <w:t>.</w:t>
      </w:r>
    </w:p>
    <w:p w14:paraId="04F40436" w14:textId="005230A2" w:rsidR="004218DC" w:rsidRDefault="004218DC" w:rsidP="004E1F83">
      <w:pPr>
        <w:spacing w:before="240" w:after="240" w:line="480" w:lineRule="auto"/>
        <w:jc w:val="both"/>
        <w:rPr>
          <w:rFonts w:ascii="Arial" w:hAnsi="Arial" w:cs="Arial"/>
        </w:rPr>
      </w:pPr>
    </w:p>
    <w:p w14:paraId="6C2074F7" w14:textId="702F1787" w:rsidR="00BA7E52" w:rsidRDefault="00BA7E52" w:rsidP="004E1F83">
      <w:pPr>
        <w:spacing w:before="240" w:after="240" w:line="480" w:lineRule="auto"/>
        <w:jc w:val="both"/>
        <w:rPr>
          <w:rFonts w:ascii="Arial" w:hAnsi="Arial" w:cs="Arial"/>
        </w:rPr>
      </w:pPr>
    </w:p>
    <w:p w14:paraId="59A687C8" w14:textId="02CBD5CF" w:rsidR="00BA7E52" w:rsidRDefault="00BA7E52" w:rsidP="004E1F83">
      <w:pPr>
        <w:spacing w:before="240" w:after="240" w:line="480" w:lineRule="auto"/>
        <w:jc w:val="both"/>
        <w:rPr>
          <w:rFonts w:ascii="Arial" w:hAnsi="Arial" w:cs="Arial"/>
        </w:rPr>
      </w:pPr>
    </w:p>
    <w:p w14:paraId="60D61C98" w14:textId="77777777" w:rsidR="004E15E5" w:rsidRDefault="004E15E5" w:rsidP="004E1F83">
      <w:pPr>
        <w:spacing w:before="240" w:after="240" w:line="480" w:lineRule="auto"/>
        <w:jc w:val="both"/>
        <w:rPr>
          <w:rFonts w:ascii="Arial" w:hAnsi="Arial" w:cs="Arial"/>
        </w:rPr>
      </w:pPr>
      <w:bookmarkStart w:id="5" w:name="_GoBack"/>
      <w:bookmarkEnd w:id="5"/>
    </w:p>
    <w:p w14:paraId="68640290" w14:textId="77777777" w:rsidR="00BA7E52" w:rsidRDefault="00BA7E52" w:rsidP="004E1F83">
      <w:pPr>
        <w:spacing w:before="240" w:after="240" w:line="480" w:lineRule="auto"/>
        <w:jc w:val="both"/>
        <w:rPr>
          <w:rFonts w:ascii="Arial" w:hAnsi="Arial" w:cs="Arial"/>
        </w:rPr>
      </w:pPr>
    </w:p>
    <w:p w14:paraId="2177C2C4" w14:textId="7E18A5AB" w:rsidR="004218DC" w:rsidRPr="00BA7E52" w:rsidRDefault="00BA7E52" w:rsidP="00BA7E52">
      <w:pPr>
        <w:pStyle w:val="Heading1"/>
      </w:pPr>
      <w:bookmarkStart w:id="6" w:name="_Toc234623601"/>
      <w:r>
        <w:lastRenderedPageBreak/>
        <w:t>Reference</w:t>
      </w:r>
      <w:bookmarkEnd w:id="6"/>
    </w:p>
    <w:p w14:paraId="5A0ADE39"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proofErr w:type="spellStart"/>
      <w:r w:rsidRPr="00A71BF6">
        <w:rPr>
          <w:rFonts w:ascii="Arial" w:eastAsia="Times New Roman" w:hAnsi="Arial" w:cs="Arial"/>
          <w:szCs w:val="24"/>
          <w:lang w:eastAsia="en-GB"/>
        </w:rPr>
        <w:t>Marcolino</w:t>
      </w:r>
      <w:proofErr w:type="spellEnd"/>
      <w:r w:rsidRPr="00A71BF6">
        <w:rPr>
          <w:rFonts w:ascii="Arial" w:eastAsia="Times New Roman" w:hAnsi="Arial" w:cs="Arial"/>
          <w:szCs w:val="24"/>
          <w:lang w:eastAsia="en-GB"/>
        </w:rPr>
        <w:t xml:space="preserve">, M.S., Oliveira, J.A.Q., </w:t>
      </w:r>
      <w:proofErr w:type="spellStart"/>
      <w:r w:rsidRPr="00A71BF6">
        <w:rPr>
          <w:rFonts w:ascii="Arial" w:eastAsia="Times New Roman" w:hAnsi="Arial" w:cs="Arial"/>
          <w:szCs w:val="24"/>
          <w:lang w:eastAsia="en-GB"/>
        </w:rPr>
        <w:t>D'Agostino</w:t>
      </w:r>
      <w:proofErr w:type="spellEnd"/>
      <w:r w:rsidRPr="00A71BF6">
        <w:rPr>
          <w:rFonts w:ascii="Arial" w:eastAsia="Times New Roman" w:hAnsi="Arial" w:cs="Arial"/>
          <w:szCs w:val="24"/>
          <w:lang w:eastAsia="en-GB"/>
        </w:rPr>
        <w:t xml:space="preserve">, M., Ribeiro, A.L.P., </w:t>
      </w:r>
      <w:proofErr w:type="spellStart"/>
      <w:r w:rsidRPr="00A71BF6">
        <w:rPr>
          <w:rFonts w:ascii="Arial" w:eastAsia="Times New Roman" w:hAnsi="Arial" w:cs="Arial"/>
          <w:szCs w:val="24"/>
          <w:lang w:eastAsia="en-GB"/>
        </w:rPr>
        <w:t>Alkmim</w:t>
      </w:r>
      <w:proofErr w:type="spellEnd"/>
      <w:r w:rsidRPr="00A71BF6">
        <w:rPr>
          <w:rFonts w:ascii="Arial" w:eastAsia="Times New Roman" w:hAnsi="Arial" w:cs="Arial"/>
          <w:szCs w:val="24"/>
          <w:lang w:eastAsia="en-GB"/>
        </w:rPr>
        <w:t xml:space="preserve">, M.B.M. and </w:t>
      </w:r>
      <w:proofErr w:type="spellStart"/>
      <w:r w:rsidRPr="00A71BF6">
        <w:rPr>
          <w:rFonts w:ascii="Arial" w:eastAsia="Times New Roman" w:hAnsi="Arial" w:cs="Arial"/>
          <w:szCs w:val="24"/>
          <w:lang w:eastAsia="en-GB"/>
        </w:rPr>
        <w:t>Novillo</w:t>
      </w:r>
      <w:proofErr w:type="spellEnd"/>
      <w:r w:rsidRPr="00A71BF6">
        <w:rPr>
          <w:rFonts w:ascii="Arial" w:eastAsia="Times New Roman" w:hAnsi="Arial" w:cs="Arial"/>
          <w:szCs w:val="24"/>
          <w:lang w:eastAsia="en-GB"/>
        </w:rPr>
        <w:t xml:space="preserve">-Ortiz, D. (2018) ‘The impact of </w:t>
      </w:r>
      <w:proofErr w:type="spellStart"/>
      <w:r w:rsidRPr="00A71BF6">
        <w:rPr>
          <w:rFonts w:ascii="Arial" w:eastAsia="Times New Roman" w:hAnsi="Arial" w:cs="Arial"/>
          <w:szCs w:val="24"/>
          <w:lang w:eastAsia="en-GB"/>
        </w:rPr>
        <w:t>mHealth</w:t>
      </w:r>
      <w:proofErr w:type="spellEnd"/>
      <w:r w:rsidRPr="00A71BF6">
        <w:rPr>
          <w:rFonts w:ascii="Arial" w:eastAsia="Times New Roman" w:hAnsi="Arial" w:cs="Arial"/>
          <w:szCs w:val="24"/>
          <w:lang w:eastAsia="en-GB"/>
        </w:rPr>
        <w:t xml:space="preserve"> interventions: Systematic review of systematic reviews’, </w:t>
      </w:r>
      <w:r w:rsidRPr="00A71BF6">
        <w:rPr>
          <w:rFonts w:ascii="Arial" w:eastAsia="Times New Roman" w:hAnsi="Arial" w:cs="Arial"/>
          <w:i/>
          <w:iCs/>
          <w:szCs w:val="24"/>
          <w:lang w:eastAsia="en-GB"/>
        </w:rPr>
        <w:t xml:space="preserve">JMIR </w:t>
      </w:r>
      <w:proofErr w:type="spellStart"/>
      <w:r w:rsidRPr="00A71BF6">
        <w:rPr>
          <w:rFonts w:ascii="Arial" w:eastAsia="Times New Roman" w:hAnsi="Arial" w:cs="Arial"/>
          <w:i/>
          <w:iCs/>
          <w:szCs w:val="24"/>
          <w:lang w:eastAsia="en-GB"/>
        </w:rPr>
        <w:t>mHealth</w:t>
      </w:r>
      <w:proofErr w:type="spellEnd"/>
      <w:r w:rsidRPr="00A71BF6">
        <w:rPr>
          <w:rFonts w:ascii="Arial" w:eastAsia="Times New Roman" w:hAnsi="Arial" w:cs="Arial"/>
          <w:i/>
          <w:iCs/>
          <w:szCs w:val="24"/>
          <w:lang w:eastAsia="en-GB"/>
        </w:rPr>
        <w:t xml:space="preserve"> and </w:t>
      </w:r>
      <w:proofErr w:type="spellStart"/>
      <w:r w:rsidRPr="00A71BF6">
        <w:rPr>
          <w:rFonts w:ascii="Arial" w:eastAsia="Times New Roman" w:hAnsi="Arial" w:cs="Arial"/>
          <w:i/>
          <w:iCs/>
          <w:szCs w:val="24"/>
          <w:lang w:eastAsia="en-GB"/>
        </w:rPr>
        <w:t>uHealth</w:t>
      </w:r>
      <w:proofErr w:type="spellEnd"/>
      <w:r w:rsidRPr="00A71BF6">
        <w:rPr>
          <w:rFonts w:ascii="Arial" w:eastAsia="Times New Roman" w:hAnsi="Arial" w:cs="Arial"/>
          <w:szCs w:val="24"/>
          <w:lang w:eastAsia="en-GB"/>
        </w:rPr>
        <w:t xml:space="preserve">, 6(1), e23. Available at: </w:t>
      </w:r>
      <w:hyperlink r:id="rId24" w:history="1">
        <w:r w:rsidRPr="00A71BF6">
          <w:rPr>
            <w:rFonts w:ascii="Arial" w:eastAsia="Times New Roman" w:hAnsi="Arial" w:cs="Arial"/>
            <w:color w:val="0000FF"/>
            <w:szCs w:val="24"/>
            <w:u w:val="single"/>
            <w:lang w:eastAsia="en-GB"/>
          </w:rPr>
          <w:t>https://mhealth.jmir.org/2018/1/e23/</w:t>
        </w:r>
      </w:hyperlink>
      <w:r w:rsidRPr="00A71BF6">
        <w:rPr>
          <w:rFonts w:ascii="Arial" w:eastAsia="Times New Roman" w:hAnsi="Arial" w:cs="Arial"/>
          <w:szCs w:val="24"/>
          <w:lang w:eastAsia="en-GB"/>
        </w:rPr>
        <w:t xml:space="preserve"> (Accessed: 11 July 2026).</w:t>
      </w:r>
    </w:p>
    <w:p w14:paraId="6DFC1050"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National Institute for Health and Care Excellence (NICE) (2022) </w:t>
      </w:r>
      <w:r w:rsidRPr="00A71BF6">
        <w:rPr>
          <w:rFonts w:ascii="Arial" w:eastAsia="Times New Roman" w:hAnsi="Arial" w:cs="Arial"/>
          <w:i/>
          <w:iCs/>
          <w:szCs w:val="24"/>
          <w:lang w:eastAsia="en-GB"/>
        </w:rPr>
        <w:t>Evidence standards framework for digital health technologies</w:t>
      </w:r>
      <w:r w:rsidRPr="00A71BF6">
        <w:rPr>
          <w:rFonts w:ascii="Arial" w:eastAsia="Times New Roman" w:hAnsi="Arial" w:cs="Arial"/>
          <w:szCs w:val="24"/>
          <w:lang w:eastAsia="en-GB"/>
        </w:rPr>
        <w:t xml:space="preserve">. Available at: </w:t>
      </w:r>
      <w:hyperlink r:id="rId25" w:history="1">
        <w:r w:rsidRPr="00A71BF6">
          <w:rPr>
            <w:rFonts w:ascii="Arial" w:eastAsia="Times New Roman" w:hAnsi="Arial" w:cs="Arial"/>
            <w:color w:val="0000FF"/>
            <w:szCs w:val="24"/>
            <w:u w:val="single"/>
            <w:lang w:eastAsia="en-GB"/>
          </w:rPr>
          <w:t>https://www.nice.org.uk/corporate/ecd7</w:t>
        </w:r>
      </w:hyperlink>
      <w:r w:rsidRPr="00A71BF6">
        <w:rPr>
          <w:rFonts w:ascii="Arial" w:eastAsia="Times New Roman" w:hAnsi="Arial" w:cs="Arial"/>
          <w:szCs w:val="24"/>
          <w:lang w:eastAsia="en-GB"/>
        </w:rPr>
        <w:t xml:space="preserve"> (Accessed: 11 July 2026).</w:t>
      </w:r>
    </w:p>
    <w:p w14:paraId="7A0AC492"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NHS England (2024) </w:t>
      </w:r>
      <w:r w:rsidRPr="00A71BF6">
        <w:rPr>
          <w:rFonts w:ascii="Arial" w:eastAsia="Times New Roman" w:hAnsi="Arial" w:cs="Arial"/>
          <w:i/>
          <w:iCs/>
          <w:szCs w:val="24"/>
          <w:lang w:eastAsia="en-GB"/>
        </w:rPr>
        <w:t>NHS App</w:t>
      </w:r>
      <w:r w:rsidRPr="00A71BF6">
        <w:rPr>
          <w:rFonts w:ascii="Arial" w:eastAsia="Times New Roman" w:hAnsi="Arial" w:cs="Arial"/>
          <w:szCs w:val="24"/>
          <w:lang w:eastAsia="en-GB"/>
        </w:rPr>
        <w:t xml:space="preserve">. Available at: </w:t>
      </w:r>
      <w:hyperlink r:id="rId26" w:history="1">
        <w:r w:rsidRPr="00A71BF6">
          <w:rPr>
            <w:rFonts w:ascii="Arial" w:eastAsia="Times New Roman" w:hAnsi="Arial" w:cs="Arial"/>
            <w:color w:val="0000FF"/>
            <w:szCs w:val="24"/>
            <w:u w:val="single"/>
            <w:lang w:eastAsia="en-GB"/>
          </w:rPr>
          <w:t>https://www.nhs.uk/nhs-app/</w:t>
        </w:r>
      </w:hyperlink>
      <w:r w:rsidRPr="00A71BF6">
        <w:rPr>
          <w:rFonts w:ascii="Arial" w:eastAsia="Times New Roman" w:hAnsi="Arial" w:cs="Arial"/>
          <w:szCs w:val="24"/>
          <w:lang w:eastAsia="en-GB"/>
        </w:rPr>
        <w:t xml:space="preserve"> (Accessed: 11 July 2026).</w:t>
      </w:r>
    </w:p>
    <w:p w14:paraId="0A240A75"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NHS England (2024) </w:t>
      </w:r>
      <w:r w:rsidRPr="00A71BF6">
        <w:rPr>
          <w:rFonts w:ascii="Arial" w:eastAsia="Times New Roman" w:hAnsi="Arial" w:cs="Arial"/>
          <w:i/>
          <w:iCs/>
          <w:szCs w:val="24"/>
          <w:lang w:eastAsia="en-GB"/>
        </w:rPr>
        <w:t>Health Survey for England</w:t>
      </w:r>
      <w:r w:rsidRPr="00A71BF6">
        <w:rPr>
          <w:rFonts w:ascii="Arial" w:eastAsia="Times New Roman" w:hAnsi="Arial" w:cs="Arial"/>
          <w:szCs w:val="24"/>
          <w:lang w:eastAsia="en-GB"/>
        </w:rPr>
        <w:t xml:space="preserve">. Available at: </w:t>
      </w:r>
      <w:hyperlink r:id="rId27" w:history="1">
        <w:r w:rsidRPr="00A71BF6">
          <w:rPr>
            <w:rFonts w:ascii="Arial" w:eastAsia="Times New Roman" w:hAnsi="Arial" w:cs="Arial"/>
            <w:color w:val="0000FF"/>
            <w:szCs w:val="24"/>
            <w:u w:val="single"/>
            <w:lang w:eastAsia="en-GB"/>
          </w:rPr>
          <w:t>https://digital.nhs.uk/data-and-information/publications/statistical/health-survey-for-england</w:t>
        </w:r>
      </w:hyperlink>
      <w:r w:rsidRPr="00A71BF6">
        <w:rPr>
          <w:rFonts w:ascii="Arial" w:eastAsia="Times New Roman" w:hAnsi="Arial" w:cs="Arial"/>
          <w:szCs w:val="24"/>
          <w:lang w:eastAsia="en-GB"/>
        </w:rPr>
        <w:t xml:space="preserve"> (Accessed: 11 July 2026).</w:t>
      </w:r>
    </w:p>
    <w:p w14:paraId="23B1CFE5"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Office for National Statistics (2023) </w:t>
      </w:r>
      <w:r w:rsidRPr="00A71BF6">
        <w:rPr>
          <w:rFonts w:ascii="Arial" w:eastAsia="Times New Roman" w:hAnsi="Arial" w:cs="Arial"/>
          <w:i/>
          <w:iCs/>
          <w:szCs w:val="24"/>
          <w:lang w:eastAsia="en-GB"/>
        </w:rPr>
        <w:t>Internet access – households and individuals, Great Britain</w:t>
      </w:r>
      <w:r w:rsidRPr="00A71BF6">
        <w:rPr>
          <w:rFonts w:ascii="Arial" w:eastAsia="Times New Roman" w:hAnsi="Arial" w:cs="Arial"/>
          <w:szCs w:val="24"/>
          <w:lang w:eastAsia="en-GB"/>
        </w:rPr>
        <w:t xml:space="preserve">. Available at: </w:t>
      </w:r>
      <w:hyperlink r:id="rId28" w:history="1">
        <w:r w:rsidRPr="00A71BF6">
          <w:rPr>
            <w:rFonts w:ascii="Arial" w:eastAsia="Times New Roman" w:hAnsi="Arial" w:cs="Arial"/>
            <w:color w:val="0000FF"/>
            <w:szCs w:val="24"/>
            <w:u w:val="single"/>
            <w:lang w:eastAsia="en-GB"/>
          </w:rPr>
          <w:t>https://www.ons.gov.uk/peoplepopulationandcommunity/householdcharacteristics/homeinternetandsocialmediausage</w:t>
        </w:r>
      </w:hyperlink>
      <w:r w:rsidRPr="00A71BF6">
        <w:rPr>
          <w:rFonts w:ascii="Arial" w:eastAsia="Times New Roman" w:hAnsi="Arial" w:cs="Arial"/>
          <w:szCs w:val="24"/>
          <w:lang w:eastAsia="en-GB"/>
        </w:rPr>
        <w:t xml:space="preserve"> (Accessed: 11 July 2026).</w:t>
      </w:r>
    </w:p>
    <w:p w14:paraId="7781502A"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proofErr w:type="spellStart"/>
      <w:r w:rsidRPr="00A71BF6">
        <w:rPr>
          <w:rFonts w:ascii="Arial" w:eastAsia="Times New Roman" w:hAnsi="Arial" w:cs="Arial"/>
          <w:szCs w:val="24"/>
          <w:lang w:eastAsia="en-GB"/>
        </w:rPr>
        <w:t>Topol</w:t>
      </w:r>
      <w:proofErr w:type="spellEnd"/>
      <w:r w:rsidRPr="00A71BF6">
        <w:rPr>
          <w:rFonts w:ascii="Arial" w:eastAsia="Times New Roman" w:hAnsi="Arial" w:cs="Arial"/>
          <w:szCs w:val="24"/>
          <w:lang w:eastAsia="en-GB"/>
        </w:rPr>
        <w:t xml:space="preserve">, E. (2019) </w:t>
      </w:r>
      <w:r w:rsidRPr="00A71BF6">
        <w:rPr>
          <w:rFonts w:ascii="Arial" w:eastAsia="Times New Roman" w:hAnsi="Arial" w:cs="Arial"/>
          <w:i/>
          <w:iCs/>
          <w:szCs w:val="24"/>
          <w:lang w:eastAsia="en-GB"/>
        </w:rPr>
        <w:t xml:space="preserve">The </w:t>
      </w:r>
      <w:proofErr w:type="spellStart"/>
      <w:r w:rsidRPr="00A71BF6">
        <w:rPr>
          <w:rFonts w:ascii="Arial" w:eastAsia="Times New Roman" w:hAnsi="Arial" w:cs="Arial"/>
          <w:i/>
          <w:iCs/>
          <w:szCs w:val="24"/>
          <w:lang w:eastAsia="en-GB"/>
        </w:rPr>
        <w:t>Topol</w:t>
      </w:r>
      <w:proofErr w:type="spellEnd"/>
      <w:r w:rsidRPr="00A71BF6">
        <w:rPr>
          <w:rFonts w:ascii="Arial" w:eastAsia="Times New Roman" w:hAnsi="Arial" w:cs="Arial"/>
          <w:i/>
          <w:iCs/>
          <w:szCs w:val="24"/>
          <w:lang w:eastAsia="en-GB"/>
        </w:rPr>
        <w:t xml:space="preserve"> Review: Preparing the healthcare workforce to deliver the digital future</w:t>
      </w:r>
      <w:r w:rsidRPr="00A71BF6">
        <w:rPr>
          <w:rFonts w:ascii="Arial" w:eastAsia="Times New Roman" w:hAnsi="Arial" w:cs="Arial"/>
          <w:szCs w:val="24"/>
          <w:lang w:eastAsia="en-GB"/>
        </w:rPr>
        <w:t xml:space="preserve">. Available at: </w:t>
      </w:r>
      <w:hyperlink r:id="rId29" w:history="1">
        <w:r w:rsidRPr="00A71BF6">
          <w:rPr>
            <w:rFonts w:ascii="Arial" w:eastAsia="Times New Roman" w:hAnsi="Arial" w:cs="Arial"/>
            <w:color w:val="0000FF"/>
            <w:szCs w:val="24"/>
            <w:u w:val="single"/>
            <w:lang w:eastAsia="en-GB"/>
          </w:rPr>
          <w:t>https://topol.hee.nhs.uk/</w:t>
        </w:r>
      </w:hyperlink>
      <w:r w:rsidRPr="00A71BF6">
        <w:rPr>
          <w:rFonts w:ascii="Arial" w:eastAsia="Times New Roman" w:hAnsi="Arial" w:cs="Arial"/>
          <w:szCs w:val="24"/>
          <w:lang w:eastAsia="en-GB"/>
        </w:rPr>
        <w:t xml:space="preserve"> (Accessed: 11 July 2026).</w:t>
      </w:r>
    </w:p>
    <w:p w14:paraId="36ED6281"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World Health Organization (2021) </w:t>
      </w:r>
      <w:r w:rsidRPr="00A71BF6">
        <w:rPr>
          <w:rFonts w:ascii="Arial" w:eastAsia="Times New Roman" w:hAnsi="Arial" w:cs="Arial"/>
          <w:i/>
          <w:iCs/>
          <w:szCs w:val="24"/>
          <w:lang w:eastAsia="en-GB"/>
        </w:rPr>
        <w:t>Global Strategy on Digital Health 2020–2025</w:t>
      </w:r>
      <w:r w:rsidRPr="00A71BF6">
        <w:rPr>
          <w:rFonts w:ascii="Arial" w:eastAsia="Times New Roman" w:hAnsi="Arial" w:cs="Arial"/>
          <w:szCs w:val="24"/>
          <w:lang w:eastAsia="en-GB"/>
        </w:rPr>
        <w:t xml:space="preserve">. Available at: </w:t>
      </w:r>
      <w:hyperlink r:id="rId30" w:history="1">
        <w:r w:rsidRPr="00A71BF6">
          <w:rPr>
            <w:rFonts w:ascii="Arial" w:eastAsia="Times New Roman" w:hAnsi="Arial" w:cs="Arial"/>
            <w:color w:val="0000FF"/>
            <w:szCs w:val="24"/>
            <w:u w:val="single"/>
            <w:lang w:eastAsia="en-GB"/>
          </w:rPr>
          <w:t>https://www.who.int/publications/i/item/9789240020924</w:t>
        </w:r>
      </w:hyperlink>
      <w:r w:rsidRPr="00A71BF6">
        <w:rPr>
          <w:rFonts w:ascii="Arial" w:eastAsia="Times New Roman" w:hAnsi="Arial" w:cs="Arial"/>
          <w:szCs w:val="24"/>
          <w:lang w:eastAsia="en-GB"/>
        </w:rPr>
        <w:t xml:space="preserve"> (Accessed: 11 July 2026).</w:t>
      </w:r>
    </w:p>
    <w:p w14:paraId="4BE8C375"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World Health Organization (2024) </w:t>
      </w:r>
      <w:proofErr w:type="spellStart"/>
      <w:r w:rsidRPr="00A71BF6">
        <w:rPr>
          <w:rFonts w:ascii="Arial" w:eastAsia="Times New Roman" w:hAnsi="Arial" w:cs="Arial"/>
          <w:i/>
          <w:iCs/>
          <w:szCs w:val="24"/>
          <w:lang w:eastAsia="en-GB"/>
        </w:rPr>
        <w:t>Noncommunicable</w:t>
      </w:r>
      <w:proofErr w:type="spellEnd"/>
      <w:r w:rsidRPr="00A71BF6">
        <w:rPr>
          <w:rFonts w:ascii="Arial" w:eastAsia="Times New Roman" w:hAnsi="Arial" w:cs="Arial"/>
          <w:i/>
          <w:iCs/>
          <w:szCs w:val="24"/>
          <w:lang w:eastAsia="en-GB"/>
        </w:rPr>
        <w:t xml:space="preserve"> diseases</w:t>
      </w:r>
      <w:r w:rsidRPr="00A71BF6">
        <w:rPr>
          <w:rFonts w:ascii="Arial" w:eastAsia="Times New Roman" w:hAnsi="Arial" w:cs="Arial"/>
          <w:szCs w:val="24"/>
          <w:lang w:eastAsia="en-GB"/>
        </w:rPr>
        <w:t xml:space="preserve">. Available at: </w:t>
      </w:r>
      <w:hyperlink r:id="rId31" w:history="1">
        <w:r w:rsidRPr="00A71BF6">
          <w:rPr>
            <w:rFonts w:ascii="Arial" w:eastAsia="Times New Roman" w:hAnsi="Arial" w:cs="Arial"/>
            <w:color w:val="0000FF"/>
            <w:szCs w:val="24"/>
            <w:u w:val="single"/>
            <w:lang w:eastAsia="en-GB"/>
          </w:rPr>
          <w:t>https://www.who.int/news-room/fact-sheets/detail/noncommunicable-diseases</w:t>
        </w:r>
      </w:hyperlink>
      <w:r w:rsidRPr="00A71BF6">
        <w:rPr>
          <w:rFonts w:ascii="Arial" w:eastAsia="Times New Roman" w:hAnsi="Arial" w:cs="Arial"/>
          <w:szCs w:val="24"/>
          <w:lang w:eastAsia="en-GB"/>
        </w:rPr>
        <w:t xml:space="preserve"> (Accessed: 11 July 2026).</w:t>
      </w:r>
    </w:p>
    <w:p w14:paraId="3B9F3C1E"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World Health Organization (2024) </w:t>
      </w:r>
      <w:r w:rsidRPr="00A71BF6">
        <w:rPr>
          <w:rFonts w:ascii="Arial" w:eastAsia="Times New Roman" w:hAnsi="Arial" w:cs="Arial"/>
          <w:i/>
          <w:iCs/>
          <w:szCs w:val="24"/>
          <w:lang w:eastAsia="en-GB"/>
        </w:rPr>
        <w:t>Obesity and overweight</w:t>
      </w:r>
      <w:r w:rsidRPr="00A71BF6">
        <w:rPr>
          <w:rFonts w:ascii="Arial" w:eastAsia="Times New Roman" w:hAnsi="Arial" w:cs="Arial"/>
          <w:szCs w:val="24"/>
          <w:lang w:eastAsia="en-GB"/>
        </w:rPr>
        <w:t xml:space="preserve">. Available at: </w:t>
      </w:r>
      <w:hyperlink r:id="rId32" w:history="1">
        <w:r w:rsidRPr="00A71BF6">
          <w:rPr>
            <w:rFonts w:ascii="Arial" w:eastAsia="Times New Roman" w:hAnsi="Arial" w:cs="Arial"/>
            <w:color w:val="0000FF"/>
            <w:szCs w:val="24"/>
            <w:u w:val="single"/>
            <w:lang w:eastAsia="en-GB"/>
          </w:rPr>
          <w:t>https://www.who.int/news-room/fact-sheets/detail/obesity-and-overweight</w:t>
        </w:r>
      </w:hyperlink>
      <w:r w:rsidRPr="00A71BF6">
        <w:rPr>
          <w:rFonts w:ascii="Arial" w:eastAsia="Times New Roman" w:hAnsi="Arial" w:cs="Arial"/>
          <w:szCs w:val="24"/>
          <w:lang w:eastAsia="en-GB"/>
        </w:rPr>
        <w:t xml:space="preserve"> (Accessed: 11 July 2026).</w:t>
      </w:r>
    </w:p>
    <w:p w14:paraId="66D211DA" w14:textId="77777777" w:rsidR="00A71BF6" w:rsidRPr="00A71BF6" w:rsidRDefault="00A71BF6" w:rsidP="00A71BF6">
      <w:pPr>
        <w:pStyle w:val="ListParagraph"/>
        <w:numPr>
          <w:ilvl w:val="0"/>
          <w:numId w:val="3"/>
        </w:numPr>
        <w:spacing w:before="100" w:beforeAutospacing="1" w:after="100" w:afterAutospacing="1" w:line="360" w:lineRule="auto"/>
        <w:jc w:val="both"/>
        <w:rPr>
          <w:rFonts w:ascii="Arial" w:eastAsia="Times New Roman" w:hAnsi="Arial" w:cs="Arial"/>
          <w:szCs w:val="24"/>
          <w:lang w:eastAsia="en-GB"/>
        </w:rPr>
      </w:pPr>
      <w:r w:rsidRPr="00A71BF6">
        <w:rPr>
          <w:rFonts w:ascii="Arial" w:eastAsia="Times New Roman" w:hAnsi="Arial" w:cs="Arial"/>
          <w:szCs w:val="24"/>
          <w:lang w:eastAsia="en-GB"/>
        </w:rPr>
        <w:t xml:space="preserve">Yardley, L., Morrison, L., Bradbury, K. and Muller, I. (2015) ‘The person-based approach to intervention development: Application to digital health-related behaviour change interventions’, </w:t>
      </w:r>
      <w:r w:rsidRPr="00A71BF6">
        <w:rPr>
          <w:rFonts w:ascii="Arial" w:eastAsia="Times New Roman" w:hAnsi="Arial" w:cs="Arial"/>
          <w:i/>
          <w:iCs/>
          <w:szCs w:val="24"/>
          <w:lang w:eastAsia="en-GB"/>
        </w:rPr>
        <w:t>Journal of Medical Internet Research</w:t>
      </w:r>
      <w:r w:rsidRPr="00A71BF6">
        <w:rPr>
          <w:rFonts w:ascii="Arial" w:eastAsia="Times New Roman" w:hAnsi="Arial" w:cs="Arial"/>
          <w:szCs w:val="24"/>
          <w:lang w:eastAsia="en-GB"/>
        </w:rPr>
        <w:t xml:space="preserve">, 17(1), e30. Available at: </w:t>
      </w:r>
      <w:hyperlink r:id="rId33" w:history="1">
        <w:r w:rsidRPr="00A71BF6">
          <w:rPr>
            <w:rFonts w:ascii="Arial" w:eastAsia="Times New Roman" w:hAnsi="Arial" w:cs="Arial"/>
            <w:color w:val="0000FF"/>
            <w:szCs w:val="24"/>
            <w:u w:val="single"/>
            <w:lang w:eastAsia="en-GB"/>
          </w:rPr>
          <w:t>https://www.jmir.org/2015/1/e30/</w:t>
        </w:r>
      </w:hyperlink>
      <w:r w:rsidRPr="00A71BF6">
        <w:rPr>
          <w:rFonts w:ascii="Arial" w:eastAsia="Times New Roman" w:hAnsi="Arial" w:cs="Arial"/>
          <w:szCs w:val="24"/>
          <w:lang w:eastAsia="en-GB"/>
        </w:rPr>
        <w:t xml:space="preserve"> (Accessed: 11 July 2026).</w:t>
      </w:r>
    </w:p>
    <w:p w14:paraId="194D617D" w14:textId="4DDA9767" w:rsidR="00297534" w:rsidRPr="00283D5D" w:rsidRDefault="00297534" w:rsidP="00283D5D">
      <w:pPr>
        <w:spacing w:before="240" w:after="240" w:line="480" w:lineRule="auto"/>
        <w:jc w:val="both"/>
        <w:rPr>
          <w:rFonts w:ascii="Times New Roman" w:eastAsia="Times New Roman" w:hAnsi="Times New Roman" w:cs="Times New Roman"/>
          <w:sz w:val="24"/>
          <w:szCs w:val="24"/>
          <w:lang w:eastAsia="en-GB"/>
        </w:rPr>
      </w:pPr>
    </w:p>
    <w:sectPr w:rsidR="00297534" w:rsidRPr="00283D5D"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2833CB" w14:textId="77777777" w:rsidR="00B97B81" w:rsidRDefault="00B97B81">
      <w:pPr>
        <w:spacing w:after="0" w:line="240" w:lineRule="auto"/>
      </w:pPr>
      <w:r>
        <w:separator/>
      </w:r>
    </w:p>
  </w:endnote>
  <w:endnote w:type="continuationSeparator" w:id="0">
    <w:p w14:paraId="21BAC362" w14:textId="77777777" w:rsidR="00B97B81" w:rsidRDefault="00B97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57AFEDF7" w:rsidR="00AA4852" w:rsidRDefault="00AA4852">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4E15E5">
      <w:rPr>
        <w:rFonts w:ascii="Calibri" w:eastAsia="Calibri" w:hAnsi="Calibri" w:cs="Calibri"/>
        <w:noProof/>
        <w:color w:val="000000"/>
      </w:rPr>
      <w:t>7</w:t>
    </w:r>
    <w:r>
      <w:rPr>
        <w:color w:val="000000"/>
      </w:rPr>
      <w:fldChar w:fldCharType="end"/>
    </w:r>
  </w:p>
  <w:p w14:paraId="5F139649" w14:textId="77777777" w:rsidR="00AA4852" w:rsidRDefault="00AA485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D5C0EA" w14:textId="77777777" w:rsidR="00B97B81" w:rsidRDefault="00B97B81">
      <w:pPr>
        <w:spacing w:after="0" w:line="240" w:lineRule="auto"/>
      </w:pPr>
      <w:r>
        <w:separator/>
      </w:r>
    </w:p>
  </w:footnote>
  <w:footnote w:type="continuationSeparator" w:id="0">
    <w:p w14:paraId="78C8B0D0" w14:textId="77777777" w:rsidR="00B97B81" w:rsidRDefault="00B97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35142B"/>
    <w:multiLevelType w:val="hybridMultilevel"/>
    <w:tmpl w:val="B7188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AF6054"/>
    <w:multiLevelType w:val="hybridMultilevel"/>
    <w:tmpl w:val="725E1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66031E"/>
    <w:multiLevelType w:val="hybridMultilevel"/>
    <w:tmpl w:val="8410F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31D6"/>
    <w:rsid w:val="000148AE"/>
    <w:rsid w:val="00015105"/>
    <w:rsid w:val="000205B8"/>
    <w:rsid w:val="000219F3"/>
    <w:rsid w:val="00035E3D"/>
    <w:rsid w:val="00035E3E"/>
    <w:rsid w:val="000415CF"/>
    <w:rsid w:val="00042FE9"/>
    <w:rsid w:val="000434C5"/>
    <w:rsid w:val="00045271"/>
    <w:rsid w:val="00047A0C"/>
    <w:rsid w:val="00054512"/>
    <w:rsid w:val="00056169"/>
    <w:rsid w:val="00060D21"/>
    <w:rsid w:val="0006107F"/>
    <w:rsid w:val="00061289"/>
    <w:rsid w:val="00063C11"/>
    <w:rsid w:val="00063F62"/>
    <w:rsid w:val="0006590B"/>
    <w:rsid w:val="00081F05"/>
    <w:rsid w:val="00083560"/>
    <w:rsid w:val="00092987"/>
    <w:rsid w:val="000966E4"/>
    <w:rsid w:val="00096FCF"/>
    <w:rsid w:val="000A05CD"/>
    <w:rsid w:val="000A1AA1"/>
    <w:rsid w:val="000A1EF6"/>
    <w:rsid w:val="000A627C"/>
    <w:rsid w:val="000B2628"/>
    <w:rsid w:val="000B3261"/>
    <w:rsid w:val="000D0C15"/>
    <w:rsid w:val="000D2C11"/>
    <w:rsid w:val="000D51B2"/>
    <w:rsid w:val="000E7846"/>
    <w:rsid w:val="0010276B"/>
    <w:rsid w:val="00103736"/>
    <w:rsid w:val="001042CB"/>
    <w:rsid w:val="001047C8"/>
    <w:rsid w:val="00107205"/>
    <w:rsid w:val="00113605"/>
    <w:rsid w:val="00114562"/>
    <w:rsid w:val="001170A3"/>
    <w:rsid w:val="00124F52"/>
    <w:rsid w:val="001317BB"/>
    <w:rsid w:val="00131A87"/>
    <w:rsid w:val="001425AE"/>
    <w:rsid w:val="00142CC5"/>
    <w:rsid w:val="001454D1"/>
    <w:rsid w:val="0015207D"/>
    <w:rsid w:val="00161318"/>
    <w:rsid w:val="001716FD"/>
    <w:rsid w:val="00175A6B"/>
    <w:rsid w:val="001763E7"/>
    <w:rsid w:val="00182B85"/>
    <w:rsid w:val="00192680"/>
    <w:rsid w:val="00193D57"/>
    <w:rsid w:val="001A508A"/>
    <w:rsid w:val="001A50F5"/>
    <w:rsid w:val="001A5555"/>
    <w:rsid w:val="001B059B"/>
    <w:rsid w:val="001B229E"/>
    <w:rsid w:val="001B425F"/>
    <w:rsid w:val="001B43D9"/>
    <w:rsid w:val="001C379B"/>
    <w:rsid w:val="001C7138"/>
    <w:rsid w:val="001D1A0C"/>
    <w:rsid w:val="001D7986"/>
    <w:rsid w:val="001E1D6E"/>
    <w:rsid w:val="001F167B"/>
    <w:rsid w:val="001F1F9C"/>
    <w:rsid w:val="001F5646"/>
    <w:rsid w:val="002007F0"/>
    <w:rsid w:val="00206AF2"/>
    <w:rsid w:val="00213221"/>
    <w:rsid w:val="0021405B"/>
    <w:rsid w:val="0022094A"/>
    <w:rsid w:val="00222810"/>
    <w:rsid w:val="00225C49"/>
    <w:rsid w:val="00231639"/>
    <w:rsid w:val="0023194E"/>
    <w:rsid w:val="002343AE"/>
    <w:rsid w:val="002345C8"/>
    <w:rsid w:val="00235142"/>
    <w:rsid w:val="00237461"/>
    <w:rsid w:val="00243884"/>
    <w:rsid w:val="00246AB7"/>
    <w:rsid w:val="00247C50"/>
    <w:rsid w:val="00262E98"/>
    <w:rsid w:val="00266AE2"/>
    <w:rsid w:val="002760F3"/>
    <w:rsid w:val="00280021"/>
    <w:rsid w:val="00280BCA"/>
    <w:rsid w:val="002814B4"/>
    <w:rsid w:val="00283C36"/>
    <w:rsid w:val="00283D5D"/>
    <w:rsid w:val="0029197F"/>
    <w:rsid w:val="0029307C"/>
    <w:rsid w:val="00294362"/>
    <w:rsid w:val="00297534"/>
    <w:rsid w:val="00297B30"/>
    <w:rsid w:val="002A1E9A"/>
    <w:rsid w:val="002A2EC5"/>
    <w:rsid w:val="002A2F5B"/>
    <w:rsid w:val="002A362C"/>
    <w:rsid w:val="002B0C68"/>
    <w:rsid w:val="002B3E19"/>
    <w:rsid w:val="002B5DD1"/>
    <w:rsid w:val="002C00D3"/>
    <w:rsid w:val="002C6512"/>
    <w:rsid w:val="002D417E"/>
    <w:rsid w:val="002D6D4D"/>
    <w:rsid w:val="002E0852"/>
    <w:rsid w:val="002E1245"/>
    <w:rsid w:val="002E2295"/>
    <w:rsid w:val="002F7EE9"/>
    <w:rsid w:val="00301D1A"/>
    <w:rsid w:val="00302782"/>
    <w:rsid w:val="003034CE"/>
    <w:rsid w:val="00303A0F"/>
    <w:rsid w:val="00305A2B"/>
    <w:rsid w:val="00316464"/>
    <w:rsid w:val="003204D3"/>
    <w:rsid w:val="00326D58"/>
    <w:rsid w:val="00331AD8"/>
    <w:rsid w:val="003335B1"/>
    <w:rsid w:val="003405D9"/>
    <w:rsid w:val="00342B50"/>
    <w:rsid w:val="00346F8B"/>
    <w:rsid w:val="00356BF4"/>
    <w:rsid w:val="00356EC7"/>
    <w:rsid w:val="00372B18"/>
    <w:rsid w:val="003803C9"/>
    <w:rsid w:val="00384D95"/>
    <w:rsid w:val="003861AE"/>
    <w:rsid w:val="00392548"/>
    <w:rsid w:val="00393CFF"/>
    <w:rsid w:val="00395BCF"/>
    <w:rsid w:val="0039704B"/>
    <w:rsid w:val="003A2F14"/>
    <w:rsid w:val="003A326F"/>
    <w:rsid w:val="003A445C"/>
    <w:rsid w:val="003A61D3"/>
    <w:rsid w:val="003B3B6A"/>
    <w:rsid w:val="003D1C94"/>
    <w:rsid w:val="003D4BD4"/>
    <w:rsid w:val="003E55DB"/>
    <w:rsid w:val="00404B63"/>
    <w:rsid w:val="00406260"/>
    <w:rsid w:val="00411409"/>
    <w:rsid w:val="00412DEC"/>
    <w:rsid w:val="00414832"/>
    <w:rsid w:val="004218DC"/>
    <w:rsid w:val="00422FB6"/>
    <w:rsid w:val="00425C88"/>
    <w:rsid w:val="00430020"/>
    <w:rsid w:val="0043149C"/>
    <w:rsid w:val="00433B86"/>
    <w:rsid w:val="0043754B"/>
    <w:rsid w:val="00444F19"/>
    <w:rsid w:val="004565F9"/>
    <w:rsid w:val="00457DF7"/>
    <w:rsid w:val="0046214D"/>
    <w:rsid w:val="00462CF1"/>
    <w:rsid w:val="00464C03"/>
    <w:rsid w:val="0047759B"/>
    <w:rsid w:val="004813B2"/>
    <w:rsid w:val="00486884"/>
    <w:rsid w:val="00486F48"/>
    <w:rsid w:val="00486FCB"/>
    <w:rsid w:val="00490B60"/>
    <w:rsid w:val="00491D11"/>
    <w:rsid w:val="004958B7"/>
    <w:rsid w:val="00496C75"/>
    <w:rsid w:val="004976DB"/>
    <w:rsid w:val="004A4D24"/>
    <w:rsid w:val="004B38BD"/>
    <w:rsid w:val="004C0841"/>
    <w:rsid w:val="004C783E"/>
    <w:rsid w:val="004D0EE8"/>
    <w:rsid w:val="004D5C9E"/>
    <w:rsid w:val="004D5CAD"/>
    <w:rsid w:val="004D71BC"/>
    <w:rsid w:val="004D73A1"/>
    <w:rsid w:val="004D7620"/>
    <w:rsid w:val="004E0970"/>
    <w:rsid w:val="004E15E5"/>
    <w:rsid w:val="004E1F83"/>
    <w:rsid w:val="004E4426"/>
    <w:rsid w:val="004E581D"/>
    <w:rsid w:val="004E6B49"/>
    <w:rsid w:val="004F16F8"/>
    <w:rsid w:val="004F3D55"/>
    <w:rsid w:val="004F64E4"/>
    <w:rsid w:val="004F7D2F"/>
    <w:rsid w:val="00504ED5"/>
    <w:rsid w:val="005107B5"/>
    <w:rsid w:val="00511B2E"/>
    <w:rsid w:val="00512DDE"/>
    <w:rsid w:val="00514D8A"/>
    <w:rsid w:val="00524A8D"/>
    <w:rsid w:val="005263A5"/>
    <w:rsid w:val="00542D3E"/>
    <w:rsid w:val="00543A90"/>
    <w:rsid w:val="005508E8"/>
    <w:rsid w:val="005510B7"/>
    <w:rsid w:val="00563B49"/>
    <w:rsid w:val="00564039"/>
    <w:rsid w:val="0056508E"/>
    <w:rsid w:val="00566672"/>
    <w:rsid w:val="00566685"/>
    <w:rsid w:val="00566C6F"/>
    <w:rsid w:val="0057192E"/>
    <w:rsid w:val="00574AF4"/>
    <w:rsid w:val="00575DCC"/>
    <w:rsid w:val="005767BB"/>
    <w:rsid w:val="00581FCA"/>
    <w:rsid w:val="00582583"/>
    <w:rsid w:val="005849EF"/>
    <w:rsid w:val="00585D85"/>
    <w:rsid w:val="005863E3"/>
    <w:rsid w:val="00590800"/>
    <w:rsid w:val="005A0A07"/>
    <w:rsid w:val="005A7462"/>
    <w:rsid w:val="005E408A"/>
    <w:rsid w:val="005F2132"/>
    <w:rsid w:val="005F2A68"/>
    <w:rsid w:val="0060011A"/>
    <w:rsid w:val="00601DF8"/>
    <w:rsid w:val="00602221"/>
    <w:rsid w:val="00606E5A"/>
    <w:rsid w:val="00612CAB"/>
    <w:rsid w:val="00613D04"/>
    <w:rsid w:val="006223D0"/>
    <w:rsid w:val="00626D0D"/>
    <w:rsid w:val="006422F6"/>
    <w:rsid w:val="00643D28"/>
    <w:rsid w:val="0065420F"/>
    <w:rsid w:val="0065491D"/>
    <w:rsid w:val="00656EFC"/>
    <w:rsid w:val="00657EF4"/>
    <w:rsid w:val="00671ACF"/>
    <w:rsid w:val="00671AE0"/>
    <w:rsid w:val="0067256C"/>
    <w:rsid w:val="0069643B"/>
    <w:rsid w:val="006A0B46"/>
    <w:rsid w:val="006A25B3"/>
    <w:rsid w:val="006A30E4"/>
    <w:rsid w:val="006A3CB2"/>
    <w:rsid w:val="006B609B"/>
    <w:rsid w:val="006B671C"/>
    <w:rsid w:val="006C08D3"/>
    <w:rsid w:val="006C6188"/>
    <w:rsid w:val="006C71C6"/>
    <w:rsid w:val="006D1432"/>
    <w:rsid w:val="006D2666"/>
    <w:rsid w:val="006D3CC2"/>
    <w:rsid w:val="006D5A57"/>
    <w:rsid w:val="006D7BE1"/>
    <w:rsid w:val="006E13C2"/>
    <w:rsid w:val="006E7FA3"/>
    <w:rsid w:val="006F1327"/>
    <w:rsid w:val="006F7011"/>
    <w:rsid w:val="00704348"/>
    <w:rsid w:val="00706226"/>
    <w:rsid w:val="00710C41"/>
    <w:rsid w:val="00712AB1"/>
    <w:rsid w:val="00714127"/>
    <w:rsid w:val="00714998"/>
    <w:rsid w:val="00714D3F"/>
    <w:rsid w:val="0072557B"/>
    <w:rsid w:val="00730903"/>
    <w:rsid w:val="007445DF"/>
    <w:rsid w:val="00750B14"/>
    <w:rsid w:val="00751198"/>
    <w:rsid w:val="00763516"/>
    <w:rsid w:val="00777FE2"/>
    <w:rsid w:val="00781BA2"/>
    <w:rsid w:val="00783084"/>
    <w:rsid w:val="00783E5B"/>
    <w:rsid w:val="00792052"/>
    <w:rsid w:val="00793186"/>
    <w:rsid w:val="00794FE2"/>
    <w:rsid w:val="007A0A3D"/>
    <w:rsid w:val="007A0FFA"/>
    <w:rsid w:val="007B4B7D"/>
    <w:rsid w:val="007B74C0"/>
    <w:rsid w:val="007C7348"/>
    <w:rsid w:val="007D0444"/>
    <w:rsid w:val="007E0FA4"/>
    <w:rsid w:val="007E23F6"/>
    <w:rsid w:val="007E31C0"/>
    <w:rsid w:val="007E5927"/>
    <w:rsid w:val="007E5DDC"/>
    <w:rsid w:val="007F0AEE"/>
    <w:rsid w:val="007F4D2A"/>
    <w:rsid w:val="00802946"/>
    <w:rsid w:val="00805FDF"/>
    <w:rsid w:val="00824578"/>
    <w:rsid w:val="008274AE"/>
    <w:rsid w:val="00832209"/>
    <w:rsid w:val="008425C2"/>
    <w:rsid w:val="00844221"/>
    <w:rsid w:val="008530E7"/>
    <w:rsid w:val="00856DE8"/>
    <w:rsid w:val="00857D6B"/>
    <w:rsid w:val="00870C36"/>
    <w:rsid w:val="00886506"/>
    <w:rsid w:val="008931C3"/>
    <w:rsid w:val="00894EA9"/>
    <w:rsid w:val="008955ED"/>
    <w:rsid w:val="008A1144"/>
    <w:rsid w:val="008A6D6E"/>
    <w:rsid w:val="008B222E"/>
    <w:rsid w:val="008B38CE"/>
    <w:rsid w:val="008B3A98"/>
    <w:rsid w:val="008C315F"/>
    <w:rsid w:val="008C3EE7"/>
    <w:rsid w:val="008D3CF6"/>
    <w:rsid w:val="008E7C64"/>
    <w:rsid w:val="008F0D4B"/>
    <w:rsid w:val="00900B6F"/>
    <w:rsid w:val="00901DF6"/>
    <w:rsid w:val="009047AB"/>
    <w:rsid w:val="0090639A"/>
    <w:rsid w:val="009116CB"/>
    <w:rsid w:val="00911AF6"/>
    <w:rsid w:val="0091620A"/>
    <w:rsid w:val="00916AD8"/>
    <w:rsid w:val="00923227"/>
    <w:rsid w:val="00936CED"/>
    <w:rsid w:val="00951AF3"/>
    <w:rsid w:val="00955819"/>
    <w:rsid w:val="00962BAE"/>
    <w:rsid w:val="00974447"/>
    <w:rsid w:val="00977FEC"/>
    <w:rsid w:val="00984996"/>
    <w:rsid w:val="00986B18"/>
    <w:rsid w:val="00987F19"/>
    <w:rsid w:val="009938BC"/>
    <w:rsid w:val="009940D2"/>
    <w:rsid w:val="009A08F2"/>
    <w:rsid w:val="009A77CF"/>
    <w:rsid w:val="009B350B"/>
    <w:rsid w:val="009B3CD1"/>
    <w:rsid w:val="009C04AB"/>
    <w:rsid w:val="009C41ED"/>
    <w:rsid w:val="009C48F3"/>
    <w:rsid w:val="009D0717"/>
    <w:rsid w:val="009F250A"/>
    <w:rsid w:val="009F2FA5"/>
    <w:rsid w:val="009F4543"/>
    <w:rsid w:val="009F5AD7"/>
    <w:rsid w:val="009F789C"/>
    <w:rsid w:val="009F7921"/>
    <w:rsid w:val="00A03689"/>
    <w:rsid w:val="00A0558F"/>
    <w:rsid w:val="00A062C7"/>
    <w:rsid w:val="00A10357"/>
    <w:rsid w:val="00A11E9F"/>
    <w:rsid w:val="00A20700"/>
    <w:rsid w:val="00A20873"/>
    <w:rsid w:val="00A279BE"/>
    <w:rsid w:val="00A455FE"/>
    <w:rsid w:val="00A47B96"/>
    <w:rsid w:val="00A535EB"/>
    <w:rsid w:val="00A71BF6"/>
    <w:rsid w:val="00A82CDE"/>
    <w:rsid w:val="00A82E96"/>
    <w:rsid w:val="00A84844"/>
    <w:rsid w:val="00A854ED"/>
    <w:rsid w:val="00A92F2E"/>
    <w:rsid w:val="00A94A60"/>
    <w:rsid w:val="00AA0E08"/>
    <w:rsid w:val="00AA2895"/>
    <w:rsid w:val="00AA4852"/>
    <w:rsid w:val="00AA55B7"/>
    <w:rsid w:val="00AB3BBA"/>
    <w:rsid w:val="00AC4182"/>
    <w:rsid w:val="00AC7B93"/>
    <w:rsid w:val="00AD0727"/>
    <w:rsid w:val="00AD6A96"/>
    <w:rsid w:val="00AE04E1"/>
    <w:rsid w:val="00AF3610"/>
    <w:rsid w:val="00AF4BBC"/>
    <w:rsid w:val="00B01E40"/>
    <w:rsid w:val="00B059AE"/>
    <w:rsid w:val="00B068AA"/>
    <w:rsid w:val="00B12521"/>
    <w:rsid w:val="00B14342"/>
    <w:rsid w:val="00B25C88"/>
    <w:rsid w:val="00B2631C"/>
    <w:rsid w:val="00B37EB8"/>
    <w:rsid w:val="00B4409A"/>
    <w:rsid w:val="00B51550"/>
    <w:rsid w:val="00B52389"/>
    <w:rsid w:val="00B56A0E"/>
    <w:rsid w:val="00B56F96"/>
    <w:rsid w:val="00B63FAF"/>
    <w:rsid w:val="00B743C5"/>
    <w:rsid w:val="00B8729E"/>
    <w:rsid w:val="00B87790"/>
    <w:rsid w:val="00B90C9F"/>
    <w:rsid w:val="00B97B81"/>
    <w:rsid w:val="00BA0BAF"/>
    <w:rsid w:val="00BA2989"/>
    <w:rsid w:val="00BA7E52"/>
    <w:rsid w:val="00BB758B"/>
    <w:rsid w:val="00BD3265"/>
    <w:rsid w:val="00BD7314"/>
    <w:rsid w:val="00BE1679"/>
    <w:rsid w:val="00BE3D15"/>
    <w:rsid w:val="00BE43AA"/>
    <w:rsid w:val="00BE6A11"/>
    <w:rsid w:val="00C019EA"/>
    <w:rsid w:val="00C01EA4"/>
    <w:rsid w:val="00C03AF9"/>
    <w:rsid w:val="00C133CF"/>
    <w:rsid w:val="00C166BA"/>
    <w:rsid w:val="00C174AD"/>
    <w:rsid w:val="00C23A1D"/>
    <w:rsid w:val="00C40E7C"/>
    <w:rsid w:val="00C418D8"/>
    <w:rsid w:val="00C41ACC"/>
    <w:rsid w:val="00C45CF8"/>
    <w:rsid w:val="00C50E8F"/>
    <w:rsid w:val="00C529AE"/>
    <w:rsid w:val="00C63075"/>
    <w:rsid w:val="00C63A3C"/>
    <w:rsid w:val="00C64683"/>
    <w:rsid w:val="00C6482A"/>
    <w:rsid w:val="00C64C8A"/>
    <w:rsid w:val="00C731ED"/>
    <w:rsid w:val="00C859BE"/>
    <w:rsid w:val="00C879C7"/>
    <w:rsid w:val="00C90652"/>
    <w:rsid w:val="00C90663"/>
    <w:rsid w:val="00CB16D5"/>
    <w:rsid w:val="00CB7BA3"/>
    <w:rsid w:val="00CD1B34"/>
    <w:rsid w:val="00CD3321"/>
    <w:rsid w:val="00CD43D1"/>
    <w:rsid w:val="00CD7930"/>
    <w:rsid w:val="00CE000B"/>
    <w:rsid w:val="00CE0FDD"/>
    <w:rsid w:val="00CE31D3"/>
    <w:rsid w:val="00CE636B"/>
    <w:rsid w:val="00CF04F0"/>
    <w:rsid w:val="00CF3F20"/>
    <w:rsid w:val="00CF57A1"/>
    <w:rsid w:val="00D020AF"/>
    <w:rsid w:val="00D024E0"/>
    <w:rsid w:val="00D057BD"/>
    <w:rsid w:val="00D1148F"/>
    <w:rsid w:val="00D15F4F"/>
    <w:rsid w:val="00D17682"/>
    <w:rsid w:val="00D178FE"/>
    <w:rsid w:val="00D17FFE"/>
    <w:rsid w:val="00D21D3B"/>
    <w:rsid w:val="00D319B8"/>
    <w:rsid w:val="00D32EB6"/>
    <w:rsid w:val="00D339A9"/>
    <w:rsid w:val="00D345FD"/>
    <w:rsid w:val="00D41637"/>
    <w:rsid w:val="00D43E52"/>
    <w:rsid w:val="00D456B1"/>
    <w:rsid w:val="00D47DAF"/>
    <w:rsid w:val="00D54F01"/>
    <w:rsid w:val="00D555B0"/>
    <w:rsid w:val="00D66B76"/>
    <w:rsid w:val="00D71074"/>
    <w:rsid w:val="00D71658"/>
    <w:rsid w:val="00D779A4"/>
    <w:rsid w:val="00D779F8"/>
    <w:rsid w:val="00D8784E"/>
    <w:rsid w:val="00D87EEA"/>
    <w:rsid w:val="00D961EB"/>
    <w:rsid w:val="00D97EFD"/>
    <w:rsid w:val="00DA72FE"/>
    <w:rsid w:val="00DB4FAD"/>
    <w:rsid w:val="00DC2236"/>
    <w:rsid w:val="00DC7156"/>
    <w:rsid w:val="00DC7CF2"/>
    <w:rsid w:val="00DF3F0E"/>
    <w:rsid w:val="00E02494"/>
    <w:rsid w:val="00E10048"/>
    <w:rsid w:val="00E12C12"/>
    <w:rsid w:val="00E15693"/>
    <w:rsid w:val="00E2702C"/>
    <w:rsid w:val="00E27713"/>
    <w:rsid w:val="00E30C8E"/>
    <w:rsid w:val="00E35FD9"/>
    <w:rsid w:val="00E40B8D"/>
    <w:rsid w:val="00E44B36"/>
    <w:rsid w:val="00E45E0A"/>
    <w:rsid w:val="00E539EC"/>
    <w:rsid w:val="00E541E7"/>
    <w:rsid w:val="00E57F39"/>
    <w:rsid w:val="00E74B11"/>
    <w:rsid w:val="00E74EA3"/>
    <w:rsid w:val="00E82CB1"/>
    <w:rsid w:val="00E8787D"/>
    <w:rsid w:val="00E9515D"/>
    <w:rsid w:val="00E963C3"/>
    <w:rsid w:val="00EA00FA"/>
    <w:rsid w:val="00EA0751"/>
    <w:rsid w:val="00EA28C9"/>
    <w:rsid w:val="00EA2D05"/>
    <w:rsid w:val="00EA2F29"/>
    <w:rsid w:val="00EB0893"/>
    <w:rsid w:val="00EB108F"/>
    <w:rsid w:val="00EB1357"/>
    <w:rsid w:val="00EB6FE2"/>
    <w:rsid w:val="00EB71C5"/>
    <w:rsid w:val="00EC1B33"/>
    <w:rsid w:val="00ED2F87"/>
    <w:rsid w:val="00ED66F4"/>
    <w:rsid w:val="00EE4DE6"/>
    <w:rsid w:val="00EF1772"/>
    <w:rsid w:val="00EF5EFC"/>
    <w:rsid w:val="00F01DAB"/>
    <w:rsid w:val="00F042B0"/>
    <w:rsid w:val="00F1170E"/>
    <w:rsid w:val="00F140DE"/>
    <w:rsid w:val="00F209B8"/>
    <w:rsid w:val="00F21316"/>
    <w:rsid w:val="00F225E9"/>
    <w:rsid w:val="00F22E67"/>
    <w:rsid w:val="00F3259F"/>
    <w:rsid w:val="00F34A99"/>
    <w:rsid w:val="00F40BEE"/>
    <w:rsid w:val="00F519D1"/>
    <w:rsid w:val="00F53CBD"/>
    <w:rsid w:val="00F55DE8"/>
    <w:rsid w:val="00F56ECB"/>
    <w:rsid w:val="00F60A2B"/>
    <w:rsid w:val="00F635DA"/>
    <w:rsid w:val="00F677FF"/>
    <w:rsid w:val="00F81236"/>
    <w:rsid w:val="00F818BA"/>
    <w:rsid w:val="00F836FB"/>
    <w:rsid w:val="00F8659A"/>
    <w:rsid w:val="00F90811"/>
    <w:rsid w:val="00F90EB9"/>
    <w:rsid w:val="00F90F44"/>
    <w:rsid w:val="00F91516"/>
    <w:rsid w:val="00F95E2C"/>
    <w:rsid w:val="00F965A4"/>
    <w:rsid w:val="00FA1303"/>
    <w:rsid w:val="00FA6CFB"/>
    <w:rsid w:val="00FB086F"/>
    <w:rsid w:val="00FB335C"/>
    <w:rsid w:val="00FB5EA8"/>
    <w:rsid w:val="00FB7456"/>
    <w:rsid w:val="00FC0085"/>
    <w:rsid w:val="00FC1D88"/>
    <w:rsid w:val="00FC218A"/>
    <w:rsid w:val="00FC2525"/>
    <w:rsid w:val="00FC3D62"/>
    <w:rsid w:val="00FC59D9"/>
    <w:rsid w:val="00FC6878"/>
    <w:rsid w:val="00FD1431"/>
    <w:rsid w:val="00FE50CA"/>
    <w:rsid w:val="00FF3A9E"/>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D456B1"/>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B1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cm-author">
    <w:name w:val="cm-author"/>
    <w:basedOn w:val="DefaultParagraphFont"/>
    <w:rsid w:val="00CD1B34"/>
  </w:style>
  <w:style w:type="character" w:customStyle="1" w:styleId="Heading3Char">
    <w:name w:val="Heading 3 Char"/>
    <w:basedOn w:val="DefaultParagraphFont"/>
    <w:link w:val="Heading3"/>
    <w:uiPriority w:val="9"/>
    <w:rsid w:val="00D456B1"/>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EB1357"/>
    <w:rPr>
      <w:rFonts w:asciiTheme="majorHAnsi" w:eastAsiaTheme="majorEastAsia" w:hAnsiTheme="majorHAnsi" w:cstheme="majorBidi"/>
      <w:i/>
      <w:iCs/>
      <w:color w:val="2E74B5" w:themeColor="accent1" w:themeShade="BF"/>
      <w:lang w:val="en-GB"/>
    </w:rPr>
  </w:style>
  <w:style w:type="paragraph" w:styleId="NoSpacing">
    <w:name w:val="No Spacing"/>
    <w:uiPriority w:val="1"/>
    <w:qFormat/>
    <w:rsid w:val="00F635DA"/>
    <w:pPr>
      <w:spacing w:after="0" w:line="240" w:lineRule="auto"/>
    </w:pPr>
    <w:rPr>
      <w:lang w:val="en-GB"/>
    </w:rPr>
  </w:style>
  <w:style w:type="character" w:styleId="Strong">
    <w:name w:val="Strong"/>
    <w:basedOn w:val="DefaultParagraphFont"/>
    <w:uiPriority w:val="22"/>
    <w:qFormat/>
    <w:rsid w:val="00AA4852"/>
    <w:rPr>
      <w:b/>
      <w:bCs/>
    </w:rPr>
  </w:style>
  <w:style w:type="character" w:styleId="CommentReference">
    <w:name w:val="annotation reference"/>
    <w:basedOn w:val="DefaultParagraphFont"/>
    <w:uiPriority w:val="99"/>
    <w:semiHidden/>
    <w:unhideWhenUsed/>
    <w:rsid w:val="004A4D24"/>
    <w:rPr>
      <w:sz w:val="16"/>
      <w:szCs w:val="16"/>
    </w:rPr>
  </w:style>
  <w:style w:type="paragraph" w:styleId="CommentText">
    <w:name w:val="annotation text"/>
    <w:basedOn w:val="Normal"/>
    <w:link w:val="CommentTextChar"/>
    <w:uiPriority w:val="99"/>
    <w:semiHidden/>
    <w:unhideWhenUsed/>
    <w:rsid w:val="004A4D24"/>
    <w:pPr>
      <w:spacing w:line="240" w:lineRule="auto"/>
    </w:pPr>
    <w:rPr>
      <w:sz w:val="20"/>
      <w:szCs w:val="20"/>
    </w:rPr>
  </w:style>
  <w:style w:type="character" w:customStyle="1" w:styleId="CommentTextChar">
    <w:name w:val="Comment Text Char"/>
    <w:basedOn w:val="DefaultParagraphFont"/>
    <w:link w:val="CommentText"/>
    <w:uiPriority w:val="99"/>
    <w:semiHidden/>
    <w:rsid w:val="004A4D24"/>
    <w:rPr>
      <w:sz w:val="20"/>
      <w:szCs w:val="20"/>
      <w:lang w:val="en-GB"/>
    </w:rPr>
  </w:style>
  <w:style w:type="paragraph" w:styleId="CommentSubject">
    <w:name w:val="annotation subject"/>
    <w:basedOn w:val="CommentText"/>
    <w:next w:val="CommentText"/>
    <w:link w:val="CommentSubjectChar"/>
    <w:uiPriority w:val="99"/>
    <w:semiHidden/>
    <w:unhideWhenUsed/>
    <w:rsid w:val="004A4D24"/>
    <w:rPr>
      <w:b/>
      <w:bCs/>
    </w:rPr>
  </w:style>
  <w:style w:type="character" w:customStyle="1" w:styleId="CommentSubjectChar">
    <w:name w:val="Comment Subject Char"/>
    <w:basedOn w:val="CommentTextChar"/>
    <w:link w:val="CommentSubject"/>
    <w:uiPriority w:val="99"/>
    <w:semiHidden/>
    <w:rsid w:val="004A4D24"/>
    <w:rPr>
      <w:b/>
      <w:bCs/>
      <w:sz w:val="20"/>
      <w:szCs w:val="20"/>
      <w:lang w:val="en-GB"/>
    </w:rPr>
  </w:style>
  <w:style w:type="paragraph" w:styleId="BalloonText">
    <w:name w:val="Balloon Text"/>
    <w:basedOn w:val="Normal"/>
    <w:link w:val="BalloonTextChar"/>
    <w:uiPriority w:val="99"/>
    <w:semiHidden/>
    <w:unhideWhenUsed/>
    <w:rsid w:val="004A4D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4D24"/>
    <w:rPr>
      <w:rFonts w:ascii="Segoe UI" w:hAnsi="Segoe UI" w:cs="Segoe UI"/>
      <w:sz w:val="18"/>
      <w:szCs w:val="18"/>
      <w:lang w:val="en-GB"/>
    </w:rPr>
  </w:style>
  <w:style w:type="paragraph" w:styleId="Caption">
    <w:name w:val="caption"/>
    <w:basedOn w:val="Normal"/>
    <w:next w:val="Normal"/>
    <w:uiPriority w:val="35"/>
    <w:unhideWhenUsed/>
    <w:qFormat/>
    <w:rsid w:val="00CF04F0"/>
    <w:pPr>
      <w:spacing w:after="200" w:line="240" w:lineRule="auto"/>
      <w:jc w:val="center"/>
    </w:pPr>
    <w:rPr>
      <w:rFonts w:ascii="Arial" w:hAnsi="Arial"/>
      <w:i/>
      <w:iCs/>
      <w:color w:val="44546A" w:themeColor="text2"/>
      <w:sz w:val="24"/>
      <w:szCs w:val="18"/>
    </w:rPr>
  </w:style>
  <w:style w:type="paragraph" w:styleId="TableofFigures">
    <w:name w:val="table of figures"/>
    <w:basedOn w:val="Normal"/>
    <w:next w:val="Normal"/>
    <w:uiPriority w:val="99"/>
    <w:unhideWhenUsed/>
    <w:rsid w:val="00DB4F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33190237">
      <w:bodyDiv w:val="1"/>
      <w:marLeft w:val="0"/>
      <w:marRight w:val="0"/>
      <w:marTop w:val="0"/>
      <w:marBottom w:val="0"/>
      <w:divBdr>
        <w:top w:val="none" w:sz="0" w:space="0" w:color="auto"/>
        <w:left w:val="none" w:sz="0" w:space="0" w:color="auto"/>
        <w:bottom w:val="none" w:sz="0" w:space="0" w:color="auto"/>
        <w:right w:val="none" w:sz="0" w:space="0" w:color="auto"/>
      </w:divBdr>
    </w:div>
    <w:div w:id="395318530">
      <w:bodyDiv w:val="1"/>
      <w:marLeft w:val="0"/>
      <w:marRight w:val="0"/>
      <w:marTop w:val="0"/>
      <w:marBottom w:val="0"/>
      <w:divBdr>
        <w:top w:val="none" w:sz="0" w:space="0" w:color="auto"/>
        <w:left w:val="none" w:sz="0" w:space="0" w:color="auto"/>
        <w:bottom w:val="none" w:sz="0" w:space="0" w:color="auto"/>
        <w:right w:val="none" w:sz="0" w:space="0" w:color="auto"/>
      </w:divBdr>
    </w:div>
    <w:div w:id="493688312">
      <w:bodyDiv w:val="1"/>
      <w:marLeft w:val="0"/>
      <w:marRight w:val="0"/>
      <w:marTop w:val="0"/>
      <w:marBottom w:val="0"/>
      <w:divBdr>
        <w:top w:val="none" w:sz="0" w:space="0" w:color="auto"/>
        <w:left w:val="none" w:sz="0" w:space="0" w:color="auto"/>
        <w:bottom w:val="none" w:sz="0" w:space="0" w:color="auto"/>
        <w:right w:val="none" w:sz="0" w:space="0" w:color="auto"/>
      </w:divBdr>
    </w:div>
    <w:div w:id="1309165866">
      <w:bodyDiv w:val="1"/>
      <w:marLeft w:val="0"/>
      <w:marRight w:val="0"/>
      <w:marTop w:val="0"/>
      <w:marBottom w:val="0"/>
      <w:divBdr>
        <w:top w:val="none" w:sz="0" w:space="0" w:color="auto"/>
        <w:left w:val="none" w:sz="0" w:space="0" w:color="auto"/>
        <w:bottom w:val="none" w:sz="0" w:space="0" w:color="auto"/>
        <w:right w:val="none" w:sz="0" w:space="0" w:color="auto"/>
      </w:divBdr>
    </w:div>
    <w:div w:id="1325009628">
      <w:bodyDiv w:val="1"/>
      <w:marLeft w:val="0"/>
      <w:marRight w:val="0"/>
      <w:marTop w:val="0"/>
      <w:marBottom w:val="0"/>
      <w:divBdr>
        <w:top w:val="none" w:sz="0" w:space="0" w:color="auto"/>
        <w:left w:val="none" w:sz="0" w:space="0" w:color="auto"/>
        <w:bottom w:val="none" w:sz="0" w:space="0" w:color="auto"/>
        <w:right w:val="none" w:sz="0" w:space="0" w:color="auto"/>
      </w:divBdr>
    </w:div>
    <w:div w:id="1349135056">
      <w:bodyDiv w:val="1"/>
      <w:marLeft w:val="0"/>
      <w:marRight w:val="0"/>
      <w:marTop w:val="0"/>
      <w:marBottom w:val="0"/>
      <w:divBdr>
        <w:top w:val="none" w:sz="0" w:space="0" w:color="auto"/>
        <w:left w:val="none" w:sz="0" w:space="0" w:color="auto"/>
        <w:bottom w:val="none" w:sz="0" w:space="0" w:color="auto"/>
        <w:right w:val="none" w:sz="0" w:space="0" w:color="auto"/>
      </w:divBdr>
      <w:divsChild>
        <w:div w:id="727067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980550">
      <w:bodyDiv w:val="1"/>
      <w:marLeft w:val="0"/>
      <w:marRight w:val="0"/>
      <w:marTop w:val="0"/>
      <w:marBottom w:val="0"/>
      <w:divBdr>
        <w:top w:val="none" w:sz="0" w:space="0" w:color="auto"/>
        <w:left w:val="none" w:sz="0" w:space="0" w:color="auto"/>
        <w:bottom w:val="none" w:sz="0" w:space="0" w:color="auto"/>
        <w:right w:val="none" w:sz="0" w:space="0" w:color="auto"/>
      </w:divBdr>
      <w:divsChild>
        <w:div w:id="17854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6255935">
      <w:bodyDiv w:val="1"/>
      <w:marLeft w:val="0"/>
      <w:marRight w:val="0"/>
      <w:marTop w:val="0"/>
      <w:marBottom w:val="0"/>
      <w:divBdr>
        <w:top w:val="none" w:sz="0" w:space="0" w:color="auto"/>
        <w:left w:val="none" w:sz="0" w:space="0" w:color="auto"/>
        <w:bottom w:val="none" w:sz="0" w:space="0" w:color="auto"/>
        <w:right w:val="none" w:sz="0" w:space="0" w:color="auto"/>
      </w:divBdr>
    </w:div>
    <w:div w:id="174602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health.jmir.org/2018/1/e23/" TargetMode="External"/><Relationship Id="rId18" Type="http://schemas.openxmlformats.org/officeDocument/2006/relationships/hyperlink" Target="https://www.gov.uk/government/publications/health-profile-for-england-2020" TargetMode="External"/><Relationship Id="rId26" Type="http://schemas.openxmlformats.org/officeDocument/2006/relationships/hyperlink" Target="https://www.nhs.uk/nhs-app/" TargetMode="External"/><Relationship Id="rId3" Type="http://schemas.openxmlformats.org/officeDocument/2006/relationships/styles" Target="styles.xml"/><Relationship Id="rId21" Type="http://schemas.openxmlformats.org/officeDocument/2006/relationships/hyperlink" Target="https://www.who.int/news-room/fact-sheets/detail/noncommunicable-diseas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jmir.org/2020/6/e16295" TargetMode="External"/><Relationship Id="rId17" Type="http://schemas.openxmlformats.org/officeDocument/2006/relationships/hyperlink" Target="https://www.ons.gov.uk/peoplepopulationandcommunity/householdcharacteristics/homeinternetandsocialmediausage" TargetMode="External"/><Relationship Id="rId25" Type="http://schemas.openxmlformats.org/officeDocument/2006/relationships/hyperlink" Target="https://www.nice.org.uk/corporate/ecd7" TargetMode="External"/><Relationship Id="rId33" Type="http://schemas.openxmlformats.org/officeDocument/2006/relationships/hyperlink" Target="https://www.jmir.org/2015/1/e30/"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health-survey-for-england" TargetMode="External"/><Relationship Id="rId20" Type="http://schemas.openxmlformats.org/officeDocument/2006/relationships/hyperlink" Target="https://www.who.int/publications/i/item/9789240020924" TargetMode="External"/><Relationship Id="rId29" Type="http://schemas.openxmlformats.org/officeDocument/2006/relationships/hyperlink" Target="https://topol.hee.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mhealth.jmir.org/2018/1/e23/" TargetMode="External"/><Relationship Id="rId32" Type="http://schemas.openxmlformats.org/officeDocument/2006/relationships/hyperlink" Target="https://www.who.int/news-room/fact-sheets/detail/obesity-and-overweight" TargetMode="External"/><Relationship Id="rId5" Type="http://schemas.openxmlformats.org/officeDocument/2006/relationships/webSettings" Target="webSettings.xml"/><Relationship Id="rId15" Type="http://schemas.openxmlformats.org/officeDocument/2006/relationships/hyperlink" Target="https://www.nhs.uk/nhs-app/" TargetMode="External"/><Relationship Id="rId23" Type="http://schemas.openxmlformats.org/officeDocument/2006/relationships/image" Target="media/image5.png"/><Relationship Id="rId28" Type="http://schemas.openxmlformats.org/officeDocument/2006/relationships/hyperlink" Target="https://www.ons.gov.uk/peoplepopulationandcommunity/householdcharacteristics/homeinternetandsocialmediausage" TargetMode="External"/><Relationship Id="rId10" Type="http://schemas.openxmlformats.org/officeDocument/2006/relationships/image" Target="media/image2.png"/><Relationship Id="rId19" Type="http://schemas.openxmlformats.org/officeDocument/2006/relationships/hyperlink" Target="https://topol.hee.nhs.uk/" TargetMode="External"/><Relationship Id="rId31" Type="http://schemas.openxmlformats.org/officeDocument/2006/relationships/hyperlink" Target="https://www.who.int/news-room/fact-sheets/detail/noncommunicable-diseas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ice.org.uk/corporate/ecd7" TargetMode="External"/><Relationship Id="rId22" Type="http://schemas.openxmlformats.org/officeDocument/2006/relationships/image" Target="media/image4.png"/><Relationship Id="rId27" Type="http://schemas.openxmlformats.org/officeDocument/2006/relationships/hyperlink" Target="https://digital.nhs.uk/data-and-information/publications/statistical/health-survey-for-england" TargetMode="External"/><Relationship Id="rId30" Type="http://schemas.openxmlformats.org/officeDocument/2006/relationships/hyperlink" Target="https://www.who.int/publications/i/item/9789240020924"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45C37-2556-4E3B-8B3E-8D83E437F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ASEIQUR RAHAMAN</dc:creator>
  <cp:keywords/>
  <dc:description/>
  <cp:lastModifiedBy>MLC</cp:lastModifiedBy>
  <cp:revision>8</cp:revision>
  <dcterms:created xsi:type="dcterms:W3CDTF">2026-07-18T09:34:00Z</dcterms:created>
  <dcterms:modified xsi:type="dcterms:W3CDTF">2026-07-18T09:49:00Z</dcterms:modified>
</cp:coreProperties>
</file>