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F207AA" w14:textId="77777777" w:rsidR="00AA77F4" w:rsidRPr="00D87E14" w:rsidRDefault="00AA77F4" w:rsidP="00D87E14">
      <w:pPr>
        <w:spacing w:line="360" w:lineRule="auto"/>
        <w:jc w:val="center"/>
        <w:rPr>
          <w:rFonts w:ascii="Arial" w:hAnsi="Arial" w:cs="Arial"/>
        </w:rPr>
      </w:pPr>
    </w:p>
    <w:p w14:paraId="0E40867A" w14:textId="77777777" w:rsidR="00AA77F4" w:rsidRPr="00D87E14" w:rsidRDefault="00AA77F4" w:rsidP="00D87E14">
      <w:pPr>
        <w:spacing w:line="360" w:lineRule="auto"/>
        <w:jc w:val="center"/>
        <w:rPr>
          <w:rFonts w:ascii="Arial" w:hAnsi="Arial" w:cs="Arial"/>
        </w:rPr>
      </w:pPr>
    </w:p>
    <w:p w14:paraId="5EB2ACD8" w14:textId="77777777" w:rsidR="00AA77F4" w:rsidRPr="00D87E14" w:rsidRDefault="00AA77F4" w:rsidP="00D87E14">
      <w:pPr>
        <w:spacing w:line="360" w:lineRule="auto"/>
        <w:jc w:val="center"/>
        <w:rPr>
          <w:rFonts w:ascii="Arial" w:hAnsi="Arial" w:cs="Arial"/>
        </w:rPr>
      </w:pPr>
    </w:p>
    <w:p w14:paraId="4C9E9862" w14:textId="77777777" w:rsidR="00AA77F4" w:rsidRPr="00D87E14" w:rsidRDefault="00AA77F4" w:rsidP="00D87E14">
      <w:pPr>
        <w:spacing w:line="360" w:lineRule="auto"/>
        <w:jc w:val="center"/>
        <w:rPr>
          <w:rFonts w:ascii="Arial" w:hAnsi="Arial" w:cs="Arial"/>
        </w:rPr>
      </w:pPr>
    </w:p>
    <w:p w14:paraId="63C9AEA9" w14:textId="77777777" w:rsidR="00AA77F4" w:rsidRPr="00D87E14" w:rsidRDefault="00AA77F4" w:rsidP="00D87E14">
      <w:pPr>
        <w:spacing w:line="360" w:lineRule="auto"/>
        <w:jc w:val="center"/>
        <w:rPr>
          <w:rFonts w:ascii="Arial" w:hAnsi="Arial" w:cs="Arial"/>
        </w:rPr>
      </w:pPr>
      <w:r w:rsidRPr="00D87E14">
        <w:rPr>
          <w:rFonts w:ascii="Arial" w:hAnsi="Arial" w:cs="Arial"/>
        </w:rPr>
        <w:t>Student number: 2224284</w:t>
      </w:r>
    </w:p>
    <w:p w14:paraId="4B3E85A0" w14:textId="77777777" w:rsidR="00AA77F4" w:rsidRPr="00D87E14" w:rsidRDefault="00AA77F4" w:rsidP="00D87E14">
      <w:pPr>
        <w:spacing w:line="360" w:lineRule="auto"/>
        <w:jc w:val="center"/>
        <w:rPr>
          <w:rFonts w:ascii="Arial" w:hAnsi="Arial" w:cs="Arial"/>
        </w:rPr>
      </w:pPr>
    </w:p>
    <w:p w14:paraId="38992B1C" w14:textId="77777777" w:rsidR="00AA77F4" w:rsidRPr="00D87E14" w:rsidRDefault="00AA77F4" w:rsidP="00D87E14">
      <w:pPr>
        <w:spacing w:line="360" w:lineRule="auto"/>
        <w:jc w:val="center"/>
        <w:rPr>
          <w:rFonts w:ascii="Arial" w:hAnsi="Arial" w:cs="Arial"/>
        </w:rPr>
      </w:pPr>
      <w:r w:rsidRPr="00D87E14">
        <w:rPr>
          <w:rFonts w:ascii="Arial" w:hAnsi="Arial" w:cs="Arial"/>
        </w:rPr>
        <w:t>Student name: Liviu-Marius Postelnicu</w:t>
      </w:r>
    </w:p>
    <w:p w14:paraId="67179ECC" w14:textId="77777777" w:rsidR="00AA77F4" w:rsidRPr="00D87E14" w:rsidRDefault="00AA77F4" w:rsidP="00D87E14">
      <w:pPr>
        <w:spacing w:line="360" w:lineRule="auto"/>
        <w:jc w:val="center"/>
        <w:rPr>
          <w:rFonts w:ascii="Arial" w:hAnsi="Arial" w:cs="Arial"/>
        </w:rPr>
      </w:pPr>
    </w:p>
    <w:p w14:paraId="1033D8D8" w14:textId="6C969D81" w:rsidR="00AA77F4" w:rsidRPr="00D87E14" w:rsidRDefault="00AA77F4" w:rsidP="00D87E14">
      <w:pPr>
        <w:spacing w:line="360" w:lineRule="auto"/>
        <w:jc w:val="center"/>
        <w:rPr>
          <w:rFonts w:ascii="Arial" w:hAnsi="Arial" w:cs="Arial"/>
        </w:rPr>
      </w:pPr>
      <w:r w:rsidRPr="00D87E14">
        <w:rPr>
          <w:rFonts w:ascii="Arial" w:hAnsi="Arial" w:cs="Arial"/>
        </w:rPr>
        <w:t>Module title: Sustainable Hospitality &amp; Tourism Management</w:t>
      </w:r>
    </w:p>
    <w:p w14:paraId="30129D0D" w14:textId="77777777" w:rsidR="00AA77F4" w:rsidRPr="00D87E14" w:rsidRDefault="00AA77F4" w:rsidP="00D87E14">
      <w:pPr>
        <w:spacing w:line="360" w:lineRule="auto"/>
        <w:jc w:val="center"/>
        <w:rPr>
          <w:rFonts w:ascii="Arial" w:hAnsi="Arial" w:cs="Arial"/>
        </w:rPr>
      </w:pPr>
    </w:p>
    <w:p w14:paraId="551FD99B" w14:textId="7B1F1444" w:rsidR="00AA77F4" w:rsidRPr="00D87E14" w:rsidRDefault="00AA77F4" w:rsidP="00D87E14">
      <w:pPr>
        <w:spacing w:line="360" w:lineRule="auto"/>
        <w:jc w:val="center"/>
        <w:rPr>
          <w:rFonts w:ascii="Arial" w:hAnsi="Arial" w:cs="Arial"/>
        </w:rPr>
      </w:pPr>
      <w:r w:rsidRPr="00D87E14">
        <w:rPr>
          <w:rFonts w:ascii="Arial" w:hAnsi="Arial" w:cs="Arial"/>
        </w:rPr>
        <w:t>Module code : BMIH5006</w:t>
      </w:r>
    </w:p>
    <w:p w14:paraId="41EC0000" w14:textId="77777777" w:rsidR="00AA77F4" w:rsidRPr="00D87E14" w:rsidRDefault="00AA77F4" w:rsidP="00D87E14">
      <w:pPr>
        <w:spacing w:line="360" w:lineRule="auto"/>
        <w:jc w:val="center"/>
        <w:rPr>
          <w:rFonts w:ascii="Arial" w:hAnsi="Arial" w:cs="Arial"/>
        </w:rPr>
      </w:pPr>
    </w:p>
    <w:p w14:paraId="15C8E109" w14:textId="6925469C" w:rsidR="00AA77F4" w:rsidRPr="00D87E14" w:rsidRDefault="00AA77F4" w:rsidP="00D87E14">
      <w:pPr>
        <w:spacing w:line="360" w:lineRule="auto"/>
        <w:jc w:val="center"/>
        <w:rPr>
          <w:rFonts w:ascii="Arial" w:hAnsi="Arial" w:cs="Arial"/>
        </w:rPr>
      </w:pPr>
      <w:r w:rsidRPr="00D87E14">
        <w:rPr>
          <w:rFonts w:ascii="Arial" w:hAnsi="Arial" w:cs="Arial"/>
        </w:rPr>
        <w:t>Lecturer: Lisa Knight</w:t>
      </w:r>
    </w:p>
    <w:p w14:paraId="566DD25C" w14:textId="77777777" w:rsidR="00AA77F4" w:rsidRPr="00D87E14" w:rsidRDefault="00AA77F4" w:rsidP="00D87E14">
      <w:pPr>
        <w:spacing w:line="360" w:lineRule="auto"/>
        <w:jc w:val="center"/>
        <w:rPr>
          <w:rFonts w:ascii="Arial" w:hAnsi="Arial" w:cs="Arial"/>
        </w:rPr>
      </w:pPr>
    </w:p>
    <w:p w14:paraId="4E2C072F" w14:textId="783A3926" w:rsidR="00AA77F4" w:rsidRPr="00D87E14" w:rsidRDefault="00AA77F4" w:rsidP="00D87E14">
      <w:pPr>
        <w:spacing w:line="360" w:lineRule="auto"/>
        <w:jc w:val="center"/>
        <w:rPr>
          <w:rFonts w:ascii="Arial" w:hAnsi="Arial" w:cs="Arial"/>
        </w:rPr>
      </w:pPr>
      <w:r w:rsidRPr="00D87E14">
        <w:rPr>
          <w:rFonts w:ascii="Arial" w:hAnsi="Arial" w:cs="Arial"/>
        </w:rPr>
        <w:t>Word count: 2025</w:t>
      </w:r>
    </w:p>
    <w:p w14:paraId="30126AA8" w14:textId="77777777" w:rsidR="00AA77F4" w:rsidRPr="00D87E14" w:rsidRDefault="00AA77F4" w:rsidP="00D87E14">
      <w:pPr>
        <w:spacing w:line="360" w:lineRule="auto"/>
        <w:jc w:val="both"/>
        <w:rPr>
          <w:rFonts w:ascii="Arial" w:hAnsi="Arial" w:cs="Arial"/>
        </w:rPr>
      </w:pPr>
    </w:p>
    <w:p w14:paraId="0812B647" w14:textId="77777777" w:rsidR="00AA77F4" w:rsidRPr="00D87E14" w:rsidRDefault="00AA77F4" w:rsidP="00D87E14">
      <w:pPr>
        <w:spacing w:line="360" w:lineRule="auto"/>
        <w:jc w:val="both"/>
        <w:rPr>
          <w:rFonts w:ascii="Arial" w:hAnsi="Arial" w:cs="Arial"/>
        </w:rPr>
      </w:pPr>
    </w:p>
    <w:p w14:paraId="583A8461" w14:textId="77777777" w:rsidR="00AA77F4" w:rsidRPr="00D87E14" w:rsidRDefault="00AA77F4" w:rsidP="00D87E14">
      <w:pPr>
        <w:spacing w:line="360" w:lineRule="auto"/>
        <w:jc w:val="both"/>
        <w:rPr>
          <w:rFonts w:ascii="Arial" w:hAnsi="Arial" w:cs="Arial"/>
        </w:rPr>
      </w:pPr>
    </w:p>
    <w:p w14:paraId="7AC6E42D" w14:textId="77777777" w:rsidR="00AA77F4" w:rsidRPr="00D87E14" w:rsidRDefault="00AA77F4" w:rsidP="00D87E14">
      <w:pPr>
        <w:spacing w:line="360" w:lineRule="auto"/>
        <w:jc w:val="both"/>
        <w:rPr>
          <w:rFonts w:ascii="Arial" w:hAnsi="Arial" w:cs="Arial"/>
        </w:rPr>
      </w:pPr>
    </w:p>
    <w:p w14:paraId="355E5B3C" w14:textId="77777777" w:rsidR="00AA77F4" w:rsidRPr="00D87E14" w:rsidRDefault="00AA77F4" w:rsidP="00D87E14">
      <w:pPr>
        <w:spacing w:line="360" w:lineRule="auto"/>
        <w:jc w:val="both"/>
        <w:rPr>
          <w:rFonts w:ascii="Arial" w:hAnsi="Arial" w:cs="Arial"/>
        </w:rPr>
      </w:pPr>
    </w:p>
    <w:p w14:paraId="7D81F56F" w14:textId="77777777" w:rsidR="00AA77F4" w:rsidRDefault="00AA77F4" w:rsidP="00D87E14">
      <w:pPr>
        <w:spacing w:line="360" w:lineRule="auto"/>
        <w:jc w:val="both"/>
        <w:rPr>
          <w:rFonts w:ascii="Arial" w:hAnsi="Arial" w:cs="Arial"/>
        </w:rPr>
      </w:pPr>
    </w:p>
    <w:p w14:paraId="2A3B3D30" w14:textId="77777777" w:rsidR="00D87E14" w:rsidRPr="00D87E14" w:rsidRDefault="00D87E14" w:rsidP="00D87E14">
      <w:pPr>
        <w:spacing w:line="360" w:lineRule="auto"/>
        <w:jc w:val="both"/>
        <w:rPr>
          <w:rFonts w:ascii="Arial" w:hAnsi="Arial" w:cs="Arial"/>
        </w:rPr>
      </w:pPr>
    </w:p>
    <w:p w14:paraId="20DE7AC2" w14:textId="77777777" w:rsidR="00AA77F4" w:rsidRPr="00D87E14" w:rsidRDefault="00AA77F4" w:rsidP="00D87E14">
      <w:pPr>
        <w:spacing w:line="360" w:lineRule="auto"/>
        <w:jc w:val="both"/>
        <w:rPr>
          <w:rFonts w:ascii="Arial" w:hAnsi="Arial" w:cs="Arial"/>
        </w:rPr>
      </w:pPr>
    </w:p>
    <w:p w14:paraId="43782500" w14:textId="77777777" w:rsidR="00AA77F4" w:rsidRPr="00D87E14" w:rsidRDefault="00AA77F4" w:rsidP="00D87E14">
      <w:pPr>
        <w:spacing w:line="360" w:lineRule="auto"/>
        <w:jc w:val="both"/>
        <w:rPr>
          <w:rFonts w:ascii="Arial" w:hAnsi="Arial" w:cs="Arial"/>
        </w:rPr>
      </w:pPr>
    </w:p>
    <w:p w14:paraId="5C25E809" w14:textId="1218260B" w:rsidR="00AA77F4" w:rsidRPr="00D87E14" w:rsidRDefault="00AA77F4" w:rsidP="00D87E14">
      <w:pPr>
        <w:spacing w:line="360" w:lineRule="auto"/>
        <w:jc w:val="both"/>
        <w:rPr>
          <w:rFonts w:ascii="Arial" w:hAnsi="Arial" w:cs="Arial"/>
        </w:rPr>
      </w:pPr>
      <w:r w:rsidRPr="00D87E14">
        <w:rPr>
          <w:rFonts w:ascii="Arial" w:hAnsi="Arial" w:cs="Arial"/>
        </w:rPr>
        <w:lastRenderedPageBreak/>
        <w:t>Businesses have the responsibility to include social and environmental factors in their operations and stakeholder interactions, which is fundamental to Corporate Social Responsibility (CSR) in the hotel sector (Franco et al., 2020). CSR calls for a triple bottom line framework, integrating social, environmental, and economic considerations instead of prioritising just profit (</w:t>
      </w:r>
      <w:proofErr w:type="spellStart"/>
      <w:r w:rsidRPr="00D87E14">
        <w:rPr>
          <w:rFonts w:ascii="Arial" w:hAnsi="Arial" w:cs="Arial"/>
        </w:rPr>
        <w:t>Gössling</w:t>
      </w:r>
      <w:proofErr w:type="spellEnd"/>
      <w:r w:rsidRPr="00D87E14">
        <w:rPr>
          <w:rFonts w:ascii="Arial" w:hAnsi="Arial" w:cs="Arial"/>
        </w:rPr>
        <w:t xml:space="preserve"> et al., 2010). This strategy promises that organisations can obtain economic advantages while positively impacting society and safeguarding the environment. </w:t>
      </w:r>
    </w:p>
    <w:p w14:paraId="35437A49"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Sustainability has gained prominence in the hospitality industry due to its substantial resource consumption, including energy, water, and materials, as well as the large amount of waste it produces. Hotels, as significant consumers, must implement sustainable practices that decrease their environmental impact and conform to global initiatives aimed at addressing climate change. </w:t>
      </w:r>
    </w:p>
    <w:p w14:paraId="78B71443" w14:textId="77777777" w:rsidR="00AA77F4" w:rsidRPr="00D87E14" w:rsidRDefault="00AA77F4" w:rsidP="00D87E14">
      <w:pPr>
        <w:spacing w:line="360" w:lineRule="auto"/>
        <w:jc w:val="both"/>
        <w:rPr>
          <w:rFonts w:ascii="Arial" w:hAnsi="Arial" w:cs="Arial"/>
        </w:rPr>
      </w:pPr>
      <w:r w:rsidRPr="00D87E14">
        <w:rPr>
          <w:rFonts w:ascii="Arial" w:hAnsi="Arial" w:cs="Arial"/>
        </w:rPr>
        <w:t>This essay examines the role of Corporate Social Responsibility in promoting sustainability within the hospitality industry, utilising Eden Hotel Amsterdam as a case study. The analysis evaluates the hotel's corporate social responsibility practices, focussing its strategies concerning environmental and social issues, the obstacles faced in executing these initiatives, and prospects for future improvements. The discussion will also address the wider implications for the community and the environment, pointing out the significance of CSR in fostering sustainable hotel practices.</w:t>
      </w:r>
    </w:p>
    <w:p w14:paraId="22915510" w14:textId="77777777" w:rsidR="00AA77F4" w:rsidRPr="00D87E14" w:rsidRDefault="00AA77F4" w:rsidP="00D87E14">
      <w:pPr>
        <w:spacing w:line="360" w:lineRule="auto"/>
        <w:jc w:val="both"/>
        <w:rPr>
          <w:rFonts w:ascii="Arial" w:hAnsi="Arial" w:cs="Arial"/>
        </w:rPr>
      </w:pPr>
    </w:p>
    <w:p w14:paraId="3C791111" w14:textId="77777777" w:rsidR="00AA77F4" w:rsidRPr="00D87E14" w:rsidRDefault="00AA77F4" w:rsidP="00D87E14">
      <w:pPr>
        <w:spacing w:line="360" w:lineRule="auto"/>
        <w:jc w:val="both"/>
        <w:rPr>
          <w:rFonts w:ascii="Arial" w:hAnsi="Arial" w:cs="Arial"/>
        </w:rPr>
      </w:pPr>
      <w:r w:rsidRPr="00D87E14">
        <w:rPr>
          <w:rFonts w:ascii="Arial" w:hAnsi="Arial" w:cs="Arial"/>
        </w:rPr>
        <w:t>Located in the heart of the city's historic district, Eden is committed to using a comprehensive corporate social responsibility framework to bring sustainability into every aspect of its everyday operations. The Eden Hotel Amsterdam implements environmental, social, and governance (ESG) initiatives with the objective of minimising its ecological footprint for the advantage of its community and stakeholders.</w:t>
      </w:r>
    </w:p>
    <w:p w14:paraId="0B90933E" w14:textId="77777777" w:rsidR="00AA77F4" w:rsidRPr="00D87E14" w:rsidRDefault="00AA77F4" w:rsidP="00D87E14">
      <w:pPr>
        <w:spacing w:line="360" w:lineRule="auto"/>
        <w:jc w:val="both"/>
        <w:rPr>
          <w:rFonts w:ascii="Arial" w:hAnsi="Arial" w:cs="Arial"/>
        </w:rPr>
      </w:pPr>
    </w:p>
    <w:p w14:paraId="446D71BD"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The hotel has implemented complex energy-efficient devices and water-conserving systems in order to reduce its ecological footprint. The hotel lowers food waste by partnering with the initiative Too Good to Go, which provides surplus food to customers at a discounted rate, thereby preventing waste (Eden Hotels, 2024). </w:t>
      </w:r>
    </w:p>
    <w:p w14:paraId="35B12CB0" w14:textId="77777777" w:rsidR="00AA77F4" w:rsidRPr="00D87E14" w:rsidRDefault="00AA77F4" w:rsidP="00D87E14">
      <w:pPr>
        <w:spacing w:line="360" w:lineRule="auto"/>
        <w:jc w:val="both"/>
        <w:rPr>
          <w:rFonts w:ascii="Arial" w:hAnsi="Arial" w:cs="Arial"/>
        </w:rPr>
      </w:pPr>
    </w:p>
    <w:p w14:paraId="690C2B49" w14:textId="77777777" w:rsidR="00AA77F4" w:rsidRPr="00D87E14" w:rsidRDefault="00AA77F4" w:rsidP="00D87E14">
      <w:pPr>
        <w:spacing w:line="360" w:lineRule="auto"/>
        <w:jc w:val="both"/>
        <w:rPr>
          <w:rFonts w:ascii="Arial" w:hAnsi="Arial" w:cs="Arial"/>
        </w:rPr>
      </w:pPr>
      <w:r w:rsidRPr="00D87E14">
        <w:rPr>
          <w:rFonts w:ascii="Arial" w:hAnsi="Arial" w:cs="Arial"/>
        </w:rPr>
        <w:t>Eden's commitment to ecological sustainability has been recognised by its Green Key Gold certification, the highest level of recognition for environmental responsibility in the tourism and hospitality industry. This certification shows the hotel's commitment to sustainable practices in waste management, water conservation, and responsible material sourcing. The Green Key certification specifies that hotels have to conform to strict requirements for the constant improvement of their sustainability performance (Green Key, 2024). The Eden Hotel's pursuit of this certification exemplifies its ongoing commitment to environmental stewardship and corporate responsibility.</w:t>
      </w:r>
    </w:p>
    <w:p w14:paraId="12E57713" w14:textId="77777777" w:rsidR="00AA77F4" w:rsidRPr="00D87E14" w:rsidRDefault="00AA77F4" w:rsidP="00D87E14">
      <w:pPr>
        <w:spacing w:line="360" w:lineRule="auto"/>
        <w:jc w:val="both"/>
        <w:rPr>
          <w:rFonts w:ascii="Arial" w:hAnsi="Arial" w:cs="Arial"/>
        </w:rPr>
      </w:pPr>
      <w:r w:rsidRPr="00D87E14">
        <w:rPr>
          <w:rFonts w:ascii="Arial" w:hAnsi="Arial" w:cs="Arial"/>
        </w:rPr>
        <w:t>A proactive approach to energy and water conservation was implemented within the hotel's overall CSR framework (Eden Hotels, 2024). This strategy is in line with the United Nations Sustainable Development Goals SDG 6 (Clean Water and Sanitation) and SDG 7 (Affordable and Clean Energy) (City of Amsterdam, 2022). The hotel adopted various strategies that decreased water usage, which is essential to minimise its overall environmental footprint (Etic Hotel, 2024).</w:t>
      </w:r>
    </w:p>
    <w:p w14:paraId="0815C86E" w14:textId="77777777" w:rsidR="00AA77F4" w:rsidRPr="00D87E14" w:rsidRDefault="00AA77F4" w:rsidP="00D87E14">
      <w:pPr>
        <w:spacing w:line="360" w:lineRule="auto"/>
        <w:jc w:val="both"/>
        <w:rPr>
          <w:rFonts w:ascii="Arial" w:hAnsi="Arial" w:cs="Arial"/>
        </w:rPr>
      </w:pPr>
    </w:p>
    <w:p w14:paraId="46B6E419" w14:textId="77777777" w:rsidR="00AA77F4" w:rsidRPr="00D87E14" w:rsidRDefault="00AA77F4" w:rsidP="00D87E14">
      <w:pPr>
        <w:spacing w:line="360" w:lineRule="auto"/>
        <w:jc w:val="both"/>
        <w:rPr>
          <w:rFonts w:ascii="Arial" w:hAnsi="Arial" w:cs="Arial"/>
        </w:rPr>
      </w:pPr>
      <w:r w:rsidRPr="00D87E14">
        <w:rPr>
          <w:rFonts w:ascii="Arial" w:hAnsi="Arial" w:cs="Arial"/>
        </w:rPr>
        <w:t>LED lighting is being used throughout the property as a primary energy conservation strategy. Research demonstrates that LED lights possess up to 80% higher efficiency compared to conventional incandescent bulbs, leading to significant decreases in electricity usage (Montoya et al., 2017). The hotel has implemented motion detectors in public spaces and guest accommodations to guarantee that lighting is activated solely when required. Studies suggest that these sensors could decrease energy consumption by up to 30% in the same hospitality contexts (</w:t>
      </w:r>
      <w:proofErr w:type="spellStart"/>
      <w:r w:rsidRPr="00D87E14">
        <w:rPr>
          <w:rFonts w:ascii="Arial" w:hAnsi="Arial" w:cs="Arial"/>
        </w:rPr>
        <w:t>Sensorflow</w:t>
      </w:r>
      <w:proofErr w:type="spellEnd"/>
      <w:r w:rsidRPr="00D87E14">
        <w:rPr>
          <w:rFonts w:ascii="Arial" w:hAnsi="Arial" w:cs="Arial"/>
        </w:rPr>
        <w:t>, 2024). This technology is necessary for achieving the energy conservation goals of the hotel (Eden Hotels, 2024). It has also installed low-flow fixtures in restrooms and communal spaces that improve water conservation (Etic Hotels, 2024). Studies demonstrate that these fixtures can decrease water usage by as much as 50%, proving that they are an effective instrument in water management (Varma, 2022). The hotel initiated a linen reuse program inviting guests to reuse towels and bedding, which reduced water and energy consumption linked to laundry services (Etic Hotel, 2024). This initiative mitigates the hotel's ecological footprint and corresponds with consumer expectations for sustainable tourism practices.</w:t>
      </w:r>
    </w:p>
    <w:p w14:paraId="71597F80" w14:textId="77777777" w:rsidR="00AA77F4" w:rsidRPr="00D87E14" w:rsidRDefault="00AA77F4" w:rsidP="00D87E14">
      <w:pPr>
        <w:spacing w:line="360" w:lineRule="auto"/>
        <w:jc w:val="both"/>
        <w:rPr>
          <w:rFonts w:ascii="Arial" w:hAnsi="Arial" w:cs="Arial"/>
        </w:rPr>
      </w:pPr>
    </w:p>
    <w:p w14:paraId="117D4B56"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A strategic waste management strategy has been implemented by the hotel, with an end goal of reducing waste generation and integrating circular economy practices. </w:t>
      </w:r>
    </w:p>
    <w:p w14:paraId="0EBFE335"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A circular economy framework seeks to completely eliminate waste by constantly reusing resources, transforming waste products into new materials or recycling them for multiple uses. This strategy connects with the hotel's commitment to reducing its environmental impact through reduction of waste and the utilisation of sustainable, recyclable materials (Eden Hotels, 2024). </w:t>
      </w:r>
    </w:p>
    <w:p w14:paraId="727C2E3C" w14:textId="77777777" w:rsidR="00AA77F4" w:rsidRPr="00D87E14" w:rsidRDefault="00AA77F4" w:rsidP="00D87E14">
      <w:pPr>
        <w:spacing w:line="360" w:lineRule="auto"/>
        <w:jc w:val="both"/>
        <w:rPr>
          <w:rFonts w:ascii="Arial" w:hAnsi="Arial" w:cs="Arial"/>
        </w:rPr>
      </w:pPr>
      <w:r w:rsidRPr="00D87E14">
        <w:rPr>
          <w:rFonts w:ascii="Arial" w:hAnsi="Arial" w:cs="Arial"/>
        </w:rPr>
        <w:t>In 2018, the hotel implemented a substantial waste reduction initiative by banning single-use plastic straws.</w:t>
      </w:r>
    </w:p>
    <w:p w14:paraId="2106A6AA"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The hotel's restriction of plastic straws has helped reduce its contribution to plastic waste, a significant concern in the hospitality sector. Hira et al. (2022) recognise plastic waste as a highly persistent form of pollution, particularly in towns and cities, and suggest that limiting single-use plastics constitutes an effective approach to addressing this issue. The hotel has replaced plastic straws with biodegradable alternatives that decompose faster, which decreases environmental impact (Eden Hotels, 2024). </w:t>
      </w:r>
    </w:p>
    <w:p w14:paraId="17348CC5" w14:textId="77777777" w:rsidR="00AA77F4" w:rsidRPr="00D87E14" w:rsidRDefault="00AA77F4" w:rsidP="00D87E14">
      <w:pPr>
        <w:spacing w:line="360" w:lineRule="auto"/>
        <w:jc w:val="both"/>
        <w:rPr>
          <w:rFonts w:ascii="Arial" w:hAnsi="Arial" w:cs="Arial"/>
        </w:rPr>
      </w:pPr>
    </w:p>
    <w:p w14:paraId="56092035" w14:textId="77777777" w:rsidR="00AA77F4" w:rsidRPr="00D87E14" w:rsidRDefault="00AA77F4" w:rsidP="00D87E14">
      <w:pPr>
        <w:spacing w:line="360" w:lineRule="auto"/>
        <w:jc w:val="both"/>
        <w:rPr>
          <w:rFonts w:ascii="Arial" w:hAnsi="Arial" w:cs="Arial"/>
        </w:rPr>
      </w:pPr>
    </w:p>
    <w:p w14:paraId="37256566" w14:textId="77777777" w:rsidR="00AA77F4" w:rsidRPr="00D87E14" w:rsidRDefault="00AA77F4" w:rsidP="00D87E14">
      <w:pPr>
        <w:spacing w:line="360" w:lineRule="auto"/>
        <w:jc w:val="both"/>
        <w:rPr>
          <w:rFonts w:ascii="Arial" w:hAnsi="Arial" w:cs="Arial"/>
        </w:rPr>
      </w:pPr>
      <w:r w:rsidRPr="00D87E14">
        <w:rPr>
          <w:rFonts w:ascii="Arial" w:hAnsi="Arial" w:cs="Arial"/>
        </w:rPr>
        <w:t>The hotel uses circular economy principles by incorporating circular carpet tiles designed for lifecycle reuse. These tiles are elements of a broader initiative that promotes materials with minimal environmental impact that can be reprocessed or reused (Etic Hotel, 2024). Stahel (2016) shows that methods based on the circular economy can significantly decrease the demand for raw materials and diminish waste production, thereby improving industrial sustainability.</w:t>
      </w:r>
    </w:p>
    <w:p w14:paraId="30AFD338"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Eden collaborates with the Too Good to Go initiative, which attempts to reduce food waste by allowing hotels to sell surplus food to consumers at discounted prices (Etic Hotels, 2024). A </w:t>
      </w:r>
      <w:proofErr w:type="spellStart"/>
      <w:r w:rsidRPr="00D87E14">
        <w:rPr>
          <w:rFonts w:ascii="Arial" w:hAnsi="Arial" w:cs="Arial"/>
        </w:rPr>
        <w:t>ReFED</w:t>
      </w:r>
      <w:proofErr w:type="spellEnd"/>
      <w:r w:rsidRPr="00D87E14">
        <w:rPr>
          <w:rFonts w:ascii="Arial" w:hAnsi="Arial" w:cs="Arial"/>
        </w:rPr>
        <w:t xml:space="preserve"> report (2021) indicates that these initiatives can reduce food waste by 50%, supporting global efforts for minimising wasted resources. This </w:t>
      </w:r>
      <w:r w:rsidRPr="00D87E14">
        <w:rPr>
          <w:rFonts w:ascii="Arial" w:hAnsi="Arial" w:cs="Arial"/>
        </w:rPr>
        <w:lastRenderedPageBreak/>
        <w:t>collaboration illustrates the hotel's commitment to reducing food waste and promoting community involvement in sustainable consumption practices (Eden Hotels, 2024).</w:t>
      </w:r>
    </w:p>
    <w:p w14:paraId="6446EB06" w14:textId="77777777" w:rsidR="00AA77F4" w:rsidRPr="00D87E14" w:rsidRDefault="00AA77F4" w:rsidP="00D87E14">
      <w:pPr>
        <w:spacing w:line="360" w:lineRule="auto"/>
        <w:jc w:val="both"/>
        <w:rPr>
          <w:rFonts w:ascii="Arial" w:hAnsi="Arial" w:cs="Arial"/>
        </w:rPr>
      </w:pPr>
    </w:p>
    <w:p w14:paraId="0FB343A9" w14:textId="77777777" w:rsidR="00AA77F4" w:rsidRPr="00D87E14" w:rsidRDefault="00AA77F4" w:rsidP="00D87E14">
      <w:pPr>
        <w:spacing w:line="360" w:lineRule="auto"/>
        <w:jc w:val="both"/>
        <w:rPr>
          <w:rFonts w:ascii="Arial" w:hAnsi="Arial" w:cs="Arial"/>
        </w:rPr>
      </w:pPr>
    </w:p>
    <w:p w14:paraId="6B37753F" w14:textId="77777777" w:rsidR="00AA77F4" w:rsidRPr="00D87E14" w:rsidRDefault="00AA77F4" w:rsidP="00D87E14">
      <w:pPr>
        <w:spacing w:line="360" w:lineRule="auto"/>
        <w:jc w:val="both"/>
        <w:rPr>
          <w:rFonts w:ascii="Arial" w:hAnsi="Arial" w:cs="Arial"/>
        </w:rPr>
      </w:pPr>
      <w:r w:rsidRPr="00D87E14">
        <w:rPr>
          <w:rFonts w:ascii="Arial" w:hAnsi="Arial" w:cs="Arial"/>
        </w:rPr>
        <w:t>Eden Hotel Amsterdam prioritises sustainable sourcing as a core element of its CSR policy, obtaining goods and services that minimise environmental impact and promote local economies. By prioritising local suppliers and products, the hotel reduces its carbon footprint and meets environmental sustainability standards (</w:t>
      </w:r>
      <w:proofErr w:type="spellStart"/>
      <w:r w:rsidRPr="00D87E14">
        <w:rPr>
          <w:rFonts w:ascii="Arial" w:hAnsi="Arial" w:cs="Arial"/>
        </w:rPr>
        <w:t>Gössling</w:t>
      </w:r>
      <w:proofErr w:type="spellEnd"/>
      <w:r w:rsidRPr="00D87E14">
        <w:rPr>
          <w:rFonts w:ascii="Arial" w:hAnsi="Arial" w:cs="Arial"/>
        </w:rPr>
        <w:t xml:space="preserve"> et al., 2019). Research indicates that local sourcing minimises transport emissions and reinforces small and medium-sized enterprises that support local economies (Ashby, 2016; Pratt et al., 2017).</w:t>
      </w:r>
    </w:p>
    <w:p w14:paraId="4999DD55" w14:textId="77777777" w:rsidR="00AA77F4" w:rsidRPr="00D87E14" w:rsidRDefault="00AA77F4" w:rsidP="00D87E14">
      <w:pPr>
        <w:spacing w:line="360" w:lineRule="auto"/>
        <w:jc w:val="both"/>
        <w:rPr>
          <w:rFonts w:ascii="Arial" w:hAnsi="Arial" w:cs="Arial"/>
        </w:rPr>
      </w:pPr>
    </w:p>
    <w:p w14:paraId="2ECCF200" w14:textId="77777777" w:rsidR="00AA77F4" w:rsidRPr="00D87E14" w:rsidRDefault="00AA77F4" w:rsidP="00D87E14">
      <w:pPr>
        <w:spacing w:line="360" w:lineRule="auto"/>
        <w:jc w:val="both"/>
        <w:rPr>
          <w:rFonts w:ascii="Arial" w:hAnsi="Arial" w:cs="Arial"/>
        </w:rPr>
      </w:pPr>
      <w:r w:rsidRPr="00D87E14">
        <w:rPr>
          <w:rFonts w:ascii="Arial" w:hAnsi="Arial" w:cs="Arial"/>
        </w:rPr>
        <w:t>The hotel promotes community involvement by forming robust alliances with local food producers, maintaining a supply of organic and sustainably sourced ingredients for its restaurants. These collaborations build community connections and promote sustainability, consistent with the findings of Font and McCabe (2017), which underline the importance of local sourcing in fostering community development and sustainable practices within the hospitality sector.</w:t>
      </w:r>
    </w:p>
    <w:p w14:paraId="076CC7F7" w14:textId="77777777" w:rsidR="00AA77F4" w:rsidRPr="00D87E14" w:rsidRDefault="00AA77F4" w:rsidP="00D87E14">
      <w:pPr>
        <w:spacing w:line="360" w:lineRule="auto"/>
        <w:jc w:val="both"/>
        <w:rPr>
          <w:rFonts w:ascii="Arial" w:hAnsi="Arial" w:cs="Arial"/>
        </w:rPr>
      </w:pPr>
    </w:p>
    <w:p w14:paraId="733FF9A9"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Sustainable sourcing provides many advantages such as decreasing the hotel's total carbon footprint and fostering local economic growth. Font et al. (2008) conducted a study demonstrating that local sourcing strategies in the hospitality sector significantly reduce CO2 emissions by avoiding transportation needs. Moreover, endorsing local producers helps economic resilience by ensuring steady demand for locally sourced goods. Eden Hotel Amsterdam boosts its sustainability credentials by prioritising sustainable sourcing, inevitably supporting the wider community and helping environmental conservation. </w:t>
      </w:r>
    </w:p>
    <w:p w14:paraId="7859CBAA" w14:textId="77777777" w:rsidR="00AA77F4" w:rsidRPr="00D87E14" w:rsidRDefault="00AA77F4" w:rsidP="00D87E14">
      <w:pPr>
        <w:spacing w:line="360" w:lineRule="auto"/>
        <w:jc w:val="both"/>
        <w:rPr>
          <w:rFonts w:ascii="Arial" w:hAnsi="Arial" w:cs="Arial"/>
        </w:rPr>
      </w:pPr>
    </w:p>
    <w:p w14:paraId="27E741F4"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The health and well-being of employees and guests is fundamental, with the hotel providing a flexible and positive work atmosphere. The hotel provides a flexible and </w:t>
      </w:r>
      <w:r w:rsidRPr="00D87E14">
        <w:rPr>
          <w:rFonts w:ascii="Arial" w:hAnsi="Arial" w:cs="Arial"/>
        </w:rPr>
        <w:lastRenderedPageBreak/>
        <w:t xml:space="preserve">supportive work environment for its employees, directed to better job satisfaction and work-life balance. This method involves offering tailored work schedules and flexible hours to accommodate people's needs (Eden Hotels, 2024). Buick et al. (2024) assert that these practices raise employee satisfaction and retention, aligning with research that demonstrates that flexible working environments foster increased productivity and employee well-being. </w:t>
      </w:r>
    </w:p>
    <w:p w14:paraId="6DD9F798" w14:textId="77777777" w:rsidR="00AA77F4" w:rsidRPr="00D87E14" w:rsidRDefault="00AA77F4" w:rsidP="00D87E14">
      <w:pPr>
        <w:spacing w:line="360" w:lineRule="auto"/>
        <w:jc w:val="both"/>
        <w:rPr>
          <w:rFonts w:ascii="Arial" w:hAnsi="Arial" w:cs="Arial"/>
        </w:rPr>
      </w:pPr>
    </w:p>
    <w:p w14:paraId="5DFC66C5"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The implementation of eco-friendly services and facilities throughout the hotel helps to improve guest satisfaction. An essential initiative involves providing organic cosmetic products formulated from natural ingredients, guaranteeing customer satisfaction while limiting the environmental impact. The hotel collaborates with the </w:t>
      </w:r>
      <w:proofErr w:type="spellStart"/>
      <w:r w:rsidRPr="00D87E14">
        <w:rPr>
          <w:rFonts w:ascii="Arial" w:hAnsi="Arial" w:cs="Arial"/>
        </w:rPr>
        <w:t>Osmè</w:t>
      </w:r>
      <w:proofErr w:type="spellEnd"/>
      <w:r w:rsidRPr="00D87E14">
        <w:rPr>
          <w:rFonts w:ascii="Arial" w:hAnsi="Arial" w:cs="Arial"/>
        </w:rPr>
        <w:t xml:space="preserve"> line of organic cosmetics, which comprises 98.8% natural ingredients, predominantly derived from organic agriculture. The products utilise recyclable materials, which contributes to the hotel's sustainability goals (Etic Hotel, 2024). Research by Chen and Tung (2014) indicates that environmentally friendly amenities considerably raise customer satisfaction and reinforce a hotel's ecological reputation, demonstrating the key role of sustainability in customer service.</w:t>
      </w:r>
    </w:p>
    <w:p w14:paraId="36FF8AC7" w14:textId="77777777" w:rsidR="00AA77F4" w:rsidRPr="00D87E14" w:rsidRDefault="00AA77F4" w:rsidP="00D87E14">
      <w:pPr>
        <w:spacing w:line="360" w:lineRule="auto"/>
        <w:jc w:val="both"/>
        <w:rPr>
          <w:rFonts w:ascii="Arial" w:hAnsi="Arial" w:cs="Arial"/>
        </w:rPr>
      </w:pPr>
    </w:p>
    <w:p w14:paraId="047BCDC3"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Implementing CSR in the hospitality industry has numerous challenges, particularly for companies like Eden Hotel Amsterdam, which prioritises sustainability. </w:t>
      </w:r>
    </w:p>
    <w:p w14:paraId="1C9160AC"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A significant challenge is the financial cost of sustainable upgrades and energy-efficient technologies, including LED lighting and water conservation fixtures. Building sustainable systems, such as solar panels and sophisticated waste management facilities, necessitates considerable upfront capital. </w:t>
      </w:r>
      <w:proofErr w:type="spellStart"/>
      <w:r w:rsidRPr="00D87E14">
        <w:rPr>
          <w:rFonts w:ascii="Arial" w:hAnsi="Arial" w:cs="Arial"/>
        </w:rPr>
        <w:t>Gössling</w:t>
      </w:r>
      <w:proofErr w:type="spellEnd"/>
      <w:r w:rsidRPr="00D87E14">
        <w:rPr>
          <w:rFonts w:ascii="Arial" w:hAnsi="Arial" w:cs="Arial"/>
        </w:rPr>
        <w:t xml:space="preserve"> et al. (2019) demonstrate that significant investments in infrastructure may pose a barrier, particularly for mid-sized hotels. Although these investments frequently produce long-term savings, the initial financial outlay poses a challenge for many institutions (Franco et al., 2020). The Eden Hotel addresses sustainability challenges through the use of eco-friendly materials and technologies, such as LED lighting and circular carpet tiles (Eden Hotel, 2024). </w:t>
      </w:r>
    </w:p>
    <w:p w14:paraId="10366E1E" w14:textId="77777777" w:rsidR="00AA77F4" w:rsidRPr="00D87E14" w:rsidRDefault="00AA77F4" w:rsidP="00D87E14">
      <w:pPr>
        <w:spacing w:line="360" w:lineRule="auto"/>
        <w:jc w:val="both"/>
        <w:rPr>
          <w:rFonts w:ascii="Arial" w:hAnsi="Arial" w:cs="Arial"/>
        </w:rPr>
      </w:pPr>
      <w:r w:rsidRPr="00D87E14">
        <w:rPr>
          <w:rFonts w:ascii="Arial" w:hAnsi="Arial" w:cs="Arial"/>
        </w:rPr>
        <w:lastRenderedPageBreak/>
        <w:t xml:space="preserve">Operational challenges come up, particularly in overseeing sustainability initiatives in high-consumption environments like hotels. Reconciling sustainability goals with visitor expectations presents a formidable challenge due to the substantial energy and water needs of continuously operating hotels. Wang et al. (2021) identified specific operational challenges in the hospitality sector concerning the adoption of sustainable practices, including the persistent need to uphold high service standards while minimising resource consumption. </w:t>
      </w:r>
    </w:p>
    <w:p w14:paraId="132B4141" w14:textId="77777777" w:rsidR="00AA77F4" w:rsidRPr="00D87E14" w:rsidRDefault="00AA77F4" w:rsidP="00D87E14">
      <w:pPr>
        <w:spacing w:line="360" w:lineRule="auto"/>
        <w:jc w:val="both"/>
        <w:rPr>
          <w:rFonts w:ascii="Arial" w:hAnsi="Arial" w:cs="Arial"/>
        </w:rPr>
      </w:pPr>
    </w:p>
    <w:p w14:paraId="7D73119B"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At Eden Hotel, the preservation of luxury services alongside sustainability objectives necessitates continuous monitoring and modifications (Etic Hotels, 2024). </w:t>
      </w:r>
    </w:p>
    <w:p w14:paraId="427773F3" w14:textId="77777777" w:rsidR="00AA77F4" w:rsidRPr="00D87E14" w:rsidRDefault="00AA77F4" w:rsidP="00D87E14">
      <w:pPr>
        <w:spacing w:line="360" w:lineRule="auto"/>
        <w:jc w:val="both"/>
        <w:rPr>
          <w:rFonts w:ascii="Arial" w:hAnsi="Arial" w:cs="Arial"/>
        </w:rPr>
      </w:pPr>
      <w:r w:rsidRPr="00D87E14">
        <w:rPr>
          <w:rFonts w:ascii="Arial" w:hAnsi="Arial" w:cs="Arial"/>
        </w:rPr>
        <w:t>Dutch and EU environmental regulations profoundly impact the CSR strategies implemented by Eden Hotel Amsterdam. The European Union sets stringent standards regarding energy consumption, waste prevention, and water usage, thereby reinforcing the hotel’s commitment to sustainability. Dutch legislation, including the Energy Agreement for Sustainable Growth, imposes supplementary requirements on hotels that require compliance to renewable energy standards (International Energy Agency, 2020). Regulatory frameworks such as these drives hotels to adopt environmentally sustainable practices; however, they may also complicate the implementation of Corporate Social Responsibility (CSR) as hotels must continuously adjust to evolving requirements (</w:t>
      </w:r>
      <w:proofErr w:type="spellStart"/>
      <w:r w:rsidRPr="00D87E14">
        <w:rPr>
          <w:rFonts w:ascii="Arial" w:hAnsi="Arial" w:cs="Arial"/>
        </w:rPr>
        <w:t>Barón</w:t>
      </w:r>
      <w:proofErr w:type="spellEnd"/>
      <w:r w:rsidRPr="00D87E14">
        <w:rPr>
          <w:rFonts w:ascii="Arial" w:hAnsi="Arial" w:cs="Arial"/>
        </w:rPr>
        <w:t xml:space="preserve"> Dorado et al., 2022). </w:t>
      </w:r>
    </w:p>
    <w:p w14:paraId="7BA808DD" w14:textId="77777777" w:rsidR="00AA77F4" w:rsidRPr="00D87E14" w:rsidRDefault="00AA77F4" w:rsidP="00D87E14">
      <w:pPr>
        <w:spacing w:line="360" w:lineRule="auto"/>
        <w:jc w:val="both"/>
        <w:rPr>
          <w:rFonts w:ascii="Arial" w:hAnsi="Arial" w:cs="Arial"/>
        </w:rPr>
      </w:pPr>
      <w:r w:rsidRPr="00D87E14">
        <w:rPr>
          <w:rFonts w:ascii="Arial" w:hAnsi="Arial" w:cs="Arial"/>
        </w:rPr>
        <w:t>Various strategies are available to improve the hotel's CSR initiatives, such as incorporating novel innovations and promoting sustainable practices. The utilisation of renewable energy sources represents a promising field of exploration. Employing solar panels, wind energy, or geothermal systems can markedly reduce the hotel's dependency on non-renewable energy sources, aligning with global trends towards carbon neutrality (</w:t>
      </w:r>
      <w:proofErr w:type="spellStart"/>
      <w:r w:rsidRPr="00D87E14">
        <w:rPr>
          <w:rFonts w:ascii="Arial" w:hAnsi="Arial" w:cs="Arial"/>
        </w:rPr>
        <w:t>Gössling</w:t>
      </w:r>
      <w:proofErr w:type="spellEnd"/>
      <w:r w:rsidRPr="00D87E14">
        <w:rPr>
          <w:rFonts w:ascii="Arial" w:hAnsi="Arial" w:cs="Arial"/>
        </w:rPr>
        <w:t xml:space="preserve"> et al., 2019). The adoption of specialised recycling systems, such as on-site composting and closed-loop waste management, can diminish waste while advancing the goals of a circular economy (Stahel, 2016). </w:t>
      </w:r>
    </w:p>
    <w:p w14:paraId="78691372"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The hotel has the capacity to improve its community outreach by increased social initiatives. Collaborating with local enterprises and charitable organisations could boost community involvement and foster social sustainability for Eden Hotel. Initiatives may include organising community events or offering training programs for local </w:t>
      </w:r>
      <w:r w:rsidRPr="00D87E14">
        <w:rPr>
          <w:rFonts w:ascii="Arial" w:hAnsi="Arial" w:cs="Arial"/>
        </w:rPr>
        <w:lastRenderedPageBreak/>
        <w:t>residents, thus building community connections and advancing local development (Font &amp; McCabe, 2017).</w:t>
      </w:r>
    </w:p>
    <w:p w14:paraId="721C04B5" w14:textId="77777777" w:rsidR="00AA77F4" w:rsidRPr="00D87E14" w:rsidRDefault="00AA77F4" w:rsidP="00D87E14">
      <w:pPr>
        <w:spacing w:line="360" w:lineRule="auto"/>
        <w:jc w:val="both"/>
        <w:rPr>
          <w:rFonts w:ascii="Arial" w:hAnsi="Arial" w:cs="Arial"/>
        </w:rPr>
      </w:pPr>
    </w:p>
    <w:p w14:paraId="37ED7D2E" w14:textId="3964770E" w:rsidR="00AA77F4" w:rsidRPr="00D87E14" w:rsidRDefault="00AA77F4" w:rsidP="00D87E14">
      <w:pPr>
        <w:spacing w:line="360" w:lineRule="auto"/>
        <w:jc w:val="both"/>
        <w:rPr>
          <w:rFonts w:ascii="Arial" w:hAnsi="Arial" w:cs="Arial"/>
        </w:rPr>
      </w:pPr>
      <w:r w:rsidRPr="00D87E14">
        <w:rPr>
          <w:rFonts w:ascii="Arial" w:hAnsi="Arial" w:cs="Arial"/>
        </w:rPr>
        <w:t xml:space="preserve">Eden Hotel may apply its CSR initiatives as a marketing strategy to attract travellers who prioritise sustainability. Studies demonstrate that numerous tourists prioritise environmentally sustainable lodgings (Chen &amp; Tung, 2014)giving the hotel the chance to promote its  </w:t>
      </w:r>
      <w:r w:rsidR="00184CFC" w:rsidRPr="00D87E14">
        <w:rPr>
          <w:rFonts w:ascii="Arial" w:hAnsi="Arial" w:cs="Arial"/>
        </w:rPr>
        <w:t>sustainable</w:t>
      </w:r>
      <w:r w:rsidRPr="00D87E14">
        <w:rPr>
          <w:rFonts w:ascii="Arial" w:hAnsi="Arial" w:cs="Arial"/>
        </w:rPr>
        <w:t xml:space="preserve"> practices trough marketing, improving its brand reputation and appeal to this growing demographic. </w:t>
      </w:r>
    </w:p>
    <w:p w14:paraId="2CE81711"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CSR has become crucial for advancing sustainability in the hospitality industry, providing substantial advantages for the environment, economy, and society (Stahel, 2016; Chen &amp; Tung, 2014). Incorporating CSR into hotel operations decreases environmental impact, improves brand reputation, and attracts consumers who prioritise sustainability, as mentioned earlier (Franco et al., 2020; </w:t>
      </w:r>
      <w:proofErr w:type="spellStart"/>
      <w:r w:rsidRPr="00D87E14">
        <w:rPr>
          <w:rFonts w:ascii="Arial" w:hAnsi="Arial" w:cs="Arial"/>
        </w:rPr>
        <w:t>Gössling</w:t>
      </w:r>
      <w:proofErr w:type="spellEnd"/>
      <w:r w:rsidRPr="00D87E14">
        <w:rPr>
          <w:rFonts w:ascii="Arial" w:hAnsi="Arial" w:cs="Arial"/>
        </w:rPr>
        <w:t xml:space="preserve"> et al., 2010). Responsible energy consumption, waste minimisation, and community involvement define CSR as a strategic tool for advancing sustainable development. </w:t>
      </w:r>
    </w:p>
    <w:p w14:paraId="5EC9BA58" w14:textId="77777777" w:rsidR="00AA77F4" w:rsidRPr="00D87E14" w:rsidRDefault="00AA77F4" w:rsidP="00D87E14">
      <w:pPr>
        <w:spacing w:line="360" w:lineRule="auto"/>
        <w:jc w:val="both"/>
        <w:rPr>
          <w:rFonts w:ascii="Arial" w:hAnsi="Arial" w:cs="Arial"/>
        </w:rPr>
      </w:pPr>
    </w:p>
    <w:p w14:paraId="7BFEB3A2"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Eden Hotel Amsterdam exemplifies the effective carrying out of corporate social responsibility. The hotel features energy conservation strategies, such as LED lighting and motion sensors, which significantly reduce energy usage. The hotel focuses on sustainable sourcing and community partnerships, which contribute to the local economy and encourage environmental sustainability. </w:t>
      </w:r>
    </w:p>
    <w:p w14:paraId="753E3CBE" w14:textId="77777777" w:rsidR="00AA77F4" w:rsidRPr="00D87E14" w:rsidRDefault="00AA77F4" w:rsidP="00D87E14">
      <w:pPr>
        <w:spacing w:line="360" w:lineRule="auto"/>
        <w:jc w:val="both"/>
        <w:rPr>
          <w:rFonts w:ascii="Arial" w:hAnsi="Arial" w:cs="Arial"/>
        </w:rPr>
      </w:pPr>
    </w:p>
    <w:p w14:paraId="6FAD3EA1" w14:textId="77777777" w:rsidR="00AA77F4" w:rsidRPr="00D87E14" w:rsidRDefault="00AA77F4" w:rsidP="00D87E14">
      <w:pPr>
        <w:spacing w:line="360" w:lineRule="auto"/>
        <w:jc w:val="both"/>
        <w:rPr>
          <w:rFonts w:ascii="Arial" w:hAnsi="Arial" w:cs="Arial"/>
        </w:rPr>
      </w:pPr>
      <w:r w:rsidRPr="00D87E14">
        <w:rPr>
          <w:rFonts w:ascii="Arial" w:hAnsi="Arial" w:cs="Arial"/>
        </w:rPr>
        <w:t>As consumer preferences progressively favour sustainable travel alternatives, CSR provides hotels with an edge over rivals. The initiatives undertaken by Eden Hotel Amsterdam exemplify the significance of sustainability in the hospitality industry, illustrating how corporate social responsibility might improve environmental outcomes while simultaneously improving guest satisfaction and overall business performance. The future of the industry depends on the sustained promotion of sustainability and socially responsible practices.</w:t>
      </w:r>
    </w:p>
    <w:p w14:paraId="7669541D" w14:textId="77777777" w:rsidR="00AA77F4" w:rsidRPr="00AA77F4" w:rsidRDefault="00AA77F4" w:rsidP="00D87E14">
      <w:pPr>
        <w:spacing w:line="360" w:lineRule="auto"/>
        <w:jc w:val="both"/>
        <w:rPr>
          <w:rFonts w:ascii="Arial" w:hAnsi="Arial" w:cs="Arial"/>
          <w:lang w:val="en-US"/>
        </w:rPr>
      </w:pPr>
    </w:p>
    <w:p w14:paraId="41CCC5CF" w14:textId="77777777" w:rsidR="00AA77F4" w:rsidRPr="00AA77F4" w:rsidRDefault="00AA77F4" w:rsidP="00D87E14">
      <w:pPr>
        <w:spacing w:line="360" w:lineRule="auto"/>
        <w:jc w:val="both"/>
        <w:rPr>
          <w:rFonts w:ascii="Arial" w:hAnsi="Arial" w:cs="Arial"/>
          <w:lang w:val="en-US"/>
        </w:rPr>
      </w:pPr>
      <w:r w:rsidRPr="00AA77F4">
        <w:rPr>
          <w:rFonts w:ascii="Arial" w:hAnsi="Arial" w:cs="Arial"/>
          <w:lang w:val="en-US"/>
        </w:rPr>
        <w:lastRenderedPageBreak/>
        <w:t xml:space="preserve">References </w:t>
      </w:r>
    </w:p>
    <w:p w14:paraId="67CD77FB" w14:textId="689B3301" w:rsidR="00AA77F4" w:rsidRPr="00AA77F4" w:rsidRDefault="00AA77F4" w:rsidP="00D87E14">
      <w:pPr>
        <w:spacing w:line="360" w:lineRule="auto"/>
        <w:jc w:val="both"/>
        <w:rPr>
          <w:rFonts w:ascii="Arial" w:hAnsi="Arial" w:cs="Arial"/>
          <w:lang w:val="en-US"/>
        </w:rPr>
      </w:pPr>
      <w:r w:rsidRPr="00AA77F4">
        <w:rPr>
          <w:rFonts w:ascii="Arial" w:hAnsi="Arial" w:cs="Arial"/>
          <w:lang w:val="en-US"/>
        </w:rPr>
        <w:t>1.</w:t>
      </w:r>
      <w:r w:rsidRPr="00AA77F4">
        <w:rPr>
          <w:rFonts w:ascii="Arial" w:hAnsi="Arial" w:cs="Arial"/>
          <w:lang w:val="en-US"/>
        </w:rPr>
        <w:tab/>
        <w:t xml:space="preserve">Ashby, A., </w:t>
      </w:r>
      <w:r w:rsidR="007E7C81">
        <w:rPr>
          <w:rFonts w:ascii="Arial" w:hAnsi="Arial" w:cs="Arial"/>
          <w:lang w:val="en-US"/>
        </w:rPr>
        <w:t>(</w:t>
      </w:r>
      <w:r w:rsidRPr="00AA77F4">
        <w:rPr>
          <w:rFonts w:ascii="Arial" w:hAnsi="Arial" w:cs="Arial"/>
          <w:lang w:val="en-US"/>
        </w:rPr>
        <w:t>2016</w:t>
      </w:r>
      <w:r w:rsidR="007E7C81">
        <w:rPr>
          <w:rFonts w:ascii="Arial" w:hAnsi="Arial" w:cs="Arial"/>
          <w:lang w:val="en-US"/>
        </w:rPr>
        <w:t>)</w:t>
      </w:r>
      <w:r w:rsidRPr="00AA77F4">
        <w:rPr>
          <w:rFonts w:ascii="Arial" w:hAnsi="Arial" w:cs="Arial"/>
          <w:lang w:val="en-US"/>
        </w:rPr>
        <w:t xml:space="preserve">. From global to local: reshoring for sustainability. Operations Management Research, 9(3-4), p.75. </w:t>
      </w:r>
      <w:hyperlink r:id="rId4" w:history="1">
        <w:r w:rsidRPr="00AA77F4">
          <w:rPr>
            <w:rStyle w:val="Hyperlink"/>
            <w:rFonts w:ascii="Arial" w:hAnsi="Arial" w:cs="Arial"/>
            <w:lang w:val="en-US"/>
          </w:rPr>
          <w:t>https://search.proquest.com/openview/ef3ed32018d90ee37c5fa34b6ad89e9a/1?pq-origsite=gscholar&amp;cbl=326267</w:t>
        </w:r>
      </w:hyperlink>
      <w:r w:rsidRPr="00AA77F4">
        <w:rPr>
          <w:rFonts w:ascii="Arial" w:hAnsi="Arial" w:cs="Arial"/>
          <w:lang w:val="en-US"/>
        </w:rPr>
        <w:t xml:space="preserve">   </w:t>
      </w:r>
    </w:p>
    <w:p w14:paraId="5080B398" w14:textId="2620A493" w:rsidR="00AA77F4" w:rsidRPr="00AA77F4" w:rsidRDefault="00AA77F4" w:rsidP="00D87E14">
      <w:pPr>
        <w:spacing w:line="360" w:lineRule="auto"/>
        <w:jc w:val="both"/>
        <w:rPr>
          <w:rFonts w:ascii="Arial" w:hAnsi="Arial" w:cs="Arial"/>
          <w:lang w:val="en-US"/>
        </w:rPr>
      </w:pPr>
      <w:r w:rsidRPr="00AA77F4">
        <w:rPr>
          <w:rFonts w:ascii="Arial" w:hAnsi="Arial" w:cs="Arial"/>
          <w:lang w:val="en-US"/>
        </w:rPr>
        <w:t>2.</w:t>
      </w:r>
      <w:r w:rsidRPr="00AA77F4">
        <w:rPr>
          <w:rFonts w:ascii="Arial" w:hAnsi="Arial" w:cs="Arial"/>
          <w:lang w:val="en-US"/>
        </w:rPr>
        <w:tab/>
      </w:r>
      <w:proofErr w:type="spellStart"/>
      <w:r w:rsidRPr="00AA77F4">
        <w:rPr>
          <w:rFonts w:ascii="Arial" w:hAnsi="Arial" w:cs="Arial"/>
          <w:lang w:val="en-US"/>
        </w:rPr>
        <w:t>Barón</w:t>
      </w:r>
      <w:proofErr w:type="spellEnd"/>
      <w:r w:rsidRPr="00AA77F4">
        <w:rPr>
          <w:rFonts w:ascii="Arial" w:hAnsi="Arial" w:cs="Arial"/>
          <w:lang w:val="en-US"/>
        </w:rPr>
        <w:t xml:space="preserve"> Dorado, A., Giménez Leal, G. and de Castro Vila, R., </w:t>
      </w:r>
      <w:r w:rsidR="007E7C81">
        <w:rPr>
          <w:rFonts w:ascii="Arial" w:hAnsi="Arial" w:cs="Arial"/>
          <w:lang w:val="en-US"/>
        </w:rPr>
        <w:t>(</w:t>
      </w:r>
      <w:r w:rsidRPr="00AA77F4">
        <w:rPr>
          <w:rFonts w:ascii="Arial" w:hAnsi="Arial" w:cs="Arial"/>
          <w:lang w:val="en-US"/>
        </w:rPr>
        <w:t>2022</w:t>
      </w:r>
      <w:r w:rsidR="007E7C81">
        <w:rPr>
          <w:rFonts w:ascii="Arial" w:hAnsi="Arial" w:cs="Arial"/>
          <w:lang w:val="en-US"/>
        </w:rPr>
        <w:t>)</w:t>
      </w:r>
      <w:r w:rsidRPr="00AA77F4">
        <w:rPr>
          <w:rFonts w:ascii="Arial" w:hAnsi="Arial" w:cs="Arial"/>
          <w:lang w:val="en-US"/>
        </w:rPr>
        <w:t xml:space="preserve">. Environmental policy and corporate sustainability: The mediating role of environmental management systems in circular economy adoption. Corporate social responsibility and Environmental Management, 29(4), pp.830-842. </w:t>
      </w:r>
      <w:hyperlink r:id="rId5" w:history="1">
        <w:r w:rsidRPr="00AA77F4">
          <w:rPr>
            <w:rStyle w:val="Hyperlink"/>
            <w:rFonts w:ascii="Arial" w:hAnsi="Arial" w:cs="Arial"/>
            <w:lang w:val="en-US"/>
          </w:rPr>
          <w:t>https://doi.org/10.1002/csr.2238</w:t>
        </w:r>
      </w:hyperlink>
      <w:r w:rsidRPr="00AA77F4">
        <w:rPr>
          <w:rFonts w:ascii="Arial" w:hAnsi="Arial" w:cs="Arial"/>
          <w:lang w:val="en-US"/>
        </w:rPr>
        <w:t xml:space="preserve">   </w:t>
      </w:r>
    </w:p>
    <w:p w14:paraId="7476BF22" w14:textId="0516C8A7" w:rsidR="00AA77F4" w:rsidRPr="00AA77F4" w:rsidRDefault="00AA77F4" w:rsidP="00D87E14">
      <w:pPr>
        <w:spacing w:line="360" w:lineRule="auto"/>
        <w:jc w:val="both"/>
        <w:rPr>
          <w:rFonts w:ascii="Arial" w:hAnsi="Arial" w:cs="Arial"/>
          <w:lang w:val="en-US"/>
        </w:rPr>
      </w:pPr>
      <w:r w:rsidRPr="00AA77F4">
        <w:rPr>
          <w:rFonts w:ascii="Arial" w:hAnsi="Arial" w:cs="Arial"/>
          <w:lang w:val="en-US"/>
        </w:rPr>
        <w:t>3.</w:t>
      </w:r>
      <w:r w:rsidRPr="00AA77F4">
        <w:rPr>
          <w:rFonts w:ascii="Arial" w:hAnsi="Arial" w:cs="Arial"/>
          <w:lang w:val="en-US"/>
        </w:rPr>
        <w:tab/>
        <w:t xml:space="preserve">Buick, F., Blackman, D.A., Glennie, M., Weeratunga, V. and O’Donnell, M.E., </w:t>
      </w:r>
      <w:r w:rsidR="007E7C81">
        <w:rPr>
          <w:rFonts w:ascii="Arial" w:hAnsi="Arial" w:cs="Arial"/>
          <w:lang w:val="en-US"/>
        </w:rPr>
        <w:t>(</w:t>
      </w:r>
      <w:r w:rsidRPr="00AA77F4">
        <w:rPr>
          <w:rFonts w:ascii="Arial" w:hAnsi="Arial" w:cs="Arial"/>
          <w:lang w:val="en-US"/>
        </w:rPr>
        <w:t>2024</w:t>
      </w:r>
      <w:r w:rsidR="007E7C81">
        <w:rPr>
          <w:rFonts w:ascii="Arial" w:hAnsi="Arial" w:cs="Arial"/>
          <w:lang w:val="en-US"/>
        </w:rPr>
        <w:t>)</w:t>
      </w:r>
      <w:r w:rsidRPr="00AA77F4">
        <w:rPr>
          <w:rFonts w:ascii="Arial" w:hAnsi="Arial" w:cs="Arial"/>
          <w:lang w:val="en-US"/>
        </w:rPr>
        <w:t xml:space="preserve">. Different approaches to managerial support for flexible working: Implications for public sector employee well-being. Public Personnel Management, p.00910260241226731. </w:t>
      </w:r>
      <w:hyperlink r:id="rId6" w:history="1">
        <w:r w:rsidRPr="00AA77F4">
          <w:rPr>
            <w:rStyle w:val="Hyperlink"/>
            <w:rFonts w:ascii="Arial" w:hAnsi="Arial" w:cs="Arial"/>
            <w:lang w:val="en-US"/>
          </w:rPr>
          <w:t>https://doi.org/10.1177/00910260241226731</w:t>
        </w:r>
      </w:hyperlink>
      <w:r w:rsidRPr="00AA77F4">
        <w:rPr>
          <w:rFonts w:ascii="Arial" w:hAnsi="Arial" w:cs="Arial"/>
          <w:lang w:val="en-US"/>
        </w:rPr>
        <w:t xml:space="preserve">   </w:t>
      </w:r>
    </w:p>
    <w:p w14:paraId="0A8F714B" w14:textId="1A66B1AF" w:rsidR="00AA77F4" w:rsidRPr="00AA77F4" w:rsidRDefault="00AA77F4" w:rsidP="00D87E14">
      <w:pPr>
        <w:spacing w:line="360" w:lineRule="auto"/>
        <w:jc w:val="both"/>
        <w:rPr>
          <w:rFonts w:ascii="Arial" w:hAnsi="Arial" w:cs="Arial"/>
          <w:lang w:val="en-US"/>
        </w:rPr>
      </w:pPr>
      <w:r w:rsidRPr="007E7C81">
        <w:rPr>
          <w:rFonts w:ascii="Arial" w:hAnsi="Arial" w:cs="Arial"/>
          <w:lang w:val="de-DE"/>
        </w:rPr>
        <w:t>4.</w:t>
      </w:r>
      <w:r w:rsidRPr="007E7C81">
        <w:rPr>
          <w:rFonts w:ascii="Arial" w:hAnsi="Arial" w:cs="Arial"/>
          <w:lang w:val="de-DE"/>
        </w:rPr>
        <w:tab/>
        <w:t xml:space="preserve">Chen, M.-F., &amp; Tung, P.-J., </w:t>
      </w:r>
      <w:r w:rsidR="007E7C81" w:rsidRPr="007E7C81">
        <w:rPr>
          <w:rFonts w:ascii="Arial" w:hAnsi="Arial" w:cs="Arial"/>
          <w:lang w:val="de-DE"/>
        </w:rPr>
        <w:t>(</w:t>
      </w:r>
      <w:r w:rsidRPr="007E7C81">
        <w:rPr>
          <w:rFonts w:ascii="Arial" w:hAnsi="Arial" w:cs="Arial"/>
          <w:lang w:val="de-DE"/>
        </w:rPr>
        <w:t>2014</w:t>
      </w:r>
      <w:r w:rsidR="007E7C81" w:rsidRPr="007E7C81">
        <w:rPr>
          <w:rFonts w:ascii="Arial" w:hAnsi="Arial" w:cs="Arial"/>
          <w:lang w:val="de-DE"/>
        </w:rPr>
        <w:t>)</w:t>
      </w:r>
      <w:r w:rsidRPr="007E7C81">
        <w:rPr>
          <w:rFonts w:ascii="Arial" w:hAnsi="Arial" w:cs="Arial"/>
          <w:lang w:val="de-DE"/>
        </w:rPr>
        <w:t xml:space="preserve">. </w:t>
      </w:r>
      <w:r w:rsidRPr="00AA77F4">
        <w:rPr>
          <w:rFonts w:ascii="Arial" w:hAnsi="Arial" w:cs="Arial"/>
          <w:lang w:val="en-US"/>
        </w:rPr>
        <w:t xml:space="preserve">Developing an extended theory of planned behavior model to predict consumers' intention to visit green hotels. International Journal of Hospitality Management, 36, 221-230. </w:t>
      </w:r>
      <w:hyperlink r:id="rId7" w:history="1">
        <w:r w:rsidRPr="00AA77F4">
          <w:rPr>
            <w:rStyle w:val="Hyperlink"/>
            <w:rFonts w:ascii="Arial" w:hAnsi="Arial" w:cs="Arial"/>
            <w:lang w:val="en-US"/>
          </w:rPr>
          <w:t>https://doi.org/10.1016/j.ijhm.2013.09.006</w:t>
        </w:r>
      </w:hyperlink>
      <w:r w:rsidRPr="00AA77F4">
        <w:rPr>
          <w:rFonts w:ascii="Arial" w:hAnsi="Arial" w:cs="Arial"/>
          <w:lang w:val="en-US"/>
        </w:rPr>
        <w:t xml:space="preserve">  </w:t>
      </w:r>
    </w:p>
    <w:p w14:paraId="3BF9FA20" w14:textId="5C6C36D6" w:rsidR="00AA77F4" w:rsidRPr="00AA77F4" w:rsidRDefault="00AA77F4" w:rsidP="00D87E14">
      <w:pPr>
        <w:spacing w:line="360" w:lineRule="auto"/>
        <w:jc w:val="both"/>
        <w:rPr>
          <w:rFonts w:ascii="Arial" w:hAnsi="Arial" w:cs="Arial"/>
          <w:lang w:val="en-US"/>
        </w:rPr>
      </w:pPr>
      <w:r w:rsidRPr="00AA77F4">
        <w:rPr>
          <w:rFonts w:ascii="Arial" w:hAnsi="Arial" w:cs="Arial"/>
          <w:lang w:val="en-US"/>
        </w:rPr>
        <w:t>5.</w:t>
      </w:r>
      <w:r w:rsidRPr="00AA77F4">
        <w:rPr>
          <w:rFonts w:ascii="Arial" w:hAnsi="Arial" w:cs="Arial"/>
          <w:lang w:val="en-US"/>
        </w:rPr>
        <w:tab/>
        <w:t xml:space="preserve">City of Amsterdam, </w:t>
      </w:r>
      <w:r w:rsidR="007E7C81">
        <w:rPr>
          <w:rFonts w:ascii="Arial" w:hAnsi="Arial" w:cs="Arial"/>
          <w:lang w:val="en-US"/>
        </w:rPr>
        <w:t>(</w:t>
      </w:r>
      <w:r w:rsidRPr="00AA77F4">
        <w:rPr>
          <w:rFonts w:ascii="Arial" w:hAnsi="Arial" w:cs="Arial"/>
          <w:lang w:val="en-US"/>
        </w:rPr>
        <w:t>2022</w:t>
      </w:r>
      <w:r w:rsidR="007E7C81">
        <w:rPr>
          <w:rFonts w:ascii="Arial" w:hAnsi="Arial" w:cs="Arial"/>
          <w:lang w:val="en-US"/>
        </w:rPr>
        <w:t>)</w:t>
      </w:r>
      <w:r w:rsidRPr="00AA77F4">
        <w:rPr>
          <w:rFonts w:ascii="Arial" w:hAnsi="Arial" w:cs="Arial"/>
          <w:lang w:val="en-US"/>
        </w:rPr>
        <w:t>. Voluntary Local Review 2022. https://sdgs.un.org/sites/default/files/vlrs/2022-12/vlr_amsterdam.pdf</w:t>
      </w:r>
    </w:p>
    <w:p w14:paraId="7FFD7A15" w14:textId="18611B2B" w:rsidR="00AA77F4" w:rsidRPr="00AA77F4" w:rsidRDefault="00AA77F4" w:rsidP="00D87E14">
      <w:pPr>
        <w:spacing w:line="360" w:lineRule="auto"/>
        <w:jc w:val="both"/>
        <w:rPr>
          <w:rFonts w:ascii="Arial" w:hAnsi="Arial" w:cs="Arial"/>
          <w:lang w:val="en-US"/>
        </w:rPr>
      </w:pPr>
      <w:r w:rsidRPr="00AA77F4">
        <w:rPr>
          <w:rFonts w:ascii="Arial" w:hAnsi="Arial" w:cs="Arial"/>
          <w:lang w:val="en-US"/>
        </w:rPr>
        <w:t>6.</w:t>
      </w:r>
      <w:r w:rsidRPr="00AA77F4">
        <w:rPr>
          <w:rFonts w:ascii="Arial" w:hAnsi="Arial" w:cs="Arial"/>
          <w:lang w:val="en-US"/>
        </w:rPr>
        <w:tab/>
        <w:t xml:space="preserve">Eden Hotels, </w:t>
      </w:r>
      <w:r w:rsidR="000F1773">
        <w:rPr>
          <w:rFonts w:ascii="Arial" w:hAnsi="Arial" w:cs="Arial"/>
          <w:lang w:val="en-US"/>
        </w:rPr>
        <w:t>(</w:t>
      </w:r>
      <w:r w:rsidRPr="00AA77F4">
        <w:rPr>
          <w:rFonts w:ascii="Arial" w:hAnsi="Arial" w:cs="Arial"/>
          <w:lang w:val="en-US"/>
        </w:rPr>
        <w:t>2024</w:t>
      </w:r>
      <w:r w:rsidR="000F1773">
        <w:rPr>
          <w:rFonts w:ascii="Arial" w:hAnsi="Arial" w:cs="Arial"/>
          <w:lang w:val="en-US"/>
        </w:rPr>
        <w:t>)</w:t>
      </w:r>
      <w:r w:rsidRPr="00AA77F4">
        <w:rPr>
          <w:rFonts w:ascii="Arial" w:hAnsi="Arial" w:cs="Arial"/>
          <w:lang w:val="en-US"/>
        </w:rPr>
        <w:t xml:space="preserve">. Eden’s Sustainable Journey. </w:t>
      </w:r>
      <w:hyperlink r:id="rId8" w:history="1">
        <w:r w:rsidRPr="00AA77F4">
          <w:rPr>
            <w:rStyle w:val="Hyperlink"/>
            <w:rFonts w:ascii="Arial" w:hAnsi="Arial" w:cs="Arial"/>
            <w:lang w:val="en-US"/>
          </w:rPr>
          <w:t>https://www.edenhotels.nl/en/our-story/sustainability/</w:t>
        </w:r>
      </w:hyperlink>
      <w:r w:rsidRPr="00AA77F4">
        <w:rPr>
          <w:rFonts w:ascii="Arial" w:hAnsi="Arial" w:cs="Arial"/>
          <w:lang w:val="en-US"/>
        </w:rPr>
        <w:t xml:space="preserve">  </w:t>
      </w:r>
    </w:p>
    <w:p w14:paraId="3A417D60" w14:textId="46ACA6D8" w:rsidR="00AA77F4" w:rsidRPr="00AA77F4" w:rsidRDefault="00AA77F4" w:rsidP="00D87E14">
      <w:pPr>
        <w:spacing w:line="360" w:lineRule="auto"/>
        <w:jc w:val="both"/>
        <w:rPr>
          <w:rFonts w:ascii="Arial" w:hAnsi="Arial" w:cs="Arial"/>
          <w:lang w:val="nl-NL"/>
        </w:rPr>
      </w:pPr>
      <w:r w:rsidRPr="00AA77F4">
        <w:rPr>
          <w:rFonts w:ascii="Arial" w:hAnsi="Arial" w:cs="Arial"/>
          <w:lang w:val="en-US"/>
        </w:rPr>
        <w:t>7.</w:t>
      </w:r>
      <w:r w:rsidRPr="00AA77F4">
        <w:rPr>
          <w:rFonts w:ascii="Arial" w:hAnsi="Arial" w:cs="Arial"/>
          <w:lang w:val="en-US"/>
        </w:rPr>
        <w:tab/>
        <w:t xml:space="preserve">Etic Hotels, </w:t>
      </w:r>
      <w:r w:rsidR="000F1773">
        <w:rPr>
          <w:rFonts w:ascii="Arial" w:hAnsi="Arial" w:cs="Arial"/>
          <w:lang w:val="en-US"/>
        </w:rPr>
        <w:t>(</w:t>
      </w:r>
      <w:r w:rsidRPr="00AA77F4">
        <w:rPr>
          <w:rFonts w:ascii="Arial" w:hAnsi="Arial" w:cs="Arial"/>
          <w:lang w:val="en-US"/>
        </w:rPr>
        <w:t>2024</w:t>
      </w:r>
      <w:r w:rsidR="000F1773">
        <w:rPr>
          <w:rFonts w:ascii="Arial" w:hAnsi="Arial" w:cs="Arial"/>
          <w:lang w:val="en-US"/>
        </w:rPr>
        <w:t>)</w:t>
      </w:r>
      <w:r w:rsidRPr="00AA77F4">
        <w:rPr>
          <w:rFonts w:ascii="Arial" w:hAnsi="Arial" w:cs="Arial"/>
          <w:lang w:val="en-US"/>
        </w:rPr>
        <w:t xml:space="preserve">. </w:t>
      </w:r>
      <w:r w:rsidRPr="00AA77F4">
        <w:rPr>
          <w:rFonts w:ascii="Arial" w:hAnsi="Arial" w:cs="Arial"/>
          <w:lang w:val="nl-NL"/>
        </w:rPr>
        <w:t xml:space="preserve">Eden Hotel Amsterdam. </w:t>
      </w:r>
      <w:hyperlink r:id="rId9" w:history="1">
        <w:r w:rsidRPr="00AA77F4">
          <w:rPr>
            <w:rStyle w:val="Hyperlink"/>
            <w:rFonts w:ascii="Arial" w:hAnsi="Arial" w:cs="Arial"/>
            <w:lang w:val="nl-NL"/>
          </w:rPr>
          <w:t>https://etichotels.com/royal-solaris-cancun-resort-all-inclusive/-?src=temp2&amp;search_txt=Royal%20Solaris%20Cancun%20Resort%20All%20Inclusive,%20&amp;search_id=ht-1629&amp;hotel_id=1629</w:t>
        </w:r>
      </w:hyperlink>
      <w:r w:rsidRPr="00AA77F4">
        <w:rPr>
          <w:rFonts w:ascii="Arial" w:hAnsi="Arial" w:cs="Arial"/>
          <w:lang w:val="nl-NL"/>
        </w:rPr>
        <w:t xml:space="preserve"> </w:t>
      </w:r>
    </w:p>
    <w:p w14:paraId="7D73AE8D" w14:textId="7E1AC011" w:rsidR="00AA77F4" w:rsidRPr="00AA77F4" w:rsidRDefault="00AA77F4" w:rsidP="00D87E14">
      <w:pPr>
        <w:spacing w:line="360" w:lineRule="auto"/>
        <w:jc w:val="both"/>
        <w:rPr>
          <w:rFonts w:ascii="Arial" w:hAnsi="Arial" w:cs="Arial"/>
          <w:lang w:val="en-US"/>
        </w:rPr>
      </w:pPr>
      <w:r w:rsidRPr="00AA77F4">
        <w:rPr>
          <w:rFonts w:ascii="Arial" w:hAnsi="Arial" w:cs="Arial"/>
          <w:lang w:val="en-US"/>
        </w:rPr>
        <w:t>8.</w:t>
      </w:r>
      <w:r w:rsidRPr="00AA77F4">
        <w:rPr>
          <w:rFonts w:ascii="Arial" w:hAnsi="Arial" w:cs="Arial"/>
          <w:lang w:val="en-US"/>
        </w:rPr>
        <w:tab/>
        <w:t xml:space="preserve">Font, X. and McCabe, S., </w:t>
      </w:r>
      <w:r w:rsidR="000F1773">
        <w:rPr>
          <w:rFonts w:ascii="Arial" w:hAnsi="Arial" w:cs="Arial"/>
          <w:lang w:val="en-US"/>
        </w:rPr>
        <w:t>(</w:t>
      </w:r>
      <w:r w:rsidRPr="00AA77F4">
        <w:rPr>
          <w:rFonts w:ascii="Arial" w:hAnsi="Arial" w:cs="Arial"/>
          <w:lang w:val="en-US"/>
        </w:rPr>
        <w:t>2017</w:t>
      </w:r>
      <w:r w:rsidR="000F1773">
        <w:rPr>
          <w:rFonts w:ascii="Arial" w:hAnsi="Arial" w:cs="Arial"/>
          <w:lang w:val="en-US"/>
        </w:rPr>
        <w:t>)</w:t>
      </w:r>
      <w:r w:rsidRPr="00AA77F4">
        <w:rPr>
          <w:rFonts w:ascii="Arial" w:hAnsi="Arial" w:cs="Arial"/>
          <w:lang w:val="en-US"/>
        </w:rPr>
        <w:t xml:space="preserve">. Sustainability and marketing in tourism: Its contexts, paradoxes, approaches, challenges and potential. Journal of sustainable tourism, 25(7), pp.869-883. </w:t>
      </w:r>
      <w:hyperlink r:id="rId10" w:history="1">
        <w:r w:rsidRPr="00AA77F4">
          <w:rPr>
            <w:rStyle w:val="Hyperlink"/>
            <w:rFonts w:ascii="Arial" w:hAnsi="Arial" w:cs="Arial"/>
            <w:lang w:val="en-US"/>
          </w:rPr>
          <w:t>https://doi.org/10.1080/09669582.2017.1301721</w:t>
        </w:r>
      </w:hyperlink>
      <w:r w:rsidRPr="00AA77F4">
        <w:rPr>
          <w:rFonts w:ascii="Arial" w:hAnsi="Arial" w:cs="Arial"/>
          <w:lang w:val="en-US"/>
        </w:rPr>
        <w:t xml:space="preserve">   </w:t>
      </w:r>
    </w:p>
    <w:p w14:paraId="59FC5FE4" w14:textId="418C1416" w:rsidR="00AA77F4" w:rsidRPr="00AA77F4" w:rsidRDefault="00AA77F4" w:rsidP="00D87E14">
      <w:pPr>
        <w:spacing w:line="360" w:lineRule="auto"/>
        <w:jc w:val="both"/>
        <w:rPr>
          <w:rFonts w:ascii="Arial" w:hAnsi="Arial" w:cs="Arial"/>
          <w:lang w:val="en-US"/>
        </w:rPr>
      </w:pPr>
      <w:r w:rsidRPr="00D465E6">
        <w:rPr>
          <w:rFonts w:ascii="Arial" w:hAnsi="Arial" w:cs="Arial"/>
          <w:lang w:val="de-DE"/>
        </w:rPr>
        <w:lastRenderedPageBreak/>
        <w:t>9.</w:t>
      </w:r>
      <w:r w:rsidRPr="00D465E6">
        <w:rPr>
          <w:rFonts w:ascii="Arial" w:hAnsi="Arial" w:cs="Arial"/>
          <w:lang w:val="de-DE"/>
        </w:rPr>
        <w:tab/>
        <w:t xml:space="preserve">Font, X., </w:t>
      </w:r>
      <w:proofErr w:type="spellStart"/>
      <w:r w:rsidRPr="00D465E6">
        <w:rPr>
          <w:rFonts w:ascii="Arial" w:hAnsi="Arial" w:cs="Arial"/>
          <w:lang w:val="de-DE"/>
        </w:rPr>
        <w:t>Tapper</w:t>
      </w:r>
      <w:proofErr w:type="spellEnd"/>
      <w:r w:rsidRPr="00D465E6">
        <w:rPr>
          <w:rFonts w:ascii="Arial" w:hAnsi="Arial" w:cs="Arial"/>
          <w:lang w:val="de-DE"/>
        </w:rPr>
        <w:t xml:space="preserve">, R., Schwartz, K. and </w:t>
      </w:r>
      <w:proofErr w:type="spellStart"/>
      <w:r w:rsidRPr="00D465E6">
        <w:rPr>
          <w:rFonts w:ascii="Arial" w:hAnsi="Arial" w:cs="Arial"/>
          <w:lang w:val="de-DE"/>
        </w:rPr>
        <w:t>Kornilaki</w:t>
      </w:r>
      <w:proofErr w:type="spellEnd"/>
      <w:r w:rsidRPr="00D465E6">
        <w:rPr>
          <w:rFonts w:ascii="Arial" w:hAnsi="Arial" w:cs="Arial"/>
          <w:lang w:val="de-DE"/>
        </w:rPr>
        <w:t xml:space="preserve">, M., </w:t>
      </w:r>
      <w:r w:rsidR="000F1773" w:rsidRPr="00D465E6">
        <w:rPr>
          <w:rFonts w:ascii="Arial" w:hAnsi="Arial" w:cs="Arial"/>
          <w:lang w:val="de-DE"/>
        </w:rPr>
        <w:t>(</w:t>
      </w:r>
      <w:r w:rsidRPr="00D465E6">
        <w:rPr>
          <w:rFonts w:ascii="Arial" w:hAnsi="Arial" w:cs="Arial"/>
          <w:lang w:val="de-DE"/>
        </w:rPr>
        <w:t>2008</w:t>
      </w:r>
      <w:r w:rsidR="000F1773" w:rsidRPr="00D465E6">
        <w:rPr>
          <w:rFonts w:ascii="Arial" w:hAnsi="Arial" w:cs="Arial"/>
          <w:lang w:val="de-DE"/>
        </w:rPr>
        <w:t>)</w:t>
      </w:r>
      <w:r w:rsidRPr="00D465E6">
        <w:rPr>
          <w:rFonts w:ascii="Arial" w:hAnsi="Arial" w:cs="Arial"/>
          <w:lang w:val="de-DE"/>
        </w:rPr>
        <w:t xml:space="preserve">. </w:t>
      </w:r>
      <w:r w:rsidRPr="00AA77F4">
        <w:rPr>
          <w:rFonts w:ascii="Arial" w:hAnsi="Arial" w:cs="Arial"/>
          <w:lang w:val="en-US"/>
        </w:rPr>
        <w:t xml:space="preserve">Sustainable supply chain management in tourism. Business strategy and the environment, 17(4), pp.260-271. </w:t>
      </w:r>
      <w:hyperlink r:id="rId11" w:history="1">
        <w:r w:rsidRPr="00AA77F4">
          <w:rPr>
            <w:rStyle w:val="Hyperlink"/>
            <w:rFonts w:ascii="Arial" w:hAnsi="Arial" w:cs="Arial"/>
            <w:lang w:val="en-US"/>
          </w:rPr>
          <w:t>https://doi.org/10.1002/bse.527</w:t>
        </w:r>
      </w:hyperlink>
      <w:r w:rsidRPr="00AA77F4">
        <w:rPr>
          <w:rFonts w:ascii="Arial" w:hAnsi="Arial" w:cs="Arial"/>
          <w:lang w:val="en-US"/>
        </w:rPr>
        <w:t xml:space="preserve">   </w:t>
      </w:r>
    </w:p>
    <w:p w14:paraId="41F793A8" w14:textId="1984A4A1" w:rsidR="00AA77F4" w:rsidRPr="00AA77F4" w:rsidRDefault="00AA77F4" w:rsidP="00D87E14">
      <w:pPr>
        <w:spacing w:line="360" w:lineRule="auto"/>
        <w:jc w:val="both"/>
        <w:rPr>
          <w:rFonts w:ascii="Arial" w:hAnsi="Arial" w:cs="Arial"/>
          <w:lang w:val="en-US"/>
        </w:rPr>
      </w:pPr>
      <w:r w:rsidRPr="00AA77F4">
        <w:rPr>
          <w:rFonts w:ascii="Arial" w:hAnsi="Arial" w:cs="Arial"/>
          <w:lang w:val="it-IT"/>
        </w:rPr>
        <w:t>10.</w:t>
      </w:r>
      <w:r w:rsidRPr="00AA77F4">
        <w:rPr>
          <w:rFonts w:ascii="Arial" w:hAnsi="Arial" w:cs="Arial"/>
          <w:lang w:val="it-IT"/>
        </w:rPr>
        <w:tab/>
        <w:t xml:space="preserve">Franco, S., Caroli, M.G., Cappa, F. and Del Chiappa, G., </w:t>
      </w:r>
      <w:r w:rsidR="00D465E6">
        <w:rPr>
          <w:rFonts w:ascii="Arial" w:hAnsi="Arial" w:cs="Arial"/>
          <w:lang w:val="it-IT"/>
        </w:rPr>
        <w:t>(</w:t>
      </w:r>
      <w:r w:rsidRPr="00AA77F4">
        <w:rPr>
          <w:rFonts w:ascii="Arial" w:hAnsi="Arial" w:cs="Arial"/>
          <w:lang w:val="it-IT"/>
        </w:rPr>
        <w:t>2020</w:t>
      </w:r>
      <w:r w:rsidR="00D465E6">
        <w:rPr>
          <w:rFonts w:ascii="Arial" w:hAnsi="Arial" w:cs="Arial"/>
          <w:lang w:val="it-IT"/>
        </w:rPr>
        <w:t>)</w:t>
      </w:r>
      <w:r w:rsidRPr="00AA77F4">
        <w:rPr>
          <w:rFonts w:ascii="Arial" w:hAnsi="Arial" w:cs="Arial"/>
          <w:lang w:val="it-IT"/>
        </w:rPr>
        <w:t xml:space="preserve">. </w:t>
      </w:r>
      <w:r w:rsidRPr="00AA77F4">
        <w:rPr>
          <w:rFonts w:ascii="Arial" w:hAnsi="Arial" w:cs="Arial"/>
          <w:lang w:val="en-US"/>
        </w:rPr>
        <w:t xml:space="preserve">Are you good enough? CSR, quality management and corporate financial performance in the hospitality industry. International Journal of Hospitality Management, 88, p.102395. </w:t>
      </w:r>
      <w:hyperlink r:id="rId12" w:history="1">
        <w:r w:rsidRPr="00AA77F4">
          <w:rPr>
            <w:rStyle w:val="Hyperlink"/>
            <w:rFonts w:ascii="Arial" w:hAnsi="Arial" w:cs="Arial"/>
            <w:lang w:val="en-US"/>
          </w:rPr>
          <w:t>https://doi.org/10.1016/j.ijhm.2019.102395</w:t>
        </w:r>
      </w:hyperlink>
      <w:r w:rsidRPr="00AA77F4">
        <w:rPr>
          <w:rFonts w:ascii="Arial" w:hAnsi="Arial" w:cs="Arial"/>
          <w:lang w:val="en-US"/>
        </w:rPr>
        <w:t xml:space="preserve">   </w:t>
      </w:r>
    </w:p>
    <w:p w14:paraId="51E8681A" w14:textId="404E49B7" w:rsidR="00AA77F4" w:rsidRPr="00AA77F4" w:rsidRDefault="00AA77F4" w:rsidP="00D87E14">
      <w:pPr>
        <w:spacing w:line="360" w:lineRule="auto"/>
        <w:jc w:val="both"/>
        <w:rPr>
          <w:rFonts w:ascii="Arial" w:hAnsi="Arial" w:cs="Arial"/>
          <w:lang w:val="en-US"/>
        </w:rPr>
      </w:pPr>
      <w:r w:rsidRPr="00AA77F4">
        <w:rPr>
          <w:rFonts w:ascii="Arial" w:hAnsi="Arial" w:cs="Arial"/>
          <w:lang w:val="en-US"/>
        </w:rPr>
        <w:t>11.</w:t>
      </w:r>
      <w:r w:rsidRPr="00AA77F4">
        <w:rPr>
          <w:rFonts w:ascii="Arial" w:hAnsi="Arial" w:cs="Arial"/>
          <w:lang w:val="en-US"/>
        </w:rPr>
        <w:tab/>
      </w:r>
      <w:proofErr w:type="spellStart"/>
      <w:r w:rsidRPr="00AA77F4">
        <w:rPr>
          <w:rFonts w:ascii="Arial" w:hAnsi="Arial" w:cs="Arial"/>
          <w:lang w:val="en-US"/>
        </w:rPr>
        <w:t>Gössling</w:t>
      </w:r>
      <w:proofErr w:type="spellEnd"/>
      <w:r w:rsidRPr="00AA77F4">
        <w:rPr>
          <w:rFonts w:ascii="Arial" w:hAnsi="Arial" w:cs="Arial"/>
          <w:lang w:val="en-US"/>
        </w:rPr>
        <w:t xml:space="preserve">, S., Hall, C.M., Peeters, P. and Scott, D., </w:t>
      </w:r>
      <w:r w:rsidR="00D465E6">
        <w:rPr>
          <w:rFonts w:ascii="Arial" w:hAnsi="Arial" w:cs="Arial"/>
          <w:lang w:val="en-US"/>
        </w:rPr>
        <w:t>(</w:t>
      </w:r>
      <w:r w:rsidRPr="00AA77F4">
        <w:rPr>
          <w:rFonts w:ascii="Arial" w:hAnsi="Arial" w:cs="Arial"/>
          <w:lang w:val="en-US"/>
        </w:rPr>
        <w:t>2010</w:t>
      </w:r>
      <w:r w:rsidR="00D465E6">
        <w:rPr>
          <w:rFonts w:ascii="Arial" w:hAnsi="Arial" w:cs="Arial"/>
          <w:lang w:val="en-US"/>
        </w:rPr>
        <w:t>)</w:t>
      </w:r>
      <w:r w:rsidRPr="00AA77F4">
        <w:rPr>
          <w:rFonts w:ascii="Arial" w:hAnsi="Arial" w:cs="Arial"/>
          <w:lang w:val="en-US"/>
        </w:rPr>
        <w:t xml:space="preserve">. The future of tourism: Can tourism growth and climate policy be reconciled? A mitigation perspective. Tourism Recreation Research, 35(2), pp.119-130. </w:t>
      </w:r>
      <w:hyperlink r:id="rId13" w:history="1">
        <w:r w:rsidRPr="00AA77F4">
          <w:rPr>
            <w:rStyle w:val="Hyperlink"/>
            <w:rFonts w:ascii="Arial" w:hAnsi="Arial" w:cs="Arial"/>
            <w:lang w:val="en-US"/>
          </w:rPr>
          <w:t>https://doi.org/10.1080/02508281.2010.11081628</w:t>
        </w:r>
      </w:hyperlink>
      <w:r w:rsidRPr="00AA77F4">
        <w:rPr>
          <w:rFonts w:ascii="Arial" w:hAnsi="Arial" w:cs="Arial"/>
          <w:lang w:val="en-US"/>
        </w:rPr>
        <w:t xml:space="preserve">    </w:t>
      </w:r>
    </w:p>
    <w:p w14:paraId="5BEE7FA4" w14:textId="31E2ACD4" w:rsidR="00AA77F4" w:rsidRPr="00AA77F4" w:rsidRDefault="00AA77F4" w:rsidP="00D87E14">
      <w:pPr>
        <w:spacing w:line="360" w:lineRule="auto"/>
        <w:jc w:val="both"/>
        <w:rPr>
          <w:rFonts w:ascii="Arial" w:hAnsi="Arial" w:cs="Arial"/>
          <w:lang w:val="en-US"/>
        </w:rPr>
      </w:pPr>
      <w:r w:rsidRPr="00AA77F4">
        <w:rPr>
          <w:rFonts w:ascii="Arial" w:hAnsi="Arial" w:cs="Arial"/>
          <w:lang w:val="en-US"/>
        </w:rPr>
        <w:t>12.</w:t>
      </w:r>
      <w:r w:rsidRPr="00AA77F4">
        <w:rPr>
          <w:rFonts w:ascii="Arial" w:hAnsi="Arial" w:cs="Arial"/>
          <w:lang w:val="en-US"/>
        </w:rPr>
        <w:tab/>
        <w:t xml:space="preserve">Green Key, </w:t>
      </w:r>
      <w:r w:rsidR="00D465E6">
        <w:rPr>
          <w:rFonts w:ascii="Arial" w:hAnsi="Arial" w:cs="Arial"/>
          <w:lang w:val="en-US"/>
        </w:rPr>
        <w:t>(</w:t>
      </w:r>
      <w:r w:rsidRPr="00AA77F4">
        <w:rPr>
          <w:rFonts w:ascii="Arial" w:hAnsi="Arial" w:cs="Arial"/>
          <w:lang w:val="en-US"/>
        </w:rPr>
        <w:t>2024</w:t>
      </w:r>
      <w:r w:rsidR="00D465E6">
        <w:rPr>
          <w:rFonts w:ascii="Arial" w:hAnsi="Arial" w:cs="Arial"/>
          <w:lang w:val="en-US"/>
        </w:rPr>
        <w:t>)</w:t>
      </w:r>
      <w:r w:rsidRPr="00AA77F4">
        <w:rPr>
          <w:rFonts w:ascii="Arial" w:hAnsi="Arial" w:cs="Arial"/>
          <w:lang w:val="en-US"/>
        </w:rPr>
        <w:t xml:space="preserve">. Green Key Certification. </w:t>
      </w:r>
      <w:hyperlink r:id="rId14" w:history="1">
        <w:r w:rsidRPr="00AA77F4">
          <w:rPr>
            <w:rStyle w:val="Hyperlink"/>
            <w:rFonts w:ascii="Arial" w:hAnsi="Arial" w:cs="Arial"/>
            <w:lang w:val="en-US"/>
          </w:rPr>
          <w:t>https://info.edenhotelamsterdam.com/en-gb/13/green-key</w:t>
        </w:r>
      </w:hyperlink>
      <w:r w:rsidRPr="00AA77F4">
        <w:rPr>
          <w:rFonts w:ascii="Arial" w:hAnsi="Arial" w:cs="Arial"/>
          <w:lang w:val="en-US"/>
        </w:rPr>
        <w:t xml:space="preserve"> </w:t>
      </w:r>
    </w:p>
    <w:p w14:paraId="67A39A61" w14:textId="6D70C768" w:rsidR="00AA77F4" w:rsidRPr="00AA77F4" w:rsidRDefault="00AA77F4" w:rsidP="00D87E14">
      <w:pPr>
        <w:spacing w:line="360" w:lineRule="auto"/>
        <w:jc w:val="both"/>
        <w:rPr>
          <w:rFonts w:ascii="Arial" w:hAnsi="Arial" w:cs="Arial"/>
          <w:lang w:val="en-US"/>
        </w:rPr>
      </w:pPr>
      <w:r w:rsidRPr="00AA77F4">
        <w:rPr>
          <w:rFonts w:ascii="Arial" w:hAnsi="Arial" w:cs="Arial"/>
          <w:lang w:val="en-US"/>
        </w:rPr>
        <w:t>13.</w:t>
      </w:r>
      <w:r w:rsidRPr="00AA77F4">
        <w:rPr>
          <w:rFonts w:ascii="Arial" w:hAnsi="Arial" w:cs="Arial"/>
          <w:lang w:val="en-US"/>
        </w:rPr>
        <w:tab/>
        <w:t xml:space="preserve">Hira, A., Pacini, H., </w:t>
      </w:r>
      <w:proofErr w:type="spellStart"/>
      <w:r w:rsidRPr="00AA77F4">
        <w:rPr>
          <w:rFonts w:ascii="Arial" w:hAnsi="Arial" w:cs="Arial"/>
          <w:lang w:val="en-US"/>
        </w:rPr>
        <w:t>Attafuah</w:t>
      </w:r>
      <w:proofErr w:type="spellEnd"/>
      <w:r w:rsidRPr="00AA77F4">
        <w:rPr>
          <w:rFonts w:ascii="Arial" w:hAnsi="Arial" w:cs="Arial"/>
          <w:lang w:val="en-US"/>
        </w:rPr>
        <w:t>-Wadee, K., Vivas-</w:t>
      </w:r>
      <w:proofErr w:type="spellStart"/>
      <w:r w:rsidRPr="00AA77F4">
        <w:rPr>
          <w:rFonts w:ascii="Arial" w:hAnsi="Arial" w:cs="Arial"/>
          <w:lang w:val="en-US"/>
        </w:rPr>
        <w:t>Eugui</w:t>
      </w:r>
      <w:proofErr w:type="spellEnd"/>
      <w:r w:rsidRPr="00AA77F4">
        <w:rPr>
          <w:rFonts w:ascii="Arial" w:hAnsi="Arial" w:cs="Arial"/>
          <w:lang w:val="en-US"/>
        </w:rPr>
        <w:t xml:space="preserve">, D., Saltzberg, M. and Yeoh, T.N., </w:t>
      </w:r>
      <w:r w:rsidR="00D465E6">
        <w:rPr>
          <w:rFonts w:ascii="Arial" w:hAnsi="Arial" w:cs="Arial"/>
          <w:lang w:val="en-US"/>
        </w:rPr>
        <w:t>(</w:t>
      </w:r>
      <w:r w:rsidRPr="00AA77F4">
        <w:rPr>
          <w:rFonts w:ascii="Arial" w:hAnsi="Arial" w:cs="Arial"/>
          <w:lang w:val="en-US"/>
        </w:rPr>
        <w:t>2022</w:t>
      </w:r>
      <w:r w:rsidR="00D465E6">
        <w:rPr>
          <w:rFonts w:ascii="Arial" w:hAnsi="Arial" w:cs="Arial"/>
          <w:lang w:val="en-US"/>
        </w:rPr>
        <w:t>)</w:t>
      </w:r>
      <w:r w:rsidRPr="00AA77F4">
        <w:rPr>
          <w:rFonts w:ascii="Arial" w:hAnsi="Arial" w:cs="Arial"/>
          <w:lang w:val="en-US"/>
        </w:rPr>
        <w:t xml:space="preserve">. Plastic waste mitigation strategies: A review of lessons from developing countries. Journal of Developing Societies, 38(3), pp.336-359. </w:t>
      </w:r>
      <w:hyperlink r:id="rId15" w:history="1">
        <w:r w:rsidRPr="00AA77F4">
          <w:rPr>
            <w:rStyle w:val="Hyperlink"/>
            <w:rFonts w:ascii="Arial" w:hAnsi="Arial" w:cs="Arial"/>
            <w:lang w:val="en-US"/>
          </w:rPr>
          <w:t>https://doi.org/10.1177/0169796X221104855</w:t>
        </w:r>
      </w:hyperlink>
      <w:r w:rsidRPr="00AA77F4">
        <w:rPr>
          <w:rFonts w:ascii="Arial" w:hAnsi="Arial" w:cs="Arial"/>
          <w:lang w:val="en-US"/>
        </w:rPr>
        <w:t xml:space="preserve">   </w:t>
      </w:r>
    </w:p>
    <w:p w14:paraId="0A667959" w14:textId="5A414B47" w:rsidR="00AA77F4" w:rsidRPr="00AA77F4" w:rsidRDefault="00AA77F4" w:rsidP="00D87E14">
      <w:pPr>
        <w:spacing w:line="360" w:lineRule="auto"/>
        <w:jc w:val="both"/>
        <w:rPr>
          <w:rFonts w:ascii="Arial" w:hAnsi="Arial" w:cs="Arial"/>
          <w:lang w:val="en-US"/>
        </w:rPr>
      </w:pPr>
      <w:r w:rsidRPr="00AA77F4">
        <w:rPr>
          <w:rFonts w:ascii="Arial" w:hAnsi="Arial" w:cs="Arial"/>
          <w:lang w:val="en-US"/>
        </w:rPr>
        <w:t>14.</w:t>
      </w:r>
      <w:r w:rsidRPr="00AA77F4">
        <w:rPr>
          <w:rFonts w:ascii="Arial" w:hAnsi="Arial" w:cs="Arial"/>
          <w:lang w:val="en-US"/>
        </w:rPr>
        <w:tab/>
        <w:t xml:space="preserve">IEA, 2020. The Netherlands </w:t>
      </w:r>
      <w:r w:rsidR="00D465E6">
        <w:rPr>
          <w:rFonts w:ascii="Arial" w:hAnsi="Arial" w:cs="Arial"/>
          <w:lang w:val="en-US"/>
        </w:rPr>
        <w:t>(</w:t>
      </w:r>
      <w:r w:rsidRPr="00AA77F4">
        <w:rPr>
          <w:rFonts w:ascii="Arial" w:hAnsi="Arial" w:cs="Arial"/>
          <w:lang w:val="en-US"/>
        </w:rPr>
        <w:t>2020</w:t>
      </w:r>
      <w:r w:rsidR="00D465E6">
        <w:rPr>
          <w:rFonts w:ascii="Arial" w:hAnsi="Arial" w:cs="Arial"/>
          <w:lang w:val="en-US"/>
        </w:rPr>
        <w:t>)</w:t>
      </w:r>
      <w:r w:rsidRPr="00AA77F4">
        <w:rPr>
          <w:rFonts w:ascii="Arial" w:hAnsi="Arial" w:cs="Arial"/>
          <w:lang w:val="en-US"/>
        </w:rPr>
        <w:t xml:space="preserve">. Energy Policy Review. International Energy Agency. </w:t>
      </w:r>
      <w:hyperlink r:id="rId16" w:history="1">
        <w:r w:rsidRPr="00AA77F4">
          <w:rPr>
            <w:rStyle w:val="Hyperlink"/>
            <w:rFonts w:ascii="Arial" w:hAnsi="Arial" w:cs="Arial"/>
            <w:lang w:val="en-US"/>
          </w:rPr>
          <w:t>https://www.connaissancedesenergies.org/sites/connaissancedesenergies.org/files/pdf-actualites/The_Netherlands_2020_Energy_Policy_Review.pdf</w:t>
        </w:r>
      </w:hyperlink>
      <w:r w:rsidRPr="00AA77F4">
        <w:rPr>
          <w:rFonts w:ascii="Arial" w:hAnsi="Arial" w:cs="Arial"/>
          <w:lang w:val="en-US"/>
        </w:rPr>
        <w:t xml:space="preserve">  </w:t>
      </w:r>
    </w:p>
    <w:p w14:paraId="1849F359" w14:textId="195E969C" w:rsidR="00AA77F4" w:rsidRPr="00AA77F4" w:rsidRDefault="00AA77F4" w:rsidP="00D87E14">
      <w:pPr>
        <w:spacing w:line="360" w:lineRule="auto"/>
        <w:jc w:val="both"/>
        <w:rPr>
          <w:rFonts w:ascii="Arial" w:hAnsi="Arial" w:cs="Arial"/>
          <w:lang w:val="en-US"/>
        </w:rPr>
      </w:pPr>
      <w:r w:rsidRPr="00AA77F4">
        <w:rPr>
          <w:rFonts w:ascii="Arial" w:hAnsi="Arial" w:cs="Arial"/>
          <w:lang w:val="it-IT"/>
        </w:rPr>
        <w:t>15.</w:t>
      </w:r>
      <w:r w:rsidRPr="00AA77F4">
        <w:rPr>
          <w:rFonts w:ascii="Arial" w:hAnsi="Arial" w:cs="Arial"/>
          <w:lang w:val="it-IT"/>
        </w:rPr>
        <w:tab/>
        <w:t xml:space="preserve">Montoya, F.G., Peña-García, A., </w:t>
      </w:r>
      <w:proofErr w:type="spellStart"/>
      <w:r w:rsidRPr="00AA77F4">
        <w:rPr>
          <w:rFonts w:ascii="Arial" w:hAnsi="Arial" w:cs="Arial"/>
          <w:lang w:val="it-IT"/>
        </w:rPr>
        <w:t>Juaidi</w:t>
      </w:r>
      <w:proofErr w:type="spellEnd"/>
      <w:r w:rsidRPr="00AA77F4">
        <w:rPr>
          <w:rFonts w:ascii="Arial" w:hAnsi="Arial" w:cs="Arial"/>
          <w:lang w:val="it-IT"/>
        </w:rPr>
        <w:t xml:space="preserve">, A. and Manzano-Agugliaro, F., </w:t>
      </w:r>
      <w:r w:rsidR="00AB1BB3">
        <w:rPr>
          <w:rFonts w:ascii="Arial" w:hAnsi="Arial" w:cs="Arial"/>
          <w:lang w:val="it-IT"/>
        </w:rPr>
        <w:t>(</w:t>
      </w:r>
      <w:r w:rsidRPr="00AA77F4">
        <w:rPr>
          <w:rFonts w:ascii="Arial" w:hAnsi="Arial" w:cs="Arial"/>
          <w:lang w:val="it-IT"/>
        </w:rPr>
        <w:t>2017</w:t>
      </w:r>
      <w:r w:rsidR="00AB1BB3">
        <w:rPr>
          <w:rFonts w:ascii="Arial" w:hAnsi="Arial" w:cs="Arial"/>
          <w:lang w:val="it-IT"/>
        </w:rPr>
        <w:t>)</w:t>
      </w:r>
      <w:r w:rsidRPr="00AA77F4">
        <w:rPr>
          <w:rFonts w:ascii="Arial" w:hAnsi="Arial" w:cs="Arial"/>
          <w:lang w:val="it-IT"/>
        </w:rPr>
        <w:t xml:space="preserve">. </w:t>
      </w:r>
      <w:r w:rsidRPr="00AA77F4">
        <w:rPr>
          <w:rFonts w:ascii="Arial" w:hAnsi="Arial" w:cs="Arial"/>
          <w:lang w:val="en-US"/>
        </w:rPr>
        <w:t xml:space="preserve">Indoor lighting techniques: An overview of evolution and new trends for energy saving. Energy and buildings, 140, pp.50-60. </w:t>
      </w:r>
      <w:hyperlink r:id="rId17" w:history="1">
        <w:r w:rsidRPr="00AA77F4">
          <w:rPr>
            <w:rStyle w:val="Hyperlink"/>
            <w:rFonts w:ascii="Arial" w:hAnsi="Arial" w:cs="Arial"/>
            <w:lang w:val="en-US"/>
          </w:rPr>
          <w:t>https://doi.org/10.1016/j.enbuild.2017.01.028</w:t>
        </w:r>
      </w:hyperlink>
      <w:r w:rsidRPr="00AA77F4">
        <w:rPr>
          <w:rFonts w:ascii="Arial" w:hAnsi="Arial" w:cs="Arial"/>
          <w:lang w:val="en-US"/>
        </w:rPr>
        <w:t xml:space="preserve">   </w:t>
      </w:r>
    </w:p>
    <w:p w14:paraId="680950A8" w14:textId="7D8BFD70" w:rsidR="00AA77F4" w:rsidRPr="00AA77F4" w:rsidRDefault="00AA77F4" w:rsidP="00D87E14">
      <w:pPr>
        <w:spacing w:line="360" w:lineRule="auto"/>
        <w:jc w:val="both"/>
        <w:rPr>
          <w:rFonts w:ascii="Arial" w:hAnsi="Arial" w:cs="Arial"/>
          <w:lang w:val="en-US"/>
        </w:rPr>
      </w:pPr>
      <w:r w:rsidRPr="00AA77F4">
        <w:rPr>
          <w:rFonts w:ascii="Arial" w:hAnsi="Arial" w:cs="Arial"/>
          <w:lang w:val="en-US"/>
        </w:rPr>
        <w:t>16.</w:t>
      </w:r>
      <w:r w:rsidRPr="00AA77F4">
        <w:rPr>
          <w:rFonts w:ascii="Arial" w:hAnsi="Arial" w:cs="Arial"/>
          <w:lang w:val="en-US"/>
        </w:rPr>
        <w:tab/>
        <w:t xml:space="preserve">Pratt, S., Mackenzie, M. and Lockwood Sutton, J., </w:t>
      </w:r>
      <w:r w:rsidR="00AB1BB3">
        <w:rPr>
          <w:rFonts w:ascii="Arial" w:hAnsi="Arial" w:cs="Arial"/>
          <w:lang w:val="en-US"/>
        </w:rPr>
        <w:t>(</w:t>
      </w:r>
      <w:r w:rsidRPr="00AA77F4">
        <w:rPr>
          <w:rFonts w:ascii="Arial" w:hAnsi="Arial" w:cs="Arial"/>
          <w:lang w:val="en-US"/>
        </w:rPr>
        <w:t>2017</w:t>
      </w:r>
      <w:r w:rsidR="00AB1BB3">
        <w:rPr>
          <w:rFonts w:ascii="Arial" w:hAnsi="Arial" w:cs="Arial"/>
          <w:lang w:val="en-US"/>
        </w:rPr>
        <w:t>)</w:t>
      </w:r>
      <w:r w:rsidRPr="00AA77F4">
        <w:rPr>
          <w:rFonts w:ascii="Arial" w:hAnsi="Arial" w:cs="Arial"/>
          <w:lang w:val="en-US"/>
        </w:rPr>
        <w:t xml:space="preserve">. Food miles and food choices: the case of an upscale urban hotel in Hong Kong. Journal of Sustainable Tourism, 25(6), pp.779-795. </w:t>
      </w:r>
      <w:hyperlink r:id="rId18" w:history="1">
        <w:r w:rsidRPr="00AA77F4">
          <w:rPr>
            <w:rStyle w:val="Hyperlink"/>
            <w:rFonts w:ascii="Arial" w:hAnsi="Arial" w:cs="Arial"/>
            <w:lang w:val="en-US"/>
          </w:rPr>
          <w:t>https://doi.org/10.1080/09669582.2016.1247848</w:t>
        </w:r>
      </w:hyperlink>
      <w:r w:rsidRPr="00AA77F4">
        <w:rPr>
          <w:rFonts w:ascii="Arial" w:hAnsi="Arial" w:cs="Arial"/>
          <w:lang w:val="en-US"/>
        </w:rPr>
        <w:t xml:space="preserve">   </w:t>
      </w:r>
    </w:p>
    <w:p w14:paraId="48682721" w14:textId="0E7A9F90" w:rsidR="00AA77F4" w:rsidRPr="00AA77F4" w:rsidRDefault="00AA77F4" w:rsidP="00D87E14">
      <w:pPr>
        <w:spacing w:line="360" w:lineRule="auto"/>
        <w:jc w:val="both"/>
        <w:rPr>
          <w:rFonts w:ascii="Arial" w:hAnsi="Arial" w:cs="Arial"/>
          <w:lang w:val="en-US"/>
        </w:rPr>
      </w:pPr>
      <w:r w:rsidRPr="00AA77F4">
        <w:rPr>
          <w:rFonts w:ascii="Arial" w:hAnsi="Arial" w:cs="Arial"/>
          <w:lang w:val="en-US"/>
        </w:rPr>
        <w:t>17.</w:t>
      </w:r>
      <w:r w:rsidRPr="00AA77F4">
        <w:rPr>
          <w:rFonts w:ascii="Arial" w:hAnsi="Arial" w:cs="Arial"/>
          <w:lang w:val="en-US"/>
        </w:rPr>
        <w:tab/>
      </w:r>
      <w:proofErr w:type="spellStart"/>
      <w:r w:rsidRPr="00AA77F4">
        <w:rPr>
          <w:rFonts w:ascii="Arial" w:hAnsi="Arial" w:cs="Arial"/>
          <w:lang w:val="en-US"/>
        </w:rPr>
        <w:t>ReFED</w:t>
      </w:r>
      <w:proofErr w:type="spellEnd"/>
      <w:r w:rsidRPr="00AA77F4">
        <w:rPr>
          <w:rFonts w:ascii="Arial" w:hAnsi="Arial" w:cs="Arial"/>
          <w:lang w:val="en-US"/>
        </w:rPr>
        <w:t xml:space="preserve">, </w:t>
      </w:r>
      <w:r w:rsidR="00AB1BB3">
        <w:rPr>
          <w:rFonts w:ascii="Arial" w:hAnsi="Arial" w:cs="Arial"/>
          <w:lang w:val="en-US"/>
        </w:rPr>
        <w:t>(</w:t>
      </w:r>
      <w:r w:rsidRPr="00AA77F4">
        <w:rPr>
          <w:rFonts w:ascii="Arial" w:hAnsi="Arial" w:cs="Arial"/>
          <w:lang w:val="en-US"/>
        </w:rPr>
        <w:t>2021</w:t>
      </w:r>
      <w:r w:rsidR="00AB1BB3">
        <w:rPr>
          <w:rFonts w:ascii="Arial" w:hAnsi="Arial" w:cs="Arial"/>
          <w:lang w:val="en-US"/>
        </w:rPr>
        <w:t>)</w:t>
      </w:r>
      <w:r w:rsidRPr="00AA77F4">
        <w:rPr>
          <w:rFonts w:ascii="Arial" w:hAnsi="Arial" w:cs="Arial"/>
          <w:lang w:val="en-US"/>
        </w:rPr>
        <w:t xml:space="preserve">. Roadmap to 2030: Reducing U.S. Food Waste by 50% and the </w:t>
      </w:r>
      <w:proofErr w:type="spellStart"/>
      <w:r w:rsidRPr="00AA77F4">
        <w:rPr>
          <w:rFonts w:ascii="Arial" w:hAnsi="Arial" w:cs="Arial"/>
          <w:lang w:val="en-US"/>
        </w:rPr>
        <w:t>ReFED</w:t>
      </w:r>
      <w:proofErr w:type="spellEnd"/>
      <w:r w:rsidRPr="00AA77F4">
        <w:rPr>
          <w:rFonts w:ascii="Arial" w:hAnsi="Arial" w:cs="Arial"/>
          <w:lang w:val="en-US"/>
        </w:rPr>
        <w:t xml:space="preserve"> Insights Engine. </w:t>
      </w:r>
      <w:hyperlink r:id="rId19" w:history="1">
        <w:r w:rsidRPr="00AA77F4">
          <w:rPr>
            <w:rStyle w:val="Hyperlink"/>
            <w:rFonts w:ascii="Arial" w:hAnsi="Arial" w:cs="Arial"/>
            <w:lang w:val="en-US"/>
          </w:rPr>
          <w:t>https://refed.org/uploads/refed_roadmap2030-FINAL.pdf</w:t>
        </w:r>
      </w:hyperlink>
      <w:r w:rsidRPr="00AA77F4">
        <w:rPr>
          <w:rFonts w:ascii="Arial" w:hAnsi="Arial" w:cs="Arial"/>
          <w:lang w:val="en-US"/>
        </w:rPr>
        <w:t xml:space="preserve">  </w:t>
      </w:r>
    </w:p>
    <w:p w14:paraId="5EB1FE9E" w14:textId="3390D843" w:rsidR="00AA77F4" w:rsidRPr="00AA77F4" w:rsidRDefault="00AA77F4" w:rsidP="00D87E14">
      <w:pPr>
        <w:spacing w:line="360" w:lineRule="auto"/>
        <w:jc w:val="both"/>
        <w:rPr>
          <w:rFonts w:ascii="Arial" w:hAnsi="Arial" w:cs="Arial"/>
          <w:lang w:val="en-US"/>
        </w:rPr>
      </w:pPr>
      <w:r w:rsidRPr="00AA77F4">
        <w:rPr>
          <w:rFonts w:ascii="Arial" w:hAnsi="Arial" w:cs="Arial"/>
          <w:lang w:val="en-US"/>
        </w:rPr>
        <w:lastRenderedPageBreak/>
        <w:t>18.</w:t>
      </w:r>
      <w:r w:rsidRPr="00AA77F4">
        <w:rPr>
          <w:rFonts w:ascii="Arial" w:hAnsi="Arial" w:cs="Arial"/>
          <w:lang w:val="en-US"/>
        </w:rPr>
        <w:tab/>
        <w:t xml:space="preserve">Sensor Flow, </w:t>
      </w:r>
      <w:r w:rsidR="00AE2636">
        <w:rPr>
          <w:rFonts w:ascii="Arial" w:hAnsi="Arial" w:cs="Arial"/>
          <w:lang w:val="en-US"/>
        </w:rPr>
        <w:t>(</w:t>
      </w:r>
      <w:r w:rsidRPr="00AA77F4">
        <w:rPr>
          <w:rFonts w:ascii="Arial" w:hAnsi="Arial" w:cs="Arial"/>
          <w:lang w:val="en-US"/>
        </w:rPr>
        <w:t>2024</w:t>
      </w:r>
      <w:r w:rsidR="00AE2636">
        <w:rPr>
          <w:rFonts w:ascii="Arial" w:hAnsi="Arial" w:cs="Arial"/>
          <w:lang w:val="en-US"/>
        </w:rPr>
        <w:t>)</w:t>
      </w:r>
      <w:r w:rsidRPr="00AA77F4">
        <w:rPr>
          <w:rFonts w:ascii="Arial" w:hAnsi="Arial" w:cs="Arial"/>
          <w:lang w:val="en-US"/>
        </w:rPr>
        <w:t xml:space="preserve">. Energy Saving Solutions for Hotels: Real-Time Data &amp; Insights Help. </w:t>
      </w:r>
      <w:hyperlink r:id="rId20" w:history="1">
        <w:r w:rsidRPr="00AA77F4">
          <w:rPr>
            <w:rStyle w:val="Hyperlink"/>
            <w:rFonts w:ascii="Arial" w:hAnsi="Arial" w:cs="Arial"/>
            <w:lang w:val="en-US"/>
          </w:rPr>
          <w:t>https://www.sensorflow.co/energy-savings-solutions-for-hotels-real-time-data-insights-help</w:t>
        </w:r>
      </w:hyperlink>
      <w:r w:rsidRPr="00AA77F4">
        <w:rPr>
          <w:rFonts w:ascii="Arial" w:hAnsi="Arial" w:cs="Arial"/>
          <w:lang w:val="en-US"/>
        </w:rPr>
        <w:t xml:space="preserve"> </w:t>
      </w:r>
    </w:p>
    <w:p w14:paraId="6D81E73C" w14:textId="6C3D4494" w:rsidR="00AA77F4" w:rsidRPr="00AA77F4" w:rsidRDefault="00AA77F4" w:rsidP="00D87E14">
      <w:pPr>
        <w:spacing w:line="360" w:lineRule="auto"/>
        <w:jc w:val="both"/>
        <w:rPr>
          <w:rFonts w:ascii="Arial" w:hAnsi="Arial" w:cs="Arial"/>
          <w:lang w:val="it-IT"/>
        </w:rPr>
      </w:pPr>
      <w:r w:rsidRPr="00AA77F4">
        <w:rPr>
          <w:rFonts w:ascii="Arial" w:hAnsi="Arial" w:cs="Arial"/>
          <w:lang w:val="en-US"/>
        </w:rPr>
        <w:t>19.</w:t>
      </w:r>
      <w:r w:rsidRPr="00AA77F4">
        <w:rPr>
          <w:rFonts w:ascii="Arial" w:hAnsi="Arial" w:cs="Arial"/>
          <w:lang w:val="en-US"/>
        </w:rPr>
        <w:tab/>
        <w:t xml:space="preserve">Stahel, W. R., </w:t>
      </w:r>
      <w:r w:rsidR="00AE2636">
        <w:rPr>
          <w:rFonts w:ascii="Arial" w:hAnsi="Arial" w:cs="Arial"/>
          <w:lang w:val="en-US"/>
        </w:rPr>
        <w:t>(</w:t>
      </w:r>
      <w:r w:rsidRPr="00AA77F4">
        <w:rPr>
          <w:rFonts w:ascii="Arial" w:hAnsi="Arial" w:cs="Arial"/>
          <w:lang w:val="en-US"/>
        </w:rPr>
        <w:t>2016</w:t>
      </w:r>
      <w:r w:rsidR="00AE2636">
        <w:rPr>
          <w:rFonts w:ascii="Arial" w:hAnsi="Arial" w:cs="Arial"/>
          <w:lang w:val="en-US"/>
        </w:rPr>
        <w:t>)</w:t>
      </w:r>
      <w:r w:rsidRPr="00AA77F4">
        <w:rPr>
          <w:rFonts w:ascii="Arial" w:hAnsi="Arial" w:cs="Arial"/>
          <w:lang w:val="en-US"/>
        </w:rPr>
        <w:t xml:space="preserve">. The circular economy. </w:t>
      </w:r>
      <w:r w:rsidRPr="00AA77F4">
        <w:rPr>
          <w:rFonts w:ascii="Arial" w:hAnsi="Arial" w:cs="Arial"/>
          <w:lang w:val="it-IT"/>
        </w:rPr>
        <w:t xml:space="preserve">Nature, 531(7595), 435-438. </w:t>
      </w:r>
      <w:hyperlink r:id="rId21" w:history="1">
        <w:r w:rsidRPr="00AA77F4">
          <w:rPr>
            <w:rStyle w:val="Hyperlink"/>
            <w:rFonts w:ascii="Arial" w:hAnsi="Arial" w:cs="Arial"/>
            <w:lang w:val="it-IT"/>
          </w:rPr>
          <w:t>https://doi.org/10.1038/531435a</w:t>
        </w:r>
      </w:hyperlink>
      <w:r w:rsidRPr="00AA77F4">
        <w:rPr>
          <w:rFonts w:ascii="Arial" w:hAnsi="Arial" w:cs="Arial"/>
          <w:lang w:val="it-IT"/>
        </w:rPr>
        <w:t xml:space="preserve">  </w:t>
      </w:r>
    </w:p>
    <w:p w14:paraId="2B90E1F5" w14:textId="21E4A50E" w:rsidR="00AA77F4" w:rsidRPr="00AA77F4" w:rsidRDefault="00AA77F4" w:rsidP="00D87E14">
      <w:pPr>
        <w:spacing w:line="360" w:lineRule="auto"/>
        <w:jc w:val="both"/>
        <w:rPr>
          <w:rFonts w:ascii="Arial" w:hAnsi="Arial" w:cs="Arial"/>
          <w:lang w:val="en-US"/>
        </w:rPr>
      </w:pPr>
      <w:r w:rsidRPr="00AA77F4">
        <w:rPr>
          <w:rFonts w:ascii="Arial" w:hAnsi="Arial" w:cs="Arial"/>
          <w:lang w:val="it-IT"/>
        </w:rPr>
        <w:t>20.</w:t>
      </w:r>
      <w:r w:rsidRPr="00AA77F4">
        <w:rPr>
          <w:rFonts w:ascii="Arial" w:hAnsi="Arial" w:cs="Arial"/>
          <w:lang w:val="it-IT"/>
        </w:rPr>
        <w:tab/>
        <w:t xml:space="preserve">Varma, V.G., </w:t>
      </w:r>
      <w:r w:rsidR="00AE2636">
        <w:rPr>
          <w:rFonts w:ascii="Arial" w:hAnsi="Arial" w:cs="Arial"/>
          <w:lang w:val="it-IT"/>
        </w:rPr>
        <w:t>(</w:t>
      </w:r>
      <w:r w:rsidRPr="00AA77F4">
        <w:rPr>
          <w:rFonts w:ascii="Arial" w:hAnsi="Arial" w:cs="Arial"/>
          <w:lang w:val="it-IT"/>
        </w:rPr>
        <w:t>2022</w:t>
      </w:r>
      <w:r w:rsidR="00AE2636">
        <w:rPr>
          <w:rFonts w:ascii="Arial" w:hAnsi="Arial" w:cs="Arial"/>
          <w:lang w:val="it-IT"/>
        </w:rPr>
        <w:t>)</w:t>
      </w:r>
      <w:r w:rsidRPr="00AA77F4">
        <w:rPr>
          <w:rFonts w:ascii="Arial" w:hAnsi="Arial" w:cs="Arial"/>
          <w:lang w:val="it-IT"/>
        </w:rPr>
        <w:t xml:space="preserve">. </w:t>
      </w:r>
      <w:r w:rsidRPr="00AA77F4">
        <w:rPr>
          <w:rFonts w:ascii="Arial" w:hAnsi="Arial" w:cs="Arial"/>
          <w:lang w:val="en-US"/>
        </w:rPr>
        <w:t xml:space="preserve">Water-efficient technologies for sustainable development. In Current directions in water scarcity research (Vol. 6, pp. 101-128). Elsevier. </w:t>
      </w:r>
      <w:hyperlink r:id="rId22" w:history="1">
        <w:r w:rsidRPr="00AA77F4">
          <w:rPr>
            <w:rStyle w:val="Hyperlink"/>
            <w:rFonts w:ascii="Arial" w:hAnsi="Arial" w:cs="Arial"/>
            <w:lang w:val="en-US"/>
          </w:rPr>
          <w:t>https://doi.org/10.1016/B978-0-323-91838-1.00009-9</w:t>
        </w:r>
      </w:hyperlink>
      <w:r w:rsidRPr="00AA77F4">
        <w:rPr>
          <w:rFonts w:ascii="Arial" w:hAnsi="Arial" w:cs="Arial"/>
          <w:lang w:val="en-US"/>
        </w:rPr>
        <w:t xml:space="preserve">  </w:t>
      </w:r>
    </w:p>
    <w:p w14:paraId="703942E7" w14:textId="283DA22F" w:rsidR="00AA77F4" w:rsidRPr="00AA77F4" w:rsidRDefault="00AA77F4" w:rsidP="00D87E14">
      <w:pPr>
        <w:spacing w:line="360" w:lineRule="auto"/>
        <w:jc w:val="both"/>
        <w:rPr>
          <w:rFonts w:ascii="Arial" w:hAnsi="Arial" w:cs="Arial"/>
          <w:lang w:val="en-US"/>
        </w:rPr>
      </w:pPr>
      <w:r w:rsidRPr="00AA77F4">
        <w:rPr>
          <w:rFonts w:ascii="Arial" w:hAnsi="Arial" w:cs="Arial"/>
          <w:lang w:val="en-US"/>
        </w:rPr>
        <w:t>21.</w:t>
      </w:r>
      <w:r w:rsidRPr="00AA77F4">
        <w:rPr>
          <w:rFonts w:ascii="Arial" w:hAnsi="Arial" w:cs="Arial"/>
          <w:lang w:val="en-US"/>
        </w:rPr>
        <w:tab/>
        <w:t xml:space="preserve">Wang, Y.F., Chen, S.P., Lee, Y.C. and Tsai, C.T.S., </w:t>
      </w:r>
      <w:r w:rsidR="00AE2636">
        <w:rPr>
          <w:rFonts w:ascii="Arial" w:hAnsi="Arial" w:cs="Arial"/>
          <w:lang w:val="en-US"/>
        </w:rPr>
        <w:t>(</w:t>
      </w:r>
      <w:r w:rsidRPr="00AA77F4">
        <w:rPr>
          <w:rFonts w:ascii="Arial" w:hAnsi="Arial" w:cs="Arial"/>
          <w:lang w:val="en-US"/>
        </w:rPr>
        <w:t>2013</w:t>
      </w:r>
      <w:r w:rsidR="00AE2636">
        <w:rPr>
          <w:rFonts w:ascii="Arial" w:hAnsi="Arial" w:cs="Arial"/>
          <w:lang w:val="en-US"/>
        </w:rPr>
        <w:t>)</w:t>
      </w:r>
      <w:r w:rsidRPr="00AA77F4">
        <w:rPr>
          <w:rFonts w:ascii="Arial" w:hAnsi="Arial" w:cs="Arial"/>
          <w:lang w:val="en-US"/>
        </w:rPr>
        <w:t xml:space="preserve">. Developing green management standards for restaurants: An application of green supply chain management. International journal of Hospitality management, 34, pp.263-273. </w:t>
      </w:r>
      <w:hyperlink r:id="rId23" w:history="1">
        <w:r w:rsidRPr="00AA77F4">
          <w:rPr>
            <w:rStyle w:val="Hyperlink"/>
            <w:rFonts w:ascii="Arial" w:hAnsi="Arial" w:cs="Arial"/>
            <w:lang w:val="en-US"/>
          </w:rPr>
          <w:t>https://doi.org/10.1016/j.ijhm.2013.04.001</w:t>
        </w:r>
      </w:hyperlink>
      <w:r w:rsidRPr="00AA77F4">
        <w:rPr>
          <w:rFonts w:ascii="Arial" w:hAnsi="Arial" w:cs="Arial"/>
          <w:lang w:val="en-US"/>
        </w:rPr>
        <w:t xml:space="preserve">   </w:t>
      </w:r>
    </w:p>
    <w:p w14:paraId="161B0BFA" w14:textId="77777777" w:rsidR="00AA77F4" w:rsidRPr="00D87E14" w:rsidRDefault="00AA77F4" w:rsidP="00D87E14">
      <w:pPr>
        <w:spacing w:line="360" w:lineRule="auto"/>
        <w:jc w:val="both"/>
        <w:rPr>
          <w:rFonts w:ascii="Arial" w:hAnsi="Arial" w:cs="Arial"/>
          <w:lang w:val="en-US"/>
        </w:rPr>
      </w:pPr>
    </w:p>
    <w:p w14:paraId="76F36E40" w14:textId="77777777" w:rsidR="00AA77F4" w:rsidRPr="00D87E14" w:rsidRDefault="00AA77F4" w:rsidP="00D87E14">
      <w:pPr>
        <w:spacing w:line="360" w:lineRule="auto"/>
        <w:jc w:val="both"/>
        <w:rPr>
          <w:rFonts w:ascii="Arial" w:hAnsi="Arial" w:cs="Arial"/>
        </w:rPr>
      </w:pPr>
    </w:p>
    <w:p w14:paraId="7C118D17" w14:textId="77777777" w:rsidR="00AA77F4" w:rsidRPr="00D87E14" w:rsidRDefault="00AA77F4" w:rsidP="00D87E14">
      <w:pPr>
        <w:spacing w:line="360" w:lineRule="auto"/>
        <w:jc w:val="both"/>
        <w:rPr>
          <w:rFonts w:ascii="Arial" w:hAnsi="Arial" w:cs="Arial"/>
        </w:rPr>
      </w:pPr>
    </w:p>
    <w:p w14:paraId="6FCF0263" w14:textId="77777777" w:rsidR="00AA77F4" w:rsidRPr="00D87E14" w:rsidRDefault="00AA77F4" w:rsidP="00D87E14">
      <w:pPr>
        <w:spacing w:line="360" w:lineRule="auto"/>
        <w:jc w:val="both"/>
        <w:rPr>
          <w:rFonts w:ascii="Arial" w:hAnsi="Arial" w:cs="Arial"/>
        </w:rPr>
      </w:pPr>
    </w:p>
    <w:p w14:paraId="30EB3F79" w14:textId="77777777" w:rsidR="00AA77F4" w:rsidRPr="00D87E14" w:rsidRDefault="00AA77F4" w:rsidP="00D87E14">
      <w:pPr>
        <w:spacing w:line="360" w:lineRule="auto"/>
        <w:jc w:val="both"/>
        <w:rPr>
          <w:rFonts w:ascii="Arial" w:hAnsi="Arial" w:cs="Arial"/>
        </w:rPr>
      </w:pPr>
    </w:p>
    <w:p w14:paraId="2220353D" w14:textId="77777777" w:rsidR="00AA77F4" w:rsidRPr="00D87E14" w:rsidRDefault="00AA77F4" w:rsidP="00D87E14">
      <w:pPr>
        <w:spacing w:line="360" w:lineRule="auto"/>
        <w:jc w:val="both"/>
        <w:rPr>
          <w:rFonts w:ascii="Arial" w:hAnsi="Arial" w:cs="Arial"/>
        </w:rPr>
      </w:pPr>
    </w:p>
    <w:p w14:paraId="4DE1B174" w14:textId="77777777" w:rsidR="00AA77F4" w:rsidRPr="00D87E14" w:rsidRDefault="00AA77F4" w:rsidP="00D87E14">
      <w:pPr>
        <w:spacing w:line="360" w:lineRule="auto"/>
        <w:jc w:val="both"/>
        <w:rPr>
          <w:rFonts w:ascii="Arial" w:hAnsi="Arial" w:cs="Arial"/>
        </w:rPr>
      </w:pPr>
    </w:p>
    <w:p w14:paraId="498E374D" w14:textId="77777777" w:rsidR="00AA77F4" w:rsidRPr="00D87E14" w:rsidRDefault="00AA77F4" w:rsidP="00D87E14">
      <w:pPr>
        <w:spacing w:line="360" w:lineRule="auto"/>
        <w:jc w:val="both"/>
        <w:rPr>
          <w:rFonts w:ascii="Arial" w:hAnsi="Arial" w:cs="Arial"/>
        </w:rPr>
      </w:pPr>
    </w:p>
    <w:p w14:paraId="58B671FA" w14:textId="77777777" w:rsidR="00AA77F4" w:rsidRPr="00D87E14" w:rsidRDefault="00AA77F4" w:rsidP="00D87E14">
      <w:pPr>
        <w:spacing w:line="360" w:lineRule="auto"/>
        <w:jc w:val="both"/>
        <w:rPr>
          <w:rFonts w:ascii="Arial" w:hAnsi="Arial" w:cs="Arial"/>
        </w:rPr>
      </w:pPr>
    </w:p>
    <w:sectPr w:rsidR="00AA77F4" w:rsidRPr="00D87E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0A6"/>
    <w:rsid w:val="000F1773"/>
    <w:rsid w:val="001250A6"/>
    <w:rsid w:val="00184CFC"/>
    <w:rsid w:val="007E7C81"/>
    <w:rsid w:val="00AA77F4"/>
    <w:rsid w:val="00AB1BB3"/>
    <w:rsid w:val="00AE2636"/>
    <w:rsid w:val="00D43AB5"/>
    <w:rsid w:val="00D465E6"/>
    <w:rsid w:val="00D87E14"/>
    <w:rsid w:val="00FB0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31A44"/>
  <w15:chartTrackingRefBased/>
  <w15:docId w15:val="{317F064F-3454-4A6C-BD26-A5EE2FA1B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50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50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50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50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50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50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50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50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50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0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50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50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50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50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50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50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50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50A6"/>
    <w:rPr>
      <w:rFonts w:eastAsiaTheme="majorEastAsia" w:cstheme="majorBidi"/>
      <w:color w:val="272727" w:themeColor="text1" w:themeTint="D8"/>
    </w:rPr>
  </w:style>
  <w:style w:type="paragraph" w:styleId="Title">
    <w:name w:val="Title"/>
    <w:basedOn w:val="Normal"/>
    <w:next w:val="Normal"/>
    <w:link w:val="TitleChar"/>
    <w:uiPriority w:val="10"/>
    <w:qFormat/>
    <w:rsid w:val="001250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50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50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50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50A6"/>
    <w:pPr>
      <w:spacing w:before="160"/>
      <w:jc w:val="center"/>
    </w:pPr>
    <w:rPr>
      <w:i/>
      <w:iCs/>
      <w:color w:val="404040" w:themeColor="text1" w:themeTint="BF"/>
    </w:rPr>
  </w:style>
  <w:style w:type="character" w:customStyle="1" w:styleId="QuoteChar">
    <w:name w:val="Quote Char"/>
    <w:basedOn w:val="DefaultParagraphFont"/>
    <w:link w:val="Quote"/>
    <w:uiPriority w:val="29"/>
    <w:rsid w:val="001250A6"/>
    <w:rPr>
      <w:i/>
      <w:iCs/>
      <w:color w:val="404040" w:themeColor="text1" w:themeTint="BF"/>
    </w:rPr>
  </w:style>
  <w:style w:type="paragraph" w:styleId="ListParagraph">
    <w:name w:val="List Paragraph"/>
    <w:basedOn w:val="Normal"/>
    <w:uiPriority w:val="34"/>
    <w:qFormat/>
    <w:rsid w:val="001250A6"/>
    <w:pPr>
      <w:ind w:left="720"/>
      <w:contextualSpacing/>
    </w:pPr>
  </w:style>
  <w:style w:type="character" w:styleId="IntenseEmphasis">
    <w:name w:val="Intense Emphasis"/>
    <w:basedOn w:val="DefaultParagraphFont"/>
    <w:uiPriority w:val="21"/>
    <w:qFormat/>
    <w:rsid w:val="001250A6"/>
    <w:rPr>
      <w:i/>
      <w:iCs/>
      <w:color w:val="0F4761" w:themeColor="accent1" w:themeShade="BF"/>
    </w:rPr>
  </w:style>
  <w:style w:type="paragraph" w:styleId="IntenseQuote">
    <w:name w:val="Intense Quote"/>
    <w:basedOn w:val="Normal"/>
    <w:next w:val="Normal"/>
    <w:link w:val="IntenseQuoteChar"/>
    <w:uiPriority w:val="30"/>
    <w:qFormat/>
    <w:rsid w:val="001250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50A6"/>
    <w:rPr>
      <w:i/>
      <w:iCs/>
      <w:color w:val="0F4761" w:themeColor="accent1" w:themeShade="BF"/>
    </w:rPr>
  </w:style>
  <w:style w:type="character" w:styleId="IntenseReference">
    <w:name w:val="Intense Reference"/>
    <w:basedOn w:val="DefaultParagraphFont"/>
    <w:uiPriority w:val="32"/>
    <w:qFormat/>
    <w:rsid w:val="001250A6"/>
    <w:rPr>
      <w:b/>
      <w:bCs/>
      <w:smallCaps/>
      <w:color w:val="0F4761" w:themeColor="accent1" w:themeShade="BF"/>
      <w:spacing w:val="5"/>
    </w:rPr>
  </w:style>
  <w:style w:type="character" w:styleId="Hyperlink">
    <w:name w:val="Hyperlink"/>
    <w:basedOn w:val="DefaultParagraphFont"/>
    <w:uiPriority w:val="99"/>
    <w:unhideWhenUsed/>
    <w:rsid w:val="00AA77F4"/>
    <w:rPr>
      <w:color w:val="467886" w:themeColor="hyperlink"/>
      <w:u w:val="single"/>
    </w:rPr>
  </w:style>
  <w:style w:type="character" w:styleId="UnresolvedMention">
    <w:name w:val="Unresolved Mention"/>
    <w:basedOn w:val="DefaultParagraphFont"/>
    <w:uiPriority w:val="99"/>
    <w:semiHidden/>
    <w:unhideWhenUsed/>
    <w:rsid w:val="00AA77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1310362">
      <w:bodyDiv w:val="1"/>
      <w:marLeft w:val="0"/>
      <w:marRight w:val="0"/>
      <w:marTop w:val="0"/>
      <w:marBottom w:val="0"/>
      <w:divBdr>
        <w:top w:val="none" w:sz="0" w:space="0" w:color="auto"/>
        <w:left w:val="none" w:sz="0" w:space="0" w:color="auto"/>
        <w:bottom w:val="none" w:sz="0" w:space="0" w:color="auto"/>
        <w:right w:val="none" w:sz="0" w:space="0" w:color="auto"/>
      </w:divBdr>
    </w:div>
    <w:div w:id="1758598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enhotels.nl/en/our-story/sustainability/" TargetMode="External"/><Relationship Id="rId13" Type="http://schemas.openxmlformats.org/officeDocument/2006/relationships/hyperlink" Target="https://doi.org/10.1080/02508281.2010.11081628" TargetMode="External"/><Relationship Id="rId18" Type="http://schemas.openxmlformats.org/officeDocument/2006/relationships/hyperlink" Target="https://doi.org/10.1080/09669582.2016.1247848" TargetMode="External"/><Relationship Id="rId3" Type="http://schemas.openxmlformats.org/officeDocument/2006/relationships/webSettings" Target="webSettings.xml"/><Relationship Id="rId21" Type="http://schemas.openxmlformats.org/officeDocument/2006/relationships/hyperlink" Target="https://doi.org/10.1038/531435a" TargetMode="External"/><Relationship Id="rId7" Type="http://schemas.openxmlformats.org/officeDocument/2006/relationships/hyperlink" Target="https://doi.org/10.1016/j.ijhm.2013.09.006" TargetMode="External"/><Relationship Id="rId12" Type="http://schemas.openxmlformats.org/officeDocument/2006/relationships/hyperlink" Target="https://doi.org/10.1016/j.ijhm.2019.102395" TargetMode="External"/><Relationship Id="rId17" Type="http://schemas.openxmlformats.org/officeDocument/2006/relationships/hyperlink" Target="https://doi.org/10.1016/j.enbuild.2017.01.028"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connaissancedesenergies.org/sites/connaissancedesenergies.org/files/pdf-actualites/The_Netherlands_2020_Energy_Policy_Review.pdf" TargetMode="External"/><Relationship Id="rId20" Type="http://schemas.openxmlformats.org/officeDocument/2006/relationships/hyperlink" Target="https://www.sensorflow.co/energy-savings-solutions-for-hotels-real-time-data-insights-help" TargetMode="External"/><Relationship Id="rId1" Type="http://schemas.openxmlformats.org/officeDocument/2006/relationships/styles" Target="styles.xml"/><Relationship Id="rId6" Type="http://schemas.openxmlformats.org/officeDocument/2006/relationships/hyperlink" Target="https://doi.org/10.1177/00910260241226731" TargetMode="External"/><Relationship Id="rId11" Type="http://schemas.openxmlformats.org/officeDocument/2006/relationships/hyperlink" Target="https://doi.org/10.1002/bse.527" TargetMode="External"/><Relationship Id="rId24" Type="http://schemas.openxmlformats.org/officeDocument/2006/relationships/fontTable" Target="fontTable.xml"/><Relationship Id="rId5" Type="http://schemas.openxmlformats.org/officeDocument/2006/relationships/hyperlink" Target="https://doi.org/10.1002/csr.2238" TargetMode="External"/><Relationship Id="rId15" Type="http://schemas.openxmlformats.org/officeDocument/2006/relationships/hyperlink" Target="https://doi.org/10.1177/0169796X221104855" TargetMode="External"/><Relationship Id="rId23" Type="http://schemas.openxmlformats.org/officeDocument/2006/relationships/hyperlink" Target="https://doi.org/10.1016/j.ijhm.2013.04.001" TargetMode="External"/><Relationship Id="rId10" Type="http://schemas.openxmlformats.org/officeDocument/2006/relationships/hyperlink" Target="https://doi.org/10.1080/09669582.2017.1301721" TargetMode="External"/><Relationship Id="rId19" Type="http://schemas.openxmlformats.org/officeDocument/2006/relationships/hyperlink" Target="https://refed.org/uploads/refed_roadmap2030-FINAL.pdf" TargetMode="External"/><Relationship Id="rId4" Type="http://schemas.openxmlformats.org/officeDocument/2006/relationships/hyperlink" Target="https://search.proquest.com/openview/ef3ed32018d90ee37c5fa34b6ad89e9a/1?pq-origsite=gscholar&amp;cbl=326267" TargetMode="External"/><Relationship Id="rId9" Type="http://schemas.openxmlformats.org/officeDocument/2006/relationships/hyperlink" Target="https://etichotels.com/royal-solaris-cancun-resort-all-inclusive/-?src=temp2&amp;search_txt=Royal%20Solaris%20Cancun%20Resort%20All%20Inclusive,%20&amp;search_id=ht-1629&amp;hotel_id=1629" TargetMode="External"/><Relationship Id="rId14" Type="http://schemas.openxmlformats.org/officeDocument/2006/relationships/hyperlink" Target="https://info.edenhotelamsterdam.com/en-gb/13/green-key" TargetMode="External"/><Relationship Id="rId22" Type="http://schemas.openxmlformats.org/officeDocument/2006/relationships/hyperlink" Target="https://doi.org/10.1016/B978-0-323-91838-1.0000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3221</Words>
  <Characters>18363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Liviu Postelnicu (2224284)</dc:creator>
  <cp:keywords/>
  <dc:description/>
  <cp:lastModifiedBy>Liviu Postelnicu (2224284)</cp:lastModifiedBy>
  <cp:revision>10</cp:revision>
  <dcterms:created xsi:type="dcterms:W3CDTF">2024-10-21T21:46:00Z</dcterms:created>
  <dcterms:modified xsi:type="dcterms:W3CDTF">2024-10-21T22:01:00Z</dcterms:modified>
</cp:coreProperties>
</file>