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FA317" w14:textId="77777777" w:rsidR="00843BDA" w:rsidRDefault="00843BDA"/>
    <w:p w14:paraId="1EF54C55" w14:textId="77777777" w:rsidR="00843BDA" w:rsidRDefault="00843BDA"/>
    <w:p w14:paraId="4EFD2222" w14:textId="1D860406" w:rsidR="00843BDA" w:rsidRPr="00CD4F5E" w:rsidRDefault="00843BDA" w:rsidP="00843BDA">
      <w:pPr>
        <w:spacing w:before="120" w:after="120"/>
        <w:ind w:left="720"/>
        <w:contextualSpacing/>
        <w:jc w:val="center"/>
        <w:rPr>
          <w:rFonts w:ascii="Arial" w:eastAsia="Calibri" w:hAnsi="Arial" w:cs="Arial"/>
          <w:bCs/>
          <w:sz w:val="28"/>
          <w:szCs w:val="28"/>
        </w:rPr>
      </w:pPr>
      <w:r>
        <w:rPr>
          <w:rFonts w:ascii="Arial" w:eastAsia="Calibri" w:hAnsi="Arial" w:cs="Arial"/>
          <w:b/>
          <w:bCs/>
          <w:sz w:val="32"/>
          <w:szCs w:val="32"/>
        </w:rPr>
        <w:t>Equality, Diversity and Inclusion within Industry</w:t>
      </w:r>
      <w:r w:rsidR="009127F5">
        <w:rPr>
          <w:rFonts w:ascii="Arial" w:eastAsia="Calibri" w:hAnsi="Arial" w:cs="Arial"/>
          <w:b/>
          <w:bCs/>
          <w:sz w:val="32"/>
          <w:szCs w:val="32"/>
        </w:rPr>
        <w:t xml:space="preserve"> – Presentation</w:t>
      </w:r>
    </w:p>
    <w:p w14:paraId="6013472B" w14:textId="77777777" w:rsidR="00843BDA" w:rsidRPr="00CD4F5E" w:rsidRDefault="00843BDA" w:rsidP="00843BDA">
      <w:pPr>
        <w:spacing w:before="120" w:after="120"/>
        <w:ind w:left="720"/>
        <w:contextualSpacing/>
        <w:jc w:val="center"/>
        <w:rPr>
          <w:rFonts w:ascii="Arial" w:eastAsia="Calibri" w:hAnsi="Arial" w:cs="Arial"/>
          <w:bCs/>
          <w:sz w:val="28"/>
          <w:szCs w:val="28"/>
        </w:rPr>
      </w:pPr>
    </w:p>
    <w:p w14:paraId="5E9E2E23" w14:textId="77777777" w:rsidR="00843BDA" w:rsidRPr="00CD4F5E" w:rsidRDefault="00843BDA" w:rsidP="00843BDA">
      <w:pPr>
        <w:spacing w:before="120" w:after="120"/>
        <w:ind w:left="720"/>
        <w:contextualSpacing/>
        <w:jc w:val="center"/>
        <w:rPr>
          <w:rFonts w:ascii="Arial" w:eastAsia="Calibri" w:hAnsi="Arial" w:cs="Arial"/>
          <w:bCs/>
          <w:sz w:val="28"/>
          <w:szCs w:val="28"/>
        </w:rPr>
      </w:pPr>
    </w:p>
    <w:p w14:paraId="755CD5AB" w14:textId="77777777" w:rsidR="00843BDA" w:rsidRPr="00CD4F5E" w:rsidRDefault="00843BDA" w:rsidP="00843BDA">
      <w:pPr>
        <w:spacing w:before="120" w:after="120"/>
        <w:ind w:left="720"/>
        <w:contextualSpacing/>
        <w:jc w:val="center"/>
        <w:rPr>
          <w:rFonts w:ascii="Arial" w:eastAsia="Calibri" w:hAnsi="Arial" w:cs="Arial"/>
          <w:bCs/>
          <w:sz w:val="28"/>
          <w:szCs w:val="28"/>
        </w:rPr>
      </w:pPr>
    </w:p>
    <w:p w14:paraId="057E02FA" w14:textId="77777777" w:rsidR="00843BDA" w:rsidRPr="00CD4F5E" w:rsidRDefault="00843BDA" w:rsidP="00843BDA">
      <w:pPr>
        <w:spacing w:before="120" w:after="120"/>
        <w:ind w:left="720"/>
        <w:contextualSpacing/>
        <w:jc w:val="center"/>
        <w:rPr>
          <w:rFonts w:ascii="Arial" w:eastAsia="Calibri" w:hAnsi="Arial" w:cs="Arial"/>
          <w:bCs/>
          <w:sz w:val="28"/>
          <w:szCs w:val="28"/>
        </w:rPr>
      </w:pPr>
    </w:p>
    <w:p w14:paraId="4E44DC0E" w14:textId="77777777" w:rsidR="00843BDA" w:rsidRPr="00CD4F5E" w:rsidRDefault="00843BDA" w:rsidP="00843BDA">
      <w:pPr>
        <w:spacing w:before="120" w:after="120"/>
        <w:ind w:left="720"/>
        <w:contextualSpacing/>
        <w:jc w:val="center"/>
        <w:rPr>
          <w:rFonts w:ascii="Arial" w:eastAsia="Calibri" w:hAnsi="Arial" w:cs="Arial"/>
          <w:bCs/>
          <w:sz w:val="28"/>
          <w:szCs w:val="28"/>
        </w:rPr>
      </w:pPr>
    </w:p>
    <w:p w14:paraId="42BAD782" w14:textId="77777777" w:rsidR="00843BDA" w:rsidRPr="00CD4F5E" w:rsidRDefault="00843BDA" w:rsidP="00843BDA">
      <w:pPr>
        <w:spacing w:before="120" w:after="120"/>
        <w:ind w:left="720"/>
        <w:contextualSpacing/>
        <w:jc w:val="center"/>
        <w:rPr>
          <w:rFonts w:ascii="Arial" w:eastAsia="Calibri" w:hAnsi="Arial" w:cs="Arial"/>
          <w:bCs/>
          <w:sz w:val="28"/>
          <w:szCs w:val="28"/>
        </w:rPr>
      </w:pPr>
    </w:p>
    <w:p w14:paraId="14EA6893" w14:textId="77777777" w:rsidR="00843BDA" w:rsidRPr="00CD4F5E" w:rsidRDefault="00843BDA" w:rsidP="00843BDA">
      <w:pPr>
        <w:spacing w:before="120" w:after="120"/>
        <w:ind w:left="720"/>
        <w:contextualSpacing/>
        <w:jc w:val="center"/>
        <w:rPr>
          <w:rFonts w:ascii="Arial" w:eastAsia="Calibri" w:hAnsi="Arial" w:cs="Arial"/>
          <w:bCs/>
          <w:sz w:val="28"/>
          <w:szCs w:val="28"/>
        </w:rPr>
      </w:pPr>
    </w:p>
    <w:p w14:paraId="7FBA9AC7" w14:textId="77777777" w:rsidR="00843BDA" w:rsidRPr="00CD4F5E" w:rsidRDefault="00843BDA" w:rsidP="00843BDA">
      <w:pPr>
        <w:spacing w:before="120" w:after="120"/>
        <w:ind w:left="720"/>
        <w:contextualSpacing/>
        <w:jc w:val="center"/>
        <w:rPr>
          <w:rFonts w:ascii="Arial" w:eastAsia="Calibri" w:hAnsi="Arial" w:cs="Arial"/>
          <w:bCs/>
          <w:sz w:val="28"/>
          <w:szCs w:val="28"/>
        </w:rPr>
      </w:pPr>
    </w:p>
    <w:p w14:paraId="34D0BA28" w14:textId="77777777" w:rsidR="00843BDA" w:rsidRPr="00CD4F5E" w:rsidRDefault="00843BDA" w:rsidP="00843BDA">
      <w:pPr>
        <w:spacing w:before="120" w:after="120"/>
        <w:ind w:left="720"/>
        <w:contextualSpacing/>
        <w:jc w:val="center"/>
        <w:rPr>
          <w:rFonts w:ascii="Arial" w:eastAsia="Calibri" w:hAnsi="Arial" w:cs="Arial"/>
          <w:bCs/>
          <w:sz w:val="28"/>
          <w:szCs w:val="28"/>
        </w:rPr>
      </w:pPr>
      <w:r w:rsidRPr="00CD4F5E">
        <w:rPr>
          <w:rFonts w:ascii="Arial" w:eastAsia="Calibri" w:hAnsi="Arial" w:cs="Arial"/>
          <w:bCs/>
          <w:sz w:val="28"/>
          <w:szCs w:val="28"/>
        </w:rPr>
        <w:t>Student: Begum Rujina Khatun</w:t>
      </w:r>
    </w:p>
    <w:p w14:paraId="46825FBB" w14:textId="77777777" w:rsidR="00843BDA" w:rsidRPr="00CD4F5E" w:rsidRDefault="00843BDA" w:rsidP="00843BDA">
      <w:pPr>
        <w:spacing w:before="120" w:after="120"/>
        <w:ind w:left="720"/>
        <w:contextualSpacing/>
        <w:jc w:val="center"/>
        <w:rPr>
          <w:rFonts w:ascii="Arial" w:eastAsia="Calibri" w:hAnsi="Arial" w:cs="Arial"/>
          <w:bCs/>
          <w:sz w:val="28"/>
          <w:szCs w:val="28"/>
        </w:rPr>
      </w:pPr>
      <w:r w:rsidRPr="00CD4F5E">
        <w:rPr>
          <w:rFonts w:ascii="Arial" w:eastAsia="Calibri" w:hAnsi="Arial" w:cs="Arial"/>
          <w:bCs/>
          <w:sz w:val="28"/>
          <w:szCs w:val="28"/>
        </w:rPr>
        <w:t>Student ID: 2234581</w:t>
      </w:r>
    </w:p>
    <w:p w14:paraId="129F628D" w14:textId="5F4B1F30" w:rsidR="00843BDA" w:rsidRPr="00CD4F5E" w:rsidRDefault="00843BDA" w:rsidP="00843BDA">
      <w:pPr>
        <w:spacing w:before="120" w:after="120"/>
        <w:ind w:left="720"/>
        <w:contextualSpacing/>
        <w:jc w:val="center"/>
        <w:rPr>
          <w:rFonts w:ascii="Arial" w:eastAsia="Calibri" w:hAnsi="Arial" w:cs="Arial"/>
          <w:bCs/>
          <w:sz w:val="28"/>
          <w:szCs w:val="28"/>
        </w:rPr>
      </w:pPr>
      <w:r w:rsidRPr="00CD4F5E">
        <w:rPr>
          <w:rFonts w:ascii="Arial" w:eastAsia="Calibri" w:hAnsi="Arial" w:cs="Arial"/>
          <w:bCs/>
          <w:sz w:val="28"/>
          <w:szCs w:val="28"/>
        </w:rPr>
        <w:t xml:space="preserve">Module: </w:t>
      </w:r>
      <w:r>
        <w:rPr>
          <w:rFonts w:ascii="Arial" w:eastAsia="Calibri" w:hAnsi="Arial" w:cs="Arial"/>
          <w:bCs/>
          <w:sz w:val="28"/>
          <w:szCs w:val="28"/>
        </w:rPr>
        <w:t>International Meetings</w:t>
      </w:r>
      <w:r w:rsidRPr="00CD4F5E">
        <w:rPr>
          <w:rFonts w:ascii="Arial" w:eastAsia="Calibri" w:hAnsi="Arial" w:cs="Arial"/>
          <w:bCs/>
          <w:sz w:val="28"/>
          <w:szCs w:val="28"/>
        </w:rPr>
        <w:t xml:space="preserve"> Management </w:t>
      </w:r>
      <w:r>
        <w:rPr>
          <w:rFonts w:ascii="Arial" w:eastAsia="Calibri" w:hAnsi="Arial" w:cs="Arial"/>
          <w:bCs/>
          <w:sz w:val="28"/>
          <w:szCs w:val="28"/>
        </w:rPr>
        <w:t xml:space="preserve">for the Hotel Industry </w:t>
      </w:r>
      <w:r w:rsidRPr="00CD4F5E">
        <w:rPr>
          <w:rFonts w:ascii="Arial" w:eastAsia="Calibri" w:hAnsi="Arial" w:cs="Arial"/>
          <w:bCs/>
          <w:sz w:val="28"/>
          <w:szCs w:val="28"/>
        </w:rPr>
        <w:t>(BMIH</w:t>
      </w:r>
      <w:r>
        <w:rPr>
          <w:rFonts w:ascii="Arial" w:eastAsia="Calibri" w:hAnsi="Arial" w:cs="Arial"/>
          <w:bCs/>
          <w:sz w:val="28"/>
          <w:szCs w:val="28"/>
        </w:rPr>
        <w:t>6007</w:t>
      </w:r>
      <w:r w:rsidRPr="00CD4F5E">
        <w:rPr>
          <w:rFonts w:ascii="Arial" w:eastAsia="Calibri" w:hAnsi="Arial" w:cs="Arial"/>
          <w:bCs/>
          <w:sz w:val="28"/>
          <w:szCs w:val="28"/>
        </w:rPr>
        <w:t>)</w:t>
      </w:r>
    </w:p>
    <w:p w14:paraId="079477FE" w14:textId="6C47C7DF" w:rsidR="00843BDA" w:rsidRDefault="00843BDA" w:rsidP="00843BDA">
      <w:pPr>
        <w:spacing w:before="120" w:after="120"/>
        <w:ind w:left="720"/>
        <w:contextualSpacing/>
        <w:jc w:val="center"/>
        <w:rPr>
          <w:rFonts w:ascii="Arial" w:eastAsia="Calibri" w:hAnsi="Arial" w:cs="Arial"/>
          <w:bCs/>
          <w:sz w:val="28"/>
          <w:szCs w:val="28"/>
        </w:rPr>
      </w:pPr>
      <w:r w:rsidRPr="00CD4F5E">
        <w:rPr>
          <w:rFonts w:ascii="Arial" w:eastAsia="Calibri" w:hAnsi="Arial" w:cs="Arial"/>
          <w:bCs/>
          <w:sz w:val="28"/>
          <w:szCs w:val="28"/>
        </w:rPr>
        <w:t xml:space="preserve">Module Tutor: </w:t>
      </w:r>
      <w:r>
        <w:rPr>
          <w:rFonts w:ascii="Arial" w:eastAsia="Calibri" w:hAnsi="Arial" w:cs="Arial"/>
          <w:bCs/>
          <w:sz w:val="28"/>
          <w:szCs w:val="28"/>
        </w:rPr>
        <w:t>Christopher Wilkin</w:t>
      </w:r>
    </w:p>
    <w:p w14:paraId="553E7BB0" w14:textId="5A863995" w:rsidR="00843BDA" w:rsidRPr="00CD4F5E" w:rsidRDefault="00843BDA" w:rsidP="00843BDA">
      <w:pPr>
        <w:spacing w:before="120" w:after="120"/>
        <w:ind w:left="720"/>
        <w:contextualSpacing/>
        <w:jc w:val="center"/>
        <w:rPr>
          <w:rFonts w:ascii="Arial" w:eastAsia="Calibri" w:hAnsi="Arial" w:cs="Arial"/>
          <w:bCs/>
          <w:sz w:val="28"/>
          <w:szCs w:val="28"/>
        </w:rPr>
      </w:pPr>
      <w:r>
        <w:rPr>
          <w:rFonts w:ascii="Arial" w:eastAsia="Calibri" w:hAnsi="Arial" w:cs="Arial"/>
          <w:bCs/>
          <w:sz w:val="28"/>
          <w:szCs w:val="28"/>
        </w:rPr>
        <w:t>Presentation Date: 5</w:t>
      </w:r>
      <w:r w:rsidRPr="00843BDA">
        <w:rPr>
          <w:rFonts w:ascii="Arial" w:eastAsia="Calibri" w:hAnsi="Arial" w:cs="Arial"/>
          <w:bCs/>
          <w:sz w:val="28"/>
          <w:szCs w:val="28"/>
          <w:vertAlign w:val="superscript"/>
        </w:rPr>
        <w:t>th</w:t>
      </w:r>
      <w:r>
        <w:rPr>
          <w:rFonts w:ascii="Arial" w:eastAsia="Calibri" w:hAnsi="Arial" w:cs="Arial"/>
          <w:bCs/>
          <w:sz w:val="28"/>
          <w:szCs w:val="28"/>
        </w:rPr>
        <w:t xml:space="preserve"> February 2025</w:t>
      </w:r>
    </w:p>
    <w:p w14:paraId="65CC0AA9" w14:textId="3FCA2609" w:rsidR="00843BDA" w:rsidRPr="00CD4F5E" w:rsidRDefault="00843BDA" w:rsidP="00843BDA">
      <w:pPr>
        <w:spacing w:before="120" w:after="120"/>
        <w:ind w:left="720"/>
        <w:contextualSpacing/>
        <w:jc w:val="center"/>
        <w:rPr>
          <w:rFonts w:ascii="Arial" w:eastAsia="Calibri" w:hAnsi="Arial" w:cs="Arial"/>
          <w:sz w:val="28"/>
          <w:szCs w:val="28"/>
        </w:rPr>
      </w:pPr>
      <w:r w:rsidRPr="00CD4F5E">
        <w:rPr>
          <w:rFonts w:ascii="Arial" w:eastAsia="Calibri" w:hAnsi="Arial" w:cs="Arial"/>
          <w:bCs/>
          <w:sz w:val="28"/>
          <w:szCs w:val="28"/>
        </w:rPr>
        <w:t xml:space="preserve">Submission Date: </w:t>
      </w:r>
      <w:r>
        <w:rPr>
          <w:rFonts w:ascii="Arial" w:eastAsia="Calibri" w:hAnsi="Arial" w:cs="Arial"/>
          <w:bCs/>
          <w:sz w:val="28"/>
          <w:szCs w:val="28"/>
        </w:rPr>
        <w:t>7</w:t>
      </w:r>
      <w:r w:rsidRPr="00843BDA">
        <w:rPr>
          <w:rFonts w:ascii="Arial" w:eastAsia="Calibri" w:hAnsi="Arial" w:cs="Arial"/>
          <w:bCs/>
          <w:sz w:val="28"/>
          <w:szCs w:val="28"/>
          <w:vertAlign w:val="superscript"/>
        </w:rPr>
        <w:t>th</w:t>
      </w:r>
      <w:r>
        <w:rPr>
          <w:rFonts w:ascii="Arial" w:eastAsia="Calibri" w:hAnsi="Arial" w:cs="Arial"/>
          <w:bCs/>
          <w:sz w:val="28"/>
          <w:szCs w:val="28"/>
        </w:rPr>
        <w:t xml:space="preserve"> February 2025</w:t>
      </w:r>
    </w:p>
    <w:p w14:paraId="2A96523A" w14:textId="77777777" w:rsidR="00843BDA" w:rsidRDefault="00843BDA"/>
    <w:p w14:paraId="3BB09018" w14:textId="77777777" w:rsidR="00843BDA" w:rsidRDefault="00843BDA"/>
    <w:p w14:paraId="0982B36B" w14:textId="77777777" w:rsidR="00843BDA" w:rsidRDefault="00843BDA"/>
    <w:p w14:paraId="3A4689DE" w14:textId="77777777" w:rsidR="00843BDA" w:rsidRDefault="00843BDA"/>
    <w:p w14:paraId="5EF2030C" w14:textId="77777777" w:rsidR="00843BDA" w:rsidRDefault="00843BDA"/>
    <w:p w14:paraId="77DFD815" w14:textId="19807A81" w:rsidR="003702A7" w:rsidRDefault="00843BDA">
      <w:r>
        <w:rPr>
          <w:noProof/>
        </w:rPr>
        <w:lastRenderedPageBreak/>
        <w:drawing>
          <wp:inline distT="0" distB="0" distL="0" distR="0" wp14:anchorId="00324D94" wp14:editId="70C90522">
            <wp:extent cx="5731510" cy="3672840"/>
            <wp:effectExtent l="0" t="0" r="2540" b="3810"/>
            <wp:docPr id="104177398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773983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982B61" w14:textId="77777777" w:rsidR="00843BDA" w:rsidRDefault="00843BDA"/>
    <w:p w14:paraId="63F98CF3" w14:textId="47B82B2B" w:rsidR="00843BDA" w:rsidRDefault="00843BDA">
      <w:r>
        <w:rPr>
          <w:noProof/>
        </w:rPr>
        <w:drawing>
          <wp:inline distT="0" distB="0" distL="0" distR="0" wp14:anchorId="7F5CF432" wp14:editId="23D4C7BC">
            <wp:extent cx="5731510" cy="3931920"/>
            <wp:effectExtent l="0" t="0" r="2540" b="0"/>
            <wp:docPr id="40839190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391904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3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ECF380" w14:textId="77777777" w:rsidR="00843BDA" w:rsidRDefault="00843BDA"/>
    <w:p w14:paraId="19CB23CB" w14:textId="77777777" w:rsidR="00843BDA" w:rsidRDefault="00843BDA"/>
    <w:p w14:paraId="3AC28B6F" w14:textId="40627872" w:rsidR="00843BDA" w:rsidRDefault="00843BDA">
      <w:r>
        <w:rPr>
          <w:noProof/>
        </w:rPr>
        <w:lastRenderedPageBreak/>
        <w:drawing>
          <wp:inline distT="0" distB="0" distL="0" distR="0" wp14:anchorId="1CB382C3" wp14:editId="634FE3E9">
            <wp:extent cx="5731510" cy="3657600"/>
            <wp:effectExtent l="0" t="0" r="2540" b="0"/>
            <wp:docPr id="149136627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366279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3ACD5B" w14:textId="77777777" w:rsidR="00843BDA" w:rsidRDefault="00843BDA"/>
    <w:p w14:paraId="1C1D0AE4" w14:textId="0DA1E416" w:rsidR="00843BDA" w:rsidRDefault="00843BDA">
      <w:r>
        <w:rPr>
          <w:noProof/>
        </w:rPr>
        <w:drawing>
          <wp:inline distT="0" distB="0" distL="0" distR="0" wp14:anchorId="16B7DCFD" wp14:editId="79D83934">
            <wp:extent cx="5731510" cy="3528060"/>
            <wp:effectExtent l="0" t="0" r="2540" b="0"/>
            <wp:docPr id="76727467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274678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2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A2B44" w14:textId="77777777" w:rsidR="00843BDA" w:rsidRDefault="00843BDA"/>
    <w:p w14:paraId="2E566DC2" w14:textId="77777777" w:rsidR="00843BDA" w:rsidRDefault="00843BDA"/>
    <w:p w14:paraId="33D8DB4F" w14:textId="77777777" w:rsidR="00843BDA" w:rsidRDefault="00843BDA"/>
    <w:p w14:paraId="4EE7BCEE" w14:textId="77777777" w:rsidR="00843BDA" w:rsidRDefault="00843BDA"/>
    <w:p w14:paraId="7B430055" w14:textId="52197DC4" w:rsidR="00843BDA" w:rsidRDefault="00843BDA">
      <w:r>
        <w:rPr>
          <w:noProof/>
        </w:rPr>
        <w:lastRenderedPageBreak/>
        <w:drawing>
          <wp:inline distT="0" distB="0" distL="0" distR="0" wp14:anchorId="36FA9741" wp14:editId="761F730F">
            <wp:extent cx="5731510" cy="3642995"/>
            <wp:effectExtent l="0" t="0" r="2540" b="0"/>
            <wp:docPr id="136910383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9103835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4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78E225" w14:textId="77777777" w:rsidR="00843BDA" w:rsidRDefault="00843BDA"/>
    <w:p w14:paraId="26B91F29" w14:textId="77777777" w:rsidR="00843BDA" w:rsidRDefault="00843BDA"/>
    <w:p w14:paraId="7619A550" w14:textId="78988066" w:rsidR="00843BDA" w:rsidRDefault="00843BDA">
      <w:r>
        <w:rPr>
          <w:noProof/>
        </w:rPr>
        <w:drawing>
          <wp:inline distT="0" distB="0" distL="0" distR="0" wp14:anchorId="0D82BB66" wp14:editId="4C942B85">
            <wp:extent cx="5731510" cy="3832860"/>
            <wp:effectExtent l="0" t="0" r="2540" b="0"/>
            <wp:docPr id="60998899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9988998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3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025F7" w14:textId="77777777" w:rsidR="00843BDA" w:rsidRDefault="00843BDA"/>
    <w:p w14:paraId="7828A20E" w14:textId="77777777" w:rsidR="00843BDA" w:rsidRDefault="00843BDA"/>
    <w:p w14:paraId="24371FD3" w14:textId="0DFD61BC" w:rsidR="00843BDA" w:rsidRDefault="00843BDA">
      <w:r>
        <w:rPr>
          <w:noProof/>
        </w:rPr>
        <w:lastRenderedPageBreak/>
        <w:drawing>
          <wp:inline distT="0" distB="0" distL="0" distR="0" wp14:anchorId="4C9B2623" wp14:editId="42B16F40">
            <wp:extent cx="5731510" cy="3657600"/>
            <wp:effectExtent l="0" t="0" r="2540" b="0"/>
            <wp:docPr id="10661135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11358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3C1C6" w14:textId="77777777" w:rsidR="00843BDA" w:rsidRDefault="00843BDA"/>
    <w:p w14:paraId="0E6F4918" w14:textId="7B4DC85A" w:rsidR="00843BDA" w:rsidRDefault="00843BDA">
      <w:r>
        <w:rPr>
          <w:noProof/>
        </w:rPr>
        <w:drawing>
          <wp:inline distT="0" distB="0" distL="0" distR="0" wp14:anchorId="720C2DE3" wp14:editId="7548964F">
            <wp:extent cx="5731510" cy="3810000"/>
            <wp:effectExtent l="0" t="0" r="2540" b="0"/>
            <wp:docPr id="76920788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207885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26401C" w14:textId="77777777" w:rsidR="00843BDA" w:rsidRDefault="00843BDA"/>
    <w:p w14:paraId="3ECB54C0" w14:textId="38907448" w:rsidR="00843BDA" w:rsidRDefault="00843BDA">
      <w:r>
        <w:rPr>
          <w:noProof/>
        </w:rPr>
        <w:lastRenderedPageBreak/>
        <w:drawing>
          <wp:inline distT="0" distB="0" distL="0" distR="0" wp14:anchorId="18C9CDC4" wp14:editId="46B42705">
            <wp:extent cx="5731510" cy="4061460"/>
            <wp:effectExtent l="0" t="0" r="2540" b="0"/>
            <wp:docPr id="94558326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583261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6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6F295A" w14:textId="77777777" w:rsidR="00843BDA" w:rsidRDefault="00843BDA"/>
    <w:p w14:paraId="30489EE4" w14:textId="4DA5F5FA" w:rsidR="00843BDA" w:rsidRDefault="00843BDA">
      <w:r>
        <w:rPr>
          <w:noProof/>
        </w:rPr>
        <w:drawing>
          <wp:inline distT="0" distB="0" distL="0" distR="0" wp14:anchorId="72DA60DE" wp14:editId="070DFF4B">
            <wp:extent cx="5731510" cy="3764280"/>
            <wp:effectExtent l="0" t="0" r="2540" b="7620"/>
            <wp:docPr id="69537724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377244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4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D4EE18" w14:textId="1D4BE0DA" w:rsidR="00843BDA" w:rsidRDefault="00843BDA">
      <w:r>
        <w:rPr>
          <w:noProof/>
        </w:rPr>
        <w:lastRenderedPageBreak/>
        <w:drawing>
          <wp:inline distT="0" distB="0" distL="0" distR="0" wp14:anchorId="02FDCC2A" wp14:editId="3E3C5144">
            <wp:extent cx="5731510" cy="3878580"/>
            <wp:effectExtent l="0" t="0" r="2540" b="7620"/>
            <wp:docPr id="57093925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939251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78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4FC20" w14:textId="77777777" w:rsidR="00843BDA" w:rsidRDefault="00843BDA"/>
    <w:p w14:paraId="46E36139" w14:textId="77777777" w:rsidR="00843BDA" w:rsidRDefault="00843BDA"/>
    <w:p w14:paraId="0530E60B" w14:textId="77777777" w:rsidR="00843BDA" w:rsidRDefault="00843BDA"/>
    <w:p w14:paraId="583F38CF" w14:textId="77777777" w:rsidR="00843BDA" w:rsidRDefault="00843BDA"/>
    <w:p w14:paraId="3BF66217" w14:textId="77777777" w:rsidR="00843BDA" w:rsidRDefault="00843BDA"/>
    <w:p w14:paraId="7137DED0" w14:textId="77777777" w:rsidR="00843BDA" w:rsidRDefault="00843BDA"/>
    <w:p w14:paraId="4ACEC6D1" w14:textId="77777777" w:rsidR="00843BDA" w:rsidRDefault="00843BDA"/>
    <w:p w14:paraId="27C8DE3F" w14:textId="77777777" w:rsidR="00843BDA" w:rsidRDefault="00843BDA"/>
    <w:p w14:paraId="69DA3843" w14:textId="77777777" w:rsidR="00843BDA" w:rsidRDefault="00843BDA"/>
    <w:p w14:paraId="588B7B24" w14:textId="77777777" w:rsidR="00843BDA" w:rsidRDefault="00843BDA"/>
    <w:p w14:paraId="6A34A398" w14:textId="77777777" w:rsidR="00843BDA" w:rsidRDefault="00843BDA"/>
    <w:p w14:paraId="1F2F7680" w14:textId="77777777" w:rsidR="00843BDA" w:rsidRDefault="00843BDA"/>
    <w:p w14:paraId="448B5498" w14:textId="77777777" w:rsidR="00843BDA" w:rsidRDefault="00843BDA"/>
    <w:p w14:paraId="1A248F93" w14:textId="77777777" w:rsidR="00843BDA" w:rsidRDefault="00843BDA"/>
    <w:p w14:paraId="549B17CE" w14:textId="77777777" w:rsidR="00843BDA" w:rsidRDefault="00843BDA"/>
    <w:p w14:paraId="0F2119A0" w14:textId="77777777" w:rsidR="00843BDA" w:rsidRDefault="00843BDA"/>
    <w:p w14:paraId="613198A2" w14:textId="77777777" w:rsidR="00843BDA" w:rsidRDefault="00843BDA"/>
    <w:p w14:paraId="27975286" w14:textId="0815D7EF" w:rsidR="00843BDA" w:rsidRPr="009127F5" w:rsidRDefault="00843BDA" w:rsidP="00843BD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127F5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References:</w:t>
      </w:r>
    </w:p>
    <w:p w14:paraId="6600E3CA" w14:textId="77777777" w:rsidR="00843BDA" w:rsidRDefault="00843BDA" w:rsidP="00843BDA">
      <w:pPr>
        <w:pStyle w:val="NormalWeb"/>
        <w:spacing w:before="0" w:beforeAutospacing="0" w:after="240" w:afterAutospacing="0" w:line="360" w:lineRule="auto"/>
        <w:jc w:val="both"/>
      </w:pPr>
      <w:r>
        <w:t xml:space="preserve">Almeida, A. (2024). </w:t>
      </w:r>
      <w:r>
        <w:rPr>
          <w:i/>
          <w:iCs/>
        </w:rPr>
        <w:t xml:space="preserve">A Guide to Inclusive and Culturally Significant Events with </w:t>
      </w:r>
      <w:proofErr w:type="spellStart"/>
      <w:r>
        <w:rPr>
          <w:i/>
          <w:iCs/>
        </w:rPr>
        <w:t>InEvent</w:t>
      </w:r>
      <w:proofErr w:type="spellEnd"/>
      <w:r>
        <w:t xml:space="preserve">. [online] </w:t>
      </w:r>
      <w:proofErr w:type="spellStart"/>
      <w:r>
        <w:t>InEvent</w:t>
      </w:r>
      <w:proofErr w:type="spellEnd"/>
      <w:r>
        <w:t xml:space="preserve"> Blog. Available at: https://inevent.com/blog/others/guide-inclusive-culturally-events-with-inevent.html [Accessed 27 Jan. 2025].</w:t>
      </w:r>
    </w:p>
    <w:p w14:paraId="4B2F9A31" w14:textId="77777777" w:rsidR="00843BDA" w:rsidRDefault="00843BDA" w:rsidP="00843BDA">
      <w:pPr>
        <w:pStyle w:val="NormalWeb"/>
        <w:spacing w:before="0" w:beforeAutospacing="0" w:after="240" w:afterAutospacing="0" w:line="360" w:lineRule="auto"/>
        <w:jc w:val="both"/>
      </w:pPr>
      <w:proofErr w:type="spellStart"/>
      <w:r>
        <w:t>Ambardar</w:t>
      </w:r>
      <w:proofErr w:type="spellEnd"/>
      <w:r>
        <w:t xml:space="preserve">, A. (2013). </w:t>
      </w:r>
      <w:r>
        <w:rPr>
          <w:i/>
          <w:iCs/>
        </w:rPr>
        <w:t xml:space="preserve">Cross-Cultural Training for Hotel Frontline Employees </w:t>
      </w:r>
      <w:r>
        <w:t>. International Journal of Hospitality and Tourism Systems, vol. 6, no. 1, pp. 66-74.</w:t>
      </w:r>
    </w:p>
    <w:p w14:paraId="7C3B3385" w14:textId="77777777" w:rsidR="00843BDA" w:rsidRDefault="00843BDA" w:rsidP="00843BDA">
      <w:pPr>
        <w:pStyle w:val="NormalWeb"/>
        <w:spacing w:before="0" w:beforeAutospacing="0" w:after="240" w:afterAutospacing="0" w:line="360" w:lineRule="auto"/>
        <w:jc w:val="both"/>
      </w:pPr>
      <w:r>
        <w:t xml:space="preserve">Aspire Leadership (2012). </w:t>
      </w:r>
      <w:r>
        <w:rPr>
          <w:i/>
          <w:iCs/>
        </w:rPr>
        <w:t>Best Equality, Diversity &amp; Inclusion (EDI) Training Courses | Aspire Leadership, London, UK | A One (1) Day CPD Accredited EDI Training Course UK</w:t>
      </w:r>
      <w:r>
        <w:t>. [online] Aspire Leadership. Available at: https://www.aspire-leadership.co.uk/leadership-skills/equality-diversity-inclusion-training/?gad_source=1&amp;gclid=EAIaIQobChMIi9SkhPyiiwMVrpFQBh3w5Rn1EAAYAyAAEgKdTfD_BwE [Accessed 1 Feb. 2025].</w:t>
      </w:r>
    </w:p>
    <w:p w14:paraId="063480D6" w14:textId="77777777" w:rsidR="00843BDA" w:rsidRDefault="00843BDA" w:rsidP="00843BDA">
      <w:pPr>
        <w:pStyle w:val="NormalWeb"/>
        <w:spacing w:before="0" w:beforeAutospacing="0" w:after="240" w:afterAutospacing="0" w:line="360" w:lineRule="auto"/>
        <w:jc w:val="both"/>
      </w:pPr>
      <w:r>
        <w:t xml:space="preserve">Battaglia, S. (2024). </w:t>
      </w:r>
      <w:r>
        <w:rPr>
          <w:i/>
          <w:iCs/>
        </w:rPr>
        <w:t>Diversity in hospitality: how cultural inclusivity defines the industry</w:t>
      </w:r>
      <w:r>
        <w:t>. [online] Glion. Available at: https://www.glion.edu/magazine/diversity-in-hospitality-how-cultural-inclusivity-defines-the-industry/ [Accessed 27 Jan. 2025].</w:t>
      </w:r>
    </w:p>
    <w:p w14:paraId="273F4D9D" w14:textId="77777777" w:rsidR="00843BDA" w:rsidRDefault="00843BDA" w:rsidP="00843BDA">
      <w:pPr>
        <w:pStyle w:val="NormalWeb"/>
        <w:spacing w:before="0" w:beforeAutospacing="0" w:after="240" w:afterAutospacing="0" w:line="360" w:lineRule="auto"/>
        <w:jc w:val="both"/>
      </w:pPr>
      <w:r>
        <w:t xml:space="preserve">Canva. (2021). </w:t>
      </w:r>
      <w:r>
        <w:rPr>
          <w:i/>
          <w:iCs/>
        </w:rPr>
        <w:t>How to generate a QR code</w:t>
      </w:r>
      <w:r>
        <w:t>. [online] Available at: https://www.canva.com/qr-code-generator/ [Accessed 27 Jan. 2025].</w:t>
      </w:r>
    </w:p>
    <w:p w14:paraId="42913888" w14:textId="77777777" w:rsidR="00843BDA" w:rsidRDefault="00843BDA" w:rsidP="00843BDA">
      <w:pPr>
        <w:pStyle w:val="NormalWeb"/>
        <w:spacing w:before="0" w:beforeAutospacing="0" w:after="240" w:afterAutospacing="0" w:line="360" w:lineRule="auto"/>
        <w:jc w:val="both"/>
      </w:pPr>
      <w:r>
        <w:t xml:space="preserve">Global Diversity Practice. (2019). </w:t>
      </w:r>
      <w:r>
        <w:rPr>
          <w:i/>
          <w:iCs/>
        </w:rPr>
        <w:t>About Us</w:t>
      </w:r>
      <w:r>
        <w:t>. [online] Available at: https://globaldiversitypractice.com/about-us/ [Accessed 28 Jan. 2025].</w:t>
      </w:r>
    </w:p>
    <w:p w14:paraId="58329198" w14:textId="77777777" w:rsidR="00843BDA" w:rsidRDefault="00843BDA" w:rsidP="00843BDA">
      <w:pPr>
        <w:pStyle w:val="NormalWeb"/>
        <w:spacing w:before="0" w:beforeAutospacing="0" w:after="240" w:afterAutospacing="0" w:line="360" w:lineRule="auto"/>
        <w:jc w:val="both"/>
      </w:pPr>
      <w:proofErr w:type="spellStart"/>
      <w:r>
        <w:t>Grobelna</w:t>
      </w:r>
      <w:proofErr w:type="spellEnd"/>
      <w:r>
        <w:t xml:space="preserve">, A. (2015). Intercultural Challenges Facing the Hospitality Industry. Implications for Education and Hospitality Management. </w:t>
      </w:r>
      <w:r>
        <w:rPr>
          <w:i/>
          <w:iCs/>
        </w:rPr>
        <w:t>Journal of Intercultural Management</w:t>
      </w:r>
      <w:r>
        <w:t xml:space="preserve">, [online] 7(3), pp.101–117. </w:t>
      </w:r>
      <w:proofErr w:type="spellStart"/>
      <w:r>
        <w:t>doi:https</w:t>
      </w:r>
      <w:proofErr w:type="spellEnd"/>
      <w:r>
        <w:t>://doi.org/10.1515/joim-2015-0023.</w:t>
      </w:r>
    </w:p>
    <w:p w14:paraId="27086C68" w14:textId="77777777" w:rsidR="00843BDA" w:rsidRDefault="00843BDA" w:rsidP="00843BDA">
      <w:pPr>
        <w:pStyle w:val="NormalWeb"/>
        <w:spacing w:before="0" w:beforeAutospacing="0" w:after="240" w:afterAutospacing="0" w:line="360" w:lineRule="auto"/>
        <w:jc w:val="both"/>
      </w:pPr>
      <w:r>
        <w:t xml:space="preserve">Hirespace.com. (2025a). </w:t>
      </w:r>
      <w:r>
        <w:rPr>
          <w:i/>
          <w:iCs/>
        </w:rPr>
        <w:t>DoubleTree by Hilton London Angel Kings Cross</w:t>
      </w:r>
      <w:r>
        <w:t>. [online] Available at: https://hirespace.com/Spaces/London/178123/DoubleTree-By-Hilton-London-Angel-Kings-Cross/Claremont-Suite/Business?position=8 [Accessed 1 Feb. 2025].</w:t>
      </w:r>
    </w:p>
    <w:p w14:paraId="093392BF" w14:textId="77777777" w:rsidR="00843BDA" w:rsidRDefault="00843BDA" w:rsidP="00843BDA">
      <w:pPr>
        <w:pStyle w:val="NormalWeb"/>
        <w:spacing w:before="0" w:beforeAutospacing="0" w:after="240" w:afterAutospacing="0" w:line="360" w:lineRule="auto"/>
        <w:jc w:val="both"/>
      </w:pPr>
      <w:r>
        <w:t xml:space="preserve">Hirespace.com. (2025b). </w:t>
      </w:r>
      <w:r>
        <w:rPr>
          <w:i/>
          <w:iCs/>
        </w:rPr>
        <w:t>London Marriott Park Lane</w:t>
      </w:r>
      <w:r>
        <w:t>. [online] Available at: https://hirespace.com/Spaces/London/135348/London-Marriott-Park-Lane/Oxford-Suite/Business?position=10 [Accessed 1 Feb. 2025].</w:t>
      </w:r>
    </w:p>
    <w:p w14:paraId="1A916F5F" w14:textId="77777777" w:rsidR="00843BDA" w:rsidRDefault="00843BDA" w:rsidP="00843BDA">
      <w:pPr>
        <w:pStyle w:val="NormalWeb"/>
        <w:spacing w:before="0" w:beforeAutospacing="0" w:after="240" w:afterAutospacing="0" w:line="360" w:lineRule="auto"/>
        <w:jc w:val="both"/>
      </w:pPr>
      <w:r>
        <w:lastRenderedPageBreak/>
        <w:t xml:space="preserve">Hou, T., Fu, S., Cao, Y., Zheng, X. and Yu, J. (Jordan) (2022). Construing </w:t>
      </w:r>
      <w:proofErr w:type="spellStart"/>
      <w:r>
        <w:t>travelers’</w:t>
      </w:r>
      <w:proofErr w:type="spellEnd"/>
      <w:r>
        <w:t xml:space="preserve"> choice on peer-to-peer accommodation-sharing platform: an investigation into cultural identity and accommodation type. </w:t>
      </w:r>
      <w:r>
        <w:rPr>
          <w:i/>
          <w:iCs/>
        </w:rPr>
        <w:t>Journal of Electronic Business &amp; Digital Economics</w:t>
      </w:r>
      <w:r>
        <w:t xml:space="preserve">. </w:t>
      </w:r>
      <w:proofErr w:type="spellStart"/>
      <w:r>
        <w:t>doi:https</w:t>
      </w:r>
      <w:proofErr w:type="spellEnd"/>
      <w:r>
        <w:t>://doi.org/10.1108/jebde-09-2022-0027.</w:t>
      </w:r>
    </w:p>
    <w:p w14:paraId="586A5C03" w14:textId="77777777" w:rsidR="00843BDA" w:rsidRDefault="00843BDA" w:rsidP="00843BDA">
      <w:pPr>
        <w:pStyle w:val="NormalWeb"/>
        <w:spacing w:before="0" w:beforeAutospacing="0" w:after="240" w:afterAutospacing="0" w:line="360" w:lineRule="auto"/>
        <w:jc w:val="both"/>
      </w:pPr>
      <w:r>
        <w:t xml:space="preserve">Hsiao, A., Ma, E., Manfreda, A., Baker, M. and Xu, J. (2023). A social exchange perspective on boosting customer loyalty through culturally competent servers. </w:t>
      </w:r>
      <w:r>
        <w:rPr>
          <w:i/>
          <w:iCs/>
        </w:rPr>
        <w:t>Journal of Hospitality Marketing &amp; Management</w:t>
      </w:r>
      <w:r>
        <w:t xml:space="preserve">, [online] 32(4), pp.1–23. </w:t>
      </w:r>
      <w:proofErr w:type="spellStart"/>
      <w:r>
        <w:t>doi:https</w:t>
      </w:r>
      <w:proofErr w:type="spellEnd"/>
      <w:r>
        <w:t>://doi.org/10.1080/19368623.2023.2184439.</w:t>
      </w:r>
    </w:p>
    <w:p w14:paraId="0358CA64" w14:textId="77777777" w:rsidR="00843BDA" w:rsidRDefault="00843BDA" w:rsidP="00843BDA">
      <w:pPr>
        <w:pStyle w:val="NormalWeb"/>
        <w:spacing w:before="0" w:beforeAutospacing="0" w:after="240" w:afterAutospacing="0" w:line="360" w:lineRule="auto"/>
        <w:jc w:val="both"/>
      </w:pPr>
      <w:r>
        <w:t xml:space="preserve">Indeed.com. (2025). </w:t>
      </w:r>
      <w:r>
        <w:rPr>
          <w:i/>
          <w:iCs/>
        </w:rPr>
        <w:t>Senior event coordinator salary in London</w:t>
      </w:r>
      <w:r>
        <w:t>. [online] Available at: https://uk.indeed.com/career/senior-event-coordinator/salaries/London [Accessed 29 Jan. 2025].</w:t>
      </w:r>
    </w:p>
    <w:p w14:paraId="00591601" w14:textId="77777777" w:rsidR="00843BDA" w:rsidRDefault="00843BDA" w:rsidP="00843BDA">
      <w:pPr>
        <w:pStyle w:val="NormalWeb"/>
        <w:spacing w:before="0" w:beforeAutospacing="0" w:after="240" w:afterAutospacing="0" w:line="360" w:lineRule="auto"/>
        <w:jc w:val="both"/>
      </w:pPr>
      <w:r>
        <w:t xml:space="preserve">Kenesei, Z. and Stier, Z. (2016). Managing communication and cultural barriers in intercultural service encounters. </w:t>
      </w:r>
      <w:r>
        <w:rPr>
          <w:i/>
          <w:iCs/>
        </w:rPr>
        <w:t>Journal of Vacation Marketing</w:t>
      </w:r>
      <w:r>
        <w:t xml:space="preserve">, [online] 23(4), pp.307–321. </w:t>
      </w:r>
      <w:proofErr w:type="spellStart"/>
      <w:r>
        <w:t>doi:https</w:t>
      </w:r>
      <w:proofErr w:type="spellEnd"/>
      <w:r>
        <w:t>://doi.org/10.1177/1356766716676299.</w:t>
      </w:r>
    </w:p>
    <w:p w14:paraId="74ADD643" w14:textId="77777777" w:rsidR="00843BDA" w:rsidRDefault="00843BDA" w:rsidP="00843BDA">
      <w:pPr>
        <w:pStyle w:val="NormalWeb"/>
        <w:spacing w:before="0" w:beforeAutospacing="0" w:after="240" w:afterAutospacing="0" w:line="360" w:lineRule="auto"/>
        <w:jc w:val="both"/>
      </w:pPr>
      <w:r>
        <w:t xml:space="preserve">Mariani, M. and </w:t>
      </w:r>
      <w:proofErr w:type="spellStart"/>
      <w:r>
        <w:t>Predvoditeleva</w:t>
      </w:r>
      <w:proofErr w:type="spellEnd"/>
      <w:r>
        <w:t xml:space="preserve">, M. (2019). How do online reviewers’ cultural traits and perceived experience influence hotel online ratings? </w:t>
      </w:r>
      <w:r>
        <w:rPr>
          <w:i/>
          <w:iCs/>
        </w:rPr>
        <w:t>International Journal of Contemporary Hospitality Management</w:t>
      </w:r>
      <w:r>
        <w:t xml:space="preserve">, [online] 31(12), pp.4543–4573. </w:t>
      </w:r>
      <w:proofErr w:type="spellStart"/>
      <w:r>
        <w:t>doi:https</w:t>
      </w:r>
      <w:proofErr w:type="spellEnd"/>
      <w:r>
        <w:t>://doi.org/10.1108/ijchm-11-2018-0927.</w:t>
      </w:r>
    </w:p>
    <w:p w14:paraId="4C01C77F" w14:textId="77777777" w:rsidR="00843BDA" w:rsidRDefault="00843BDA" w:rsidP="00843BDA">
      <w:pPr>
        <w:pStyle w:val="NormalWeb"/>
        <w:spacing w:before="0" w:beforeAutospacing="0" w:after="240" w:afterAutospacing="0" w:line="360" w:lineRule="auto"/>
        <w:jc w:val="both"/>
      </w:pPr>
      <w:r>
        <w:t xml:space="preserve">Nazarian, A., </w:t>
      </w:r>
      <w:proofErr w:type="spellStart"/>
      <w:r>
        <w:t>Shabankareh</w:t>
      </w:r>
      <w:proofErr w:type="spellEnd"/>
      <w:r>
        <w:t xml:space="preserve">, M., </w:t>
      </w:r>
      <w:proofErr w:type="spellStart"/>
      <w:r>
        <w:t>Ranjbaran</w:t>
      </w:r>
      <w:proofErr w:type="spellEnd"/>
      <w:r>
        <w:t xml:space="preserve">, A., </w:t>
      </w:r>
      <w:proofErr w:type="spellStart"/>
      <w:r>
        <w:t>Sadeghilar</w:t>
      </w:r>
      <w:proofErr w:type="spellEnd"/>
      <w:r>
        <w:t xml:space="preserve">, N. and Atkinson, P. (2023). Determinants of Intention to Revisit in Hospitality Industry: A Cross-Cultural Study Based on Globe Project. </w:t>
      </w:r>
      <w:r>
        <w:rPr>
          <w:i/>
          <w:iCs/>
        </w:rPr>
        <w:t>Journal of International Consumer Marketing</w:t>
      </w:r>
      <w:r>
        <w:t xml:space="preserve">, [online] 36(1), pp.1–18. </w:t>
      </w:r>
      <w:proofErr w:type="spellStart"/>
      <w:r>
        <w:t>doi:https</w:t>
      </w:r>
      <w:proofErr w:type="spellEnd"/>
      <w:r>
        <w:t>://doi.org/10.1080/08961530.2023.2192537.</w:t>
      </w:r>
    </w:p>
    <w:p w14:paraId="7B4F1E70" w14:textId="77777777" w:rsidR="00843BDA" w:rsidRDefault="00843BDA" w:rsidP="00843BDA">
      <w:pPr>
        <w:pStyle w:val="NormalWeb"/>
        <w:spacing w:before="0" w:beforeAutospacing="0" w:after="240" w:afterAutospacing="0" w:line="360" w:lineRule="auto"/>
        <w:jc w:val="both"/>
      </w:pPr>
      <w:r>
        <w:t xml:space="preserve">Raghav (2024). </w:t>
      </w:r>
      <w:r>
        <w:rPr>
          <w:i/>
          <w:iCs/>
        </w:rPr>
        <w:t>The Nuances Of Cultural Sensitivity In Event Planning</w:t>
      </w:r>
      <w:r>
        <w:t>. [online] Premier Staff. Available at: https://premierstaff.com/blog/cultural-sensitivity-in-event-planning/ [Accessed 27 Jan. 2025].</w:t>
      </w:r>
    </w:p>
    <w:p w14:paraId="254F9D95" w14:textId="77777777" w:rsidR="00843BDA" w:rsidRDefault="00843BDA" w:rsidP="00843BDA">
      <w:pPr>
        <w:pStyle w:val="NormalWeb"/>
        <w:spacing w:before="0" w:beforeAutospacing="0" w:after="240" w:afterAutospacing="0" w:line="360" w:lineRule="auto"/>
        <w:jc w:val="both"/>
      </w:pPr>
      <w:r>
        <w:t xml:space="preserve">Road Genius (2023). </w:t>
      </w:r>
      <w:r>
        <w:rPr>
          <w:i/>
          <w:iCs/>
        </w:rPr>
        <w:t>London Tourism Statistics - How Many Tourists Visit? (2023)</w:t>
      </w:r>
      <w:r>
        <w:t>. [online] Road Genius. Available at: https://roadgenius.com/statistics/tourism/uk/london/ [Accessed 26 Jan. 2025].</w:t>
      </w:r>
    </w:p>
    <w:p w14:paraId="7A5D305F" w14:textId="77777777" w:rsidR="00843BDA" w:rsidRDefault="00843BDA" w:rsidP="00843BDA">
      <w:pPr>
        <w:pStyle w:val="NormalWeb"/>
        <w:spacing w:before="0" w:beforeAutospacing="0" w:after="240" w:afterAutospacing="0" w:line="360" w:lineRule="auto"/>
        <w:jc w:val="both"/>
      </w:pPr>
      <w:proofErr w:type="spellStart"/>
      <w:r>
        <w:lastRenderedPageBreak/>
        <w:t>Sizoo</w:t>
      </w:r>
      <w:proofErr w:type="spellEnd"/>
      <w:r>
        <w:t xml:space="preserve">, S., </w:t>
      </w:r>
      <w:proofErr w:type="spellStart"/>
      <w:r>
        <w:t>Iskat</w:t>
      </w:r>
      <w:proofErr w:type="spellEnd"/>
      <w:r>
        <w:t xml:space="preserve">, W., Plank, R. and </w:t>
      </w:r>
      <w:proofErr w:type="spellStart"/>
      <w:r>
        <w:t>Serrie</w:t>
      </w:r>
      <w:proofErr w:type="spellEnd"/>
      <w:r>
        <w:t xml:space="preserve">, H. (2004). Cross-Cultural Service Encounters in the Hospitality Industry and the Effect of Intercultural Sensitivity on Employee Performance. </w:t>
      </w:r>
      <w:r>
        <w:rPr>
          <w:i/>
          <w:iCs/>
        </w:rPr>
        <w:t>International Journal of Hospitality &amp; Tourism Administration</w:t>
      </w:r>
      <w:r>
        <w:t xml:space="preserve">, 4(2), pp.61–77. </w:t>
      </w:r>
      <w:proofErr w:type="spellStart"/>
      <w:r>
        <w:t>doi:https</w:t>
      </w:r>
      <w:proofErr w:type="spellEnd"/>
      <w:r>
        <w:t>://doi.org/10.1300/j149v04n02_04.</w:t>
      </w:r>
    </w:p>
    <w:p w14:paraId="6415A525" w14:textId="77777777" w:rsidR="00843BDA" w:rsidRDefault="00843BDA" w:rsidP="00843BDA">
      <w:pPr>
        <w:pStyle w:val="NormalWeb"/>
        <w:spacing w:before="0" w:beforeAutospacing="0" w:after="240" w:afterAutospacing="0" w:line="360" w:lineRule="auto"/>
        <w:jc w:val="both"/>
      </w:pPr>
      <w:proofErr w:type="spellStart"/>
      <w:r>
        <w:t>Synergita</w:t>
      </w:r>
      <w:proofErr w:type="spellEnd"/>
      <w:r>
        <w:t xml:space="preserve"> (2023). </w:t>
      </w:r>
      <w:r>
        <w:rPr>
          <w:i/>
          <w:iCs/>
        </w:rPr>
        <w:t>Cultural Sensitivity Training: The Bridge Between Employee Development and Inclusive Productivity</w:t>
      </w:r>
      <w:r>
        <w:t>. [online] Blogs | Resources. Available at: https://www.synergita.com/blog/okr-management-software/cultural-sensitivity-training/ [Accessed 27 Jan. 2025].</w:t>
      </w:r>
    </w:p>
    <w:p w14:paraId="2D6D675E" w14:textId="77777777" w:rsidR="00843BDA" w:rsidRDefault="00843BDA" w:rsidP="00843BDA">
      <w:pPr>
        <w:pStyle w:val="NormalWeb"/>
        <w:spacing w:before="0" w:beforeAutospacing="0" w:after="240" w:afterAutospacing="0" w:line="360" w:lineRule="auto"/>
        <w:jc w:val="both"/>
      </w:pPr>
      <w:r>
        <w:t xml:space="preserve">Teimouri, H., Chegini, M.G., Jenab, K., Khoury, S. and </w:t>
      </w:r>
      <w:proofErr w:type="spellStart"/>
      <w:r>
        <w:t>LaFevor</w:t>
      </w:r>
      <w:proofErr w:type="spellEnd"/>
      <w:r>
        <w:t xml:space="preserve">, K. (2016). Study of the relationship between employee engagement and organisational effectiveness. </w:t>
      </w:r>
      <w:r>
        <w:rPr>
          <w:i/>
          <w:iCs/>
        </w:rPr>
        <w:t>International Journal of Business Excellence</w:t>
      </w:r>
      <w:r>
        <w:t xml:space="preserve">, 10(1), p.37. </w:t>
      </w:r>
      <w:proofErr w:type="spellStart"/>
      <w:r>
        <w:t>doi:https</w:t>
      </w:r>
      <w:proofErr w:type="spellEnd"/>
      <w:r>
        <w:t>://doi.org/10.1504/ijbex.2016.077617.</w:t>
      </w:r>
    </w:p>
    <w:p w14:paraId="59233C57" w14:textId="77777777" w:rsidR="00843BDA" w:rsidRDefault="00843BDA" w:rsidP="00843BDA">
      <w:pPr>
        <w:pStyle w:val="NormalWeb"/>
        <w:spacing w:before="0" w:beforeAutospacing="0" w:after="240" w:afterAutospacing="0" w:line="360" w:lineRule="auto"/>
        <w:jc w:val="both"/>
      </w:pPr>
      <w:r>
        <w:t xml:space="preserve">The Diversity Trust. (2025). </w:t>
      </w:r>
      <w:r>
        <w:rPr>
          <w:i/>
          <w:iCs/>
        </w:rPr>
        <w:t>Clients &amp; Partners Archive - The Diversity Trust</w:t>
      </w:r>
      <w:r>
        <w:t>. [online] Available at: https://www.diversitytrust.org.uk/clients-partners/ [Accessed 29 Jan. 2025].</w:t>
      </w:r>
    </w:p>
    <w:p w14:paraId="23A37FB4" w14:textId="77777777" w:rsidR="00843BDA" w:rsidRPr="00843BDA" w:rsidRDefault="00843BDA" w:rsidP="00843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43BDA" w:rsidRPr="00843B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BDA"/>
    <w:rsid w:val="003702A7"/>
    <w:rsid w:val="003E3CCE"/>
    <w:rsid w:val="00843BDA"/>
    <w:rsid w:val="009127F5"/>
    <w:rsid w:val="00FF6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B5732"/>
  <w15:chartTrackingRefBased/>
  <w15:docId w15:val="{12FEC80F-C268-46FA-948E-ABBE09AE5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3B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3B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3B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3B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3B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3B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3B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3B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3B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3B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3B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3B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3B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3B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3B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3B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3B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3B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3B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3B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3B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3B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3B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3B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3B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3B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3B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3B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3BD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43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87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8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svg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5" Type="http://schemas.openxmlformats.org/officeDocument/2006/relationships/image" Target="media/image22.sv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24" Type="http://schemas.openxmlformats.org/officeDocument/2006/relationships/image" Target="media/image21.png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23" Type="http://schemas.openxmlformats.org/officeDocument/2006/relationships/image" Target="media/image20.svg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805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Rujina Khatun</dc:creator>
  <cp:keywords/>
  <dc:description/>
  <cp:lastModifiedBy>Rujina Khatun</cp:lastModifiedBy>
  <cp:revision>1</cp:revision>
  <dcterms:created xsi:type="dcterms:W3CDTF">2025-02-07T22:59:00Z</dcterms:created>
  <dcterms:modified xsi:type="dcterms:W3CDTF">2025-02-07T23:11:00Z</dcterms:modified>
</cp:coreProperties>
</file>