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54587">
      <w:pPr>
        <w:tabs>
          <w:tab w:val="left" w:pos="5103"/>
        </w:tabs>
        <w:jc w:val="center"/>
        <w:rPr>
          <w:rFonts w:ascii="Arial" w:hAnsi="Arial" w:cs="Arial"/>
          <w:b/>
          <w:bCs/>
          <w:sz w:val="24"/>
          <w:szCs w:val="24"/>
        </w:rPr>
      </w:pPr>
    </w:p>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ind w:right="282"/>
        <w:jc w:val="center"/>
        <w:rPr>
          <w:rFonts w:ascii="Arial" w:hAnsi="Arial" w:cs="Arial"/>
          <w:b/>
          <w:bCs/>
        </w:rPr>
      </w:pPr>
    </w:p>
    <w:p w14:paraId="32DE7E8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pPr>
        <w:tabs>
          <w:tab w:val="left" w:pos="5103"/>
        </w:tabs>
        <w:ind w:right="282"/>
        <w:jc w:val="center"/>
        <w:rPr>
          <w:rFonts w:ascii="Arial" w:hAnsi="Arial" w:cs="Arial"/>
          <w:b/>
          <w:bCs/>
          <w:sz w:val="16"/>
          <w:szCs w:val="16"/>
        </w:rPr>
      </w:pPr>
    </w:p>
    <w:p w14:paraId="2DDAC2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ind w:right="282"/>
        <w:jc w:val="both"/>
        <w:rPr>
          <w:rFonts w:ascii="Arial" w:hAnsi="Arial" w:cs="Arial"/>
          <w:sz w:val="22"/>
          <w:szCs w:val="22"/>
        </w:rPr>
      </w:pPr>
    </w:p>
    <w:p w14:paraId="77B8D4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ind w:right="282"/>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vAlign w:val="center"/>
          </w:tcPr>
          <w:p w14:paraId="7B7CF528">
            <w:pPr>
              <w:ind w:firstLine="110" w:firstLineChars="50"/>
              <w:rPr>
                <w:rFonts w:ascii="Arial" w:hAnsi="Arial" w:cs="Arial"/>
                <w:sz w:val="22"/>
                <w:szCs w:val="22"/>
                <w:lang w:val="en-US"/>
              </w:rPr>
            </w:pPr>
            <w:r>
              <w:rPr>
                <w:rFonts w:ascii="Arial" w:hAnsi="Arial" w:cs="Arial"/>
                <w:sz w:val="22"/>
                <w:szCs w:val="22"/>
                <w:lang w:val="en-US"/>
              </w:rPr>
              <w:t xml:space="preserve">Radadiya Rajnik Pravinbhai </w:t>
            </w: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Student Number:</w:t>
            </w:r>
          </w:p>
        </w:tc>
        <w:tc>
          <w:tcPr>
            <w:tcW w:w="6636" w:type="dxa"/>
            <w:vAlign w:val="center"/>
          </w:tcPr>
          <w:p w14:paraId="6D16D89E">
            <w:pPr>
              <w:rPr>
                <w:rFonts w:ascii="Arial" w:hAnsi="Arial" w:cs="Arial"/>
                <w:sz w:val="22"/>
                <w:szCs w:val="22"/>
                <w:lang w:val="en-US"/>
              </w:rPr>
            </w:pPr>
            <w:r>
              <w:rPr>
                <w:rFonts w:ascii="Arial" w:hAnsi="Arial" w:cs="Arial"/>
                <w:sz w:val="22"/>
                <w:szCs w:val="22"/>
                <w:lang w:val="en-US"/>
              </w:rPr>
              <w:t>2433479</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Email address:</w:t>
            </w:r>
          </w:p>
        </w:tc>
        <w:tc>
          <w:tcPr>
            <w:tcW w:w="6636" w:type="dxa"/>
            <w:vAlign w:val="center"/>
          </w:tcPr>
          <w:p w14:paraId="60B34DE8">
            <w:pPr>
              <w:rPr>
                <w:rFonts w:ascii="Arial" w:hAnsi="Arial" w:cs="Arial"/>
                <w:sz w:val="22"/>
                <w:szCs w:val="22"/>
                <w:lang w:val="en-US"/>
              </w:rPr>
            </w:pPr>
            <w:r>
              <w:fldChar w:fldCharType="begin"/>
            </w:r>
            <w:r>
              <w:instrText xml:space="preserve"> HYPERLINK "mailto:2433479@student.uwtsd.ac.uk" </w:instrText>
            </w:r>
            <w:r>
              <w:fldChar w:fldCharType="separate"/>
            </w:r>
            <w:r>
              <w:rPr>
                <w:rStyle w:val="14"/>
                <w:rFonts w:ascii="Arial" w:hAnsi="Arial" w:cs="Arial"/>
                <w:sz w:val="22"/>
                <w:szCs w:val="22"/>
                <w:lang w:val="en-US"/>
              </w:rPr>
              <w:t>2433479@student.uwtsd.ac.uk</w:t>
            </w:r>
            <w:r>
              <w:rPr>
                <w:rStyle w:val="14"/>
                <w:rFonts w:ascii="Arial" w:hAnsi="Arial" w:cs="Arial"/>
                <w:sz w:val="22"/>
                <w:szCs w:val="22"/>
                <w:lang w:val="en-US"/>
              </w:rPr>
              <w:fldChar w:fldCharType="end"/>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08A9705E">
            <w:pPr>
              <w:ind w:firstLine="120" w:firstLineChars="50"/>
              <w:rPr>
                <w:sz w:val="24"/>
                <w:szCs w:val="24"/>
              </w:rPr>
            </w:pPr>
            <w:r>
              <w:rPr>
                <w:sz w:val="24"/>
                <w:szCs w:val="24"/>
              </w:rPr>
              <w:t>MSc Cybersecurity &amp; Digital Forensics</w:t>
            </w:r>
          </w:p>
          <w:p w14:paraId="4C9D3BF5">
            <w:pPr>
              <w:rPr>
                <w:rFonts w:ascii="Arial" w:hAnsi="Arial" w:cs="Arial"/>
                <w:sz w:val="22"/>
                <w:szCs w:val="22"/>
                <w:lang w:val="en-US"/>
              </w:rPr>
            </w:pP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Supervisor:</w:t>
            </w:r>
          </w:p>
        </w:tc>
        <w:tc>
          <w:tcPr>
            <w:tcW w:w="6636" w:type="dxa"/>
            <w:vAlign w:val="center"/>
          </w:tcPr>
          <w:p w14:paraId="3E5E7D21">
            <w:pPr>
              <w:rPr>
                <w:rFonts w:ascii="Arial" w:hAnsi="Arial" w:cs="Arial"/>
                <w:sz w:val="22"/>
                <w:szCs w:val="22"/>
                <w:lang w:val="en-US"/>
              </w:rPr>
            </w:pPr>
            <w:r>
              <w:rPr>
                <w:rFonts w:ascii="Arial" w:hAnsi="Arial" w:cs="Arial"/>
                <w:sz w:val="22"/>
                <w:szCs w:val="22"/>
                <w:lang w:val="en-US"/>
              </w:rPr>
              <w:t>Renuga Jayakumar</w:t>
            </w:r>
          </w:p>
        </w:tc>
      </w:tr>
    </w:tbl>
    <w:p w14:paraId="7CD05C29">
      <w:pPr>
        <w:autoSpaceDE w:val="0"/>
        <w:autoSpaceDN w:val="0"/>
        <w:adjustRightInd w:val="0"/>
        <w:spacing w:after="240"/>
        <w:jc w:val="both"/>
        <w:rPr>
          <w:rFonts w:ascii="Arial" w:hAnsi="Arial" w:cs="Arial"/>
          <w:b/>
          <w:sz w:val="22"/>
          <w:szCs w:val="22"/>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14:paraId="1F73DACC">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b/>
                <w:bCs/>
                <w:iCs/>
                <w:sz w:val="22"/>
                <w:szCs w:val="22"/>
              </w:rPr>
            </w:pPr>
          </w:p>
        </w:tc>
        <w:tc>
          <w:tcPr>
            <w:tcW w:w="1134" w:type="dxa"/>
            <w:shd w:val="clear" w:color="auto" w:fill="BEBEBE"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14:paraId="1CE5D85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2BA3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2717E581">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rPr>
                <w:rFonts w:ascii="Arial" w:hAnsi="Arial" w:cs="Arial"/>
                <w:b/>
                <w:bCs/>
                <w:sz w:val="22"/>
                <w:szCs w:val="22"/>
              </w:rPr>
            </w:sdtEndPr>
            <w:sdtContent>
              <w:p w14:paraId="6B6F65D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14:paraId="32E63A21">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5"/>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31"/>
        <w:gridCol w:w="3309"/>
        <w:gridCol w:w="1715"/>
        <w:gridCol w:w="3434"/>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14:paraId="44A8F7CA">
            <w:pPr>
              <w:rPr>
                <w:rFonts w:ascii="Arial" w:hAnsi="Arial" w:cs="Arial"/>
                <w:sz w:val="22"/>
                <w:szCs w:val="22"/>
              </w:rPr>
            </w:pPr>
            <w:r>
              <w:rPr>
                <w:rFonts w:ascii="Arial" w:hAnsi="Arial" w:cs="Arial"/>
                <w:sz w:val="22"/>
                <w:szCs w:val="22"/>
              </w:rPr>
              <w:t>Evaluating Forensic Readiness in AWS IaaS: Challenges and Solutions in Cloud-Based Digital Forensics</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5CD9365A">
            <w:pPr>
              <w:rPr>
                <w:rFonts w:ascii="Arial" w:hAnsi="Arial" w:cs="Arial"/>
                <w:sz w:val="22"/>
                <w:szCs w:val="22"/>
                <w:lang w:val="en-US"/>
              </w:rPr>
            </w:pPr>
            <w:r>
              <w:rPr>
                <w:rFonts w:ascii="Arial" w:hAnsi="Arial" w:cs="Arial"/>
                <w:sz w:val="22"/>
                <w:szCs w:val="22"/>
                <w:lang w:val="en-US"/>
              </w:rPr>
              <w:t>09-02-2026</w:t>
            </w:r>
          </w:p>
        </w:tc>
        <w:tc>
          <w:tcPr>
            <w:tcW w:w="81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6D32D729">
            <w:pPr>
              <w:rPr>
                <w:rFonts w:ascii="Arial" w:hAnsi="Arial" w:cs="Arial"/>
                <w:sz w:val="22"/>
                <w:szCs w:val="22"/>
                <w:lang w:val="en-US"/>
              </w:rPr>
            </w:pPr>
            <w:r>
              <w:rPr>
                <w:rFonts w:ascii="Arial" w:hAnsi="Arial" w:cs="Arial"/>
                <w:sz w:val="22"/>
                <w:szCs w:val="22"/>
                <w:lang w:val="en-US"/>
              </w:rPr>
              <w:t>09-06-2026</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6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pPr>
              <w:pStyle w:val="30"/>
              <w:numPr>
                <w:ilvl w:val="0"/>
                <w:numId w:val="1"/>
              </w:numPr>
              <w:contextualSpacing w:val="0"/>
              <w:rPr>
                <w:rFonts w:ascii="Arial" w:hAnsi="Arial" w:cs="Arial"/>
                <w:i/>
              </w:rPr>
            </w:pPr>
            <w:r>
              <w:rPr>
                <w:rFonts w:ascii="Arial" w:hAnsi="Arial" w:cs="Arial"/>
                <w:i/>
              </w:rPr>
              <w:t>Purpose of Research Activity</w:t>
            </w:r>
          </w:p>
          <w:p w14:paraId="51A7B78C">
            <w:pPr>
              <w:pStyle w:val="30"/>
              <w:numPr>
                <w:ilvl w:val="0"/>
                <w:numId w:val="1"/>
              </w:numPr>
              <w:contextualSpacing w:val="0"/>
              <w:rPr>
                <w:rFonts w:ascii="Arial" w:hAnsi="Arial" w:cs="Arial"/>
                <w:i/>
              </w:rPr>
            </w:pPr>
            <w:r>
              <w:rPr>
                <w:rFonts w:ascii="Arial" w:hAnsi="Arial" w:cs="Arial"/>
                <w:i/>
              </w:rPr>
              <w:t>Proposed Research Question</w:t>
            </w:r>
          </w:p>
          <w:p w14:paraId="2A394C41">
            <w:pPr>
              <w:pStyle w:val="30"/>
              <w:numPr>
                <w:ilvl w:val="0"/>
                <w:numId w:val="1"/>
              </w:numPr>
              <w:contextualSpacing w:val="0"/>
              <w:rPr>
                <w:rFonts w:ascii="Arial" w:hAnsi="Arial" w:cs="Arial"/>
                <w:i/>
              </w:rPr>
            </w:pPr>
            <w:r>
              <w:rPr>
                <w:rFonts w:ascii="Arial" w:hAnsi="Arial" w:cs="Arial"/>
                <w:i/>
              </w:rPr>
              <w:t>Aims of Research Activity</w:t>
            </w:r>
          </w:p>
          <w:p w14:paraId="732F1DA5">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pPr>
              <w:pStyle w:val="30"/>
              <w:numPr>
                <w:ilvl w:val="0"/>
                <w:numId w:val="1"/>
              </w:numPr>
              <w:contextualSpacing w:val="0"/>
              <w:rPr>
                <w:rFonts w:ascii="Arial" w:hAnsi="Arial" w:cs="Arial"/>
              </w:rPr>
            </w:pPr>
            <w:r>
              <w:rPr>
                <w:rFonts w:ascii="Arial" w:hAnsi="Arial" w:cs="Arial"/>
                <w:i/>
              </w:rPr>
              <w:t xml:space="preserve">How it addresses an area of importance. </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pPr>
              <w:rPr>
                <w:rFonts w:ascii="Arial" w:hAnsi="Arial" w:cs="Arial"/>
              </w:rPr>
            </w:pPr>
          </w:p>
          <w:p w14:paraId="4970A84F">
            <w:pPr>
              <w:numPr>
                <w:ilvl w:val="0"/>
                <w:numId w:val="2"/>
              </w:numPr>
              <w:rPr>
                <w:rFonts w:ascii="Arial" w:hAnsi="Arial" w:cs="Arial"/>
              </w:rPr>
            </w:pPr>
            <w:r>
              <w:rPr>
                <w:rFonts w:ascii="Arial" w:hAnsi="Arial" w:cs="Arial"/>
              </w:rPr>
              <w:t>The Amazon Web Services (AWS) is an example of cloud computing platforms that organisations utilise to store infrastructure, applications, and data. As much as they offer scalability and flexibility, they present new challenges to the digital forensic investigations. Multi-tenancy, distributed infrastructure, limited physical access and reliance on cloud service providers are some of the factors that make traditional methods of forensics difficult to implement in clouds.</w:t>
            </w:r>
          </w:p>
          <w:p w14:paraId="328FEACB">
            <w:pPr>
              <w:numPr>
                <w:ilvl w:val="0"/>
                <w:numId w:val="2"/>
              </w:numPr>
              <w:rPr>
                <w:rFonts w:ascii="Arial" w:hAnsi="Arial" w:cs="Arial"/>
              </w:rPr>
            </w:pPr>
            <w:r>
              <w:rPr>
                <w:rFonts w:ascii="Arial" w:hAnsi="Arial" w:cs="Arial"/>
              </w:rPr>
              <w:t>This research aims to measure the idea of forensic preparedness when dealing with AWS Infrastructure as a Service (IaaS) settings. Forensic readiness is the capacity of a system to seamlessly gather, store and inquiry digital proof in case of a security assault or enquiry.</w:t>
            </w:r>
          </w:p>
          <w:p w14:paraId="34725C52">
            <w:pPr>
              <w:numPr>
                <w:ilvl w:val="0"/>
                <w:numId w:val="2"/>
              </w:numPr>
              <w:rPr>
                <w:rFonts w:ascii="Arial" w:hAnsi="Arial" w:cs="Arial"/>
              </w:rPr>
            </w:pPr>
            <w:r>
              <w:rPr>
                <w:rFonts w:ascii="Arial" w:hAnsi="Arial" w:cs="Arial"/>
              </w:rPr>
              <w:t>This study will address the issues involved in conducting forensic analysis under AWS IaaS settings and find some possible solutions that can enhance forensic preparedness. The research will consider available forensic tools, AWS logging mechanisms and cloud security features to know how it is possible to collect and preserve digital evidence.</w:t>
            </w:r>
          </w:p>
          <w:p w14:paraId="5F64A457">
            <w:pPr>
              <w:numPr>
                <w:ilvl w:val="0"/>
                <w:numId w:val="2"/>
              </w:numPr>
              <w:rPr>
                <w:rFonts w:ascii="Arial" w:hAnsi="Arial" w:cs="Arial"/>
              </w:rPr>
            </w:pPr>
            <w:r>
              <w:rPr>
                <w:rFonts w:ascii="Arial" w:hAnsi="Arial" w:cs="Arial"/>
              </w:rPr>
              <w:t>The study will help to enhance digital forensic investigation procedures within the cloud set-ups by examining these issues and providing feasible remedies.</w:t>
            </w: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pPr>
              <w:rPr>
                <w:rFonts w:ascii="Arial" w:hAnsi="Arial" w:cs="Arial"/>
              </w:rPr>
            </w:pPr>
          </w:p>
          <w:p w14:paraId="01C51BE8">
            <w:pPr>
              <w:autoSpaceDE w:val="0"/>
              <w:autoSpaceDN w:val="0"/>
              <w:adjustRightInd w:val="0"/>
              <w:rPr>
                <w:rFonts w:ascii="Arial" w:hAnsi="Arial" w:cs="Arial"/>
                <w:b/>
                <w:bCs/>
                <w:sz w:val="22"/>
                <w:szCs w:val="22"/>
              </w:rPr>
            </w:pPr>
            <w:r>
              <w:rPr>
                <w:rFonts w:ascii="Arial" w:hAnsi="Arial" w:cs="Arial"/>
                <w:b/>
                <w:bCs/>
                <w:sz w:val="22"/>
                <w:szCs w:val="22"/>
              </w:rPr>
              <w:t xml:space="preserve">Main Research Question </w:t>
            </w:r>
          </w:p>
          <w:p w14:paraId="16362178">
            <w:pPr>
              <w:numPr>
                <w:ilvl w:val="0"/>
                <w:numId w:val="2"/>
              </w:numPr>
              <w:autoSpaceDE w:val="0"/>
              <w:autoSpaceDN w:val="0"/>
              <w:adjustRightInd w:val="0"/>
              <w:rPr>
                <w:rFonts w:ascii="Arial" w:hAnsi="Arial" w:cs="Arial"/>
                <w:sz w:val="22"/>
                <w:szCs w:val="22"/>
              </w:rPr>
            </w:pPr>
            <w:r>
              <w:rPr>
                <w:rFonts w:ascii="Arial" w:hAnsi="Arial" w:cs="Arial"/>
                <w:sz w:val="22"/>
                <w:szCs w:val="22"/>
              </w:rPr>
              <w:t>What is the best way to realise forensic preparedness in AWS Infrastructure as a Service (IaaS) environments to facilitate dependable digital forensic investigations?</w:t>
            </w:r>
          </w:p>
          <w:p w14:paraId="0D3EE1DC">
            <w:pPr>
              <w:autoSpaceDE w:val="0"/>
              <w:autoSpaceDN w:val="0"/>
              <w:adjustRightInd w:val="0"/>
              <w:rPr>
                <w:rFonts w:ascii="Arial" w:hAnsi="Arial" w:cs="Arial"/>
                <w:b/>
                <w:bCs/>
                <w:sz w:val="22"/>
                <w:szCs w:val="22"/>
              </w:rPr>
            </w:pPr>
          </w:p>
          <w:p w14:paraId="4483CEA6">
            <w:pPr>
              <w:autoSpaceDE w:val="0"/>
              <w:autoSpaceDN w:val="0"/>
              <w:adjustRightInd w:val="0"/>
              <w:rPr>
                <w:rFonts w:ascii="Arial" w:hAnsi="Arial" w:cs="Arial"/>
                <w:b/>
                <w:bCs/>
                <w:sz w:val="22"/>
                <w:szCs w:val="22"/>
              </w:rPr>
            </w:pPr>
            <w:r>
              <w:rPr>
                <w:rFonts w:ascii="Arial" w:hAnsi="Arial" w:cs="Arial"/>
                <w:b/>
                <w:bCs/>
                <w:sz w:val="22"/>
                <w:szCs w:val="22"/>
              </w:rPr>
              <w:t xml:space="preserve">Sub-questions </w:t>
            </w:r>
          </w:p>
          <w:p w14:paraId="5C354149">
            <w:pPr>
              <w:numPr>
                <w:ilvl w:val="0"/>
                <w:numId w:val="2"/>
              </w:numPr>
              <w:autoSpaceDE w:val="0"/>
              <w:autoSpaceDN w:val="0"/>
              <w:adjustRightInd w:val="0"/>
              <w:rPr>
                <w:rFonts w:ascii="Arial" w:hAnsi="Arial" w:cs="Arial"/>
                <w:sz w:val="22"/>
                <w:szCs w:val="22"/>
              </w:rPr>
            </w:pPr>
            <w:r>
              <w:rPr>
                <w:rFonts w:ascii="Arial" w:hAnsi="Arial" w:cs="Arial"/>
                <w:sz w:val="22"/>
                <w:szCs w:val="22"/>
              </w:rPr>
              <w:t xml:space="preserve">What are the difficulties in digital forensic investigation in AWS IaaS? </w:t>
            </w:r>
          </w:p>
          <w:p w14:paraId="34D214B1">
            <w:pPr>
              <w:numPr>
                <w:ilvl w:val="0"/>
                <w:numId w:val="2"/>
              </w:numPr>
              <w:autoSpaceDE w:val="0"/>
              <w:autoSpaceDN w:val="0"/>
              <w:adjustRightInd w:val="0"/>
              <w:rPr>
                <w:rFonts w:ascii="Arial" w:hAnsi="Arial" w:cs="Arial"/>
                <w:sz w:val="22"/>
                <w:szCs w:val="22"/>
              </w:rPr>
            </w:pPr>
            <w:r>
              <w:rPr>
                <w:rFonts w:ascii="Arial" w:hAnsi="Arial" w:cs="Arial"/>
                <w:sz w:val="22"/>
                <w:szCs w:val="22"/>
              </w:rPr>
              <w:t xml:space="preserve">Which AWS logging tools and services are compatible with forensic data collection? </w:t>
            </w:r>
          </w:p>
          <w:p w14:paraId="76C0468A">
            <w:pPr>
              <w:numPr>
                <w:ilvl w:val="0"/>
                <w:numId w:val="2"/>
              </w:numPr>
              <w:autoSpaceDE w:val="0"/>
              <w:autoSpaceDN w:val="0"/>
              <w:adjustRightInd w:val="0"/>
              <w:rPr>
                <w:rFonts w:ascii="Arial" w:hAnsi="Arial" w:cs="Arial"/>
                <w:b/>
                <w:bCs/>
                <w:sz w:val="22"/>
                <w:szCs w:val="22"/>
              </w:rPr>
            </w:pPr>
            <w:r>
              <w:rPr>
                <w:rFonts w:ascii="Arial" w:hAnsi="Arial" w:cs="Arial"/>
                <w:sz w:val="22"/>
                <w:szCs w:val="22"/>
              </w:rPr>
              <w:t>What can organisations do in order to enhance forensic preparedness of cloud-based infrastructures?</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79288C22">
            <w:pPr>
              <w:rPr>
                <w:rFonts w:ascii="Arial" w:hAnsi="Arial" w:cs="Arial"/>
                <w:color w:val="00B050"/>
              </w:rPr>
            </w:pPr>
          </w:p>
          <w:p w14:paraId="574A3C8C">
            <w:pPr>
              <w:rPr>
                <w:rFonts w:ascii="Arial" w:hAnsi="Arial" w:cs="Arial"/>
              </w:rPr>
            </w:pPr>
            <w:r>
              <w:rPr>
                <w:rFonts w:ascii="Arial" w:hAnsi="Arial" w:cs="Arial"/>
              </w:rPr>
              <w:t>To evaluate the challenges of implementing forensic readiness in AWS IaaS environments and propose solutions to improve the effectiveness of cloud-based digital forensic investigations.</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pPr>
              <w:rPr>
                <w:rFonts w:ascii="Arial" w:hAnsi="Arial" w:cs="Arial"/>
              </w:rPr>
            </w:pPr>
          </w:p>
          <w:p w14:paraId="71226B4E">
            <w:pPr>
              <w:numPr>
                <w:ilvl w:val="0"/>
                <w:numId w:val="2"/>
              </w:numPr>
              <w:rPr>
                <w:rFonts w:ascii="Arial" w:hAnsi="Arial" w:cs="Arial"/>
              </w:rPr>
            </w:pPr>
            <w:r>
              <w:rPr>
                <w:rFonts w:ascii="Arial" w:hAnsi="Arial" w:cs="Arial"/>
              </w:rPr>
              <w:t>To measure the forensic preparedness in AWS IaaS.</w:t>
            </w:r>
          </w:p>
          <w:p w14:paraId="507B76A9">
            <w:pPr>
              <w:numPr>
                <w:ilvl w:val="0"/>
                <w:numId w:val="2"/>
              </w:numPr>
              <w:rPr>
                <w:rFonts w:ascii="Arial" w:hAnsi="Arial" w:cs="Arial"/>
              </w:rPr>
            </w:pPr>
            <w:r>
              <w:rPr>
                <w:rFonts w:ascii="Arial" w:hAnsi="Arial" w:cs="Arial"/>
              </w:rPr>
              <w:t>To research the technical and organisational issues on how to conduct digital forensic investigations within cloud infrastructures.</w:t>
            </w:r>
          </w:p>
          <w:p w14:paraId="2B841DD1">
            <w:pPr>
              <w:numPr>
                <w:ilvl w:val="0"/>
                <w:numId w:val="2"/>
              </w:numPr>
              <w:rPr>
                <w:rFonts w:ascii="Arial" w:hAnsi="Arial" w:cs="Arial"/>
              </w:rPr>
            </w:pPr>
            <w:r>
              <w:rPr>
                <w:rFonts w:ascii="Arial" w:hAnsi="Arial" w:cs="Arial"/>
              </w:rPr>
              <w:t>To decompose AWS tools and logging mechanisms that aid in the forensic evidence collection.</w:t>
            </w:r>
          </w:p>
          <w:p w14:paraId="195CBC88">
            <w:pPr>
              <w:numPr>
                <w:ilvl w:val="0"/>
                <w:numId w:val="2"/>
              </w:numPr>
              <w:rPr>
                <w:rFonts w:ascii="Arial" w:hAnsi="Arial" w:cs="Arial"/>
                <w:sz w:val="22"/>
                <w:szCs w:val="22"/>
              </w:rPr>
            </w:pPr>
            <w:r>
              <w:rPr>
                <w:rFonts w:ascii="Arial" w:hAnsi="Arial" w:cs="Arial"/>
              </w:rPr>
              <w:t>To formulate possible solutions and recommendations to enhance forensic preparedness on clouds.</w:t>
            </w: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shd w:val="clear" w:color="auto" w:fill="F1F1F1" w:themeFill="background1" w:themeFillShade="F2"/>
            <w:vAlign w:val="center"/>
          </w:tcPr>
          <w:p w14:paraId="4F01D510">
            <w:pPr>
              <w:spacing w:before="120" w:after="120"/>
              <w:rPr>
                <w:rFonts w:ascii="Arial" w:hAnsi="Arial" w:cs="Arial"/>
                <w:sz w:val="22"/>
                <w:szCs w:val="22"/>
              </w:rPr>
            </w:pPr>
          </w:p>
        </w:tc>
        <w:tc>
          <w:tcPr>
            <w:tcW w:w="476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data collection methods (maximum 600 words)</w:t>
            </w:r>
          </w:p>
          <w:p w14:paraId="17263DE1">
            <w:pPr>
              <w:numPr>
                <w:ilvl w:val="0"/>
                <w:numId w:val="2"/>
              </w:numPr>
              <w:rPr>
                <w:rFonts w:ascii="Arial" w:hAnsi="Arial" w:cs="Arial"/>
                <w:sz w:val="22"/>
                <w:szCs w:val="22"/>
              </w:rPr>
            </w:pPr>
            <w:r>
              <w:rPr>
                <w:rFonts w:ascii="Arial" w:hAnsi="Arial" w:cs="Arial"/>
                <w:sz w:val="22"/>
                <w:szCs w:val="22"/>
              </w:rPr>
              <w:t>Secondary data collection and technical analysis will be the main sources involved in this research, as opposed to using human participants.</w:t>
            </w:r>
          </w:p>
          <w:p w14:paraId="4102DA1D">
            <w:pPr>
              <w:numPr>
                <w:ilvl w:val="0"/>
                <w:numId w:val="2"/>
              </w:numPr>
              <w:rPr>
                <w:rFonts w:ascii="Arial" w:hAnsi="Arial" w:cs="Arial"/>
                <w:sz w:val="22"/>
                <w:szCs w:val="22"/>
              </w:rPr>
            </w:pPr>
            <w:r>
              <w:rPr>
                <w:rFonts w:ascii="Arial" w:hAnsi="Arial" w:cs="Arial"/>
                <w:sz w:val="22"/>
                <w:szCs w:val="22"/>
              </w:rPr>
              <w:t>Articles, conference proceedings, technical documents, and industry reports published on cloud forensics and forensic preparedness will be evaluated to get an idea of what other scholars have done and the frameworks.</w:t>
            </w:r>
          </w:p>
          <w:p w14:paraId="0D6D4B7F">
            <w:pPr>
              <w:numPr>
                <w:ilvl w:val="0"/>
                <w:numId w:val="2"/>
              </w:numPr>
              <w:rPr>
                <w:rFonts w:ascii="Arial" w:hAnsi="Arial" w:cs="Arial"/>
                <w:sz w:val="22"/>
                <w:szCs w:val="22"/>
              </w:rPr>
            </w:pPr>
            <w:r>
              <w:rPr>
                <w:rFonts w:ascii="Arial" w:hAnsi="Arial" w:cs="Arial"/>
                <w:sz w:val="22"/>
                <w:szCs w:val="22"/>
              </w:rPr>
              <w:t>The official documentation and technical guides of Amazon Web Services will be reviewed to know the possibilities of logging, monitoring, and auditing in the AWS IaaS environment.</w:t>
            </w:r>
          </w:p>
          <w:p w14:paraId="580C33AD">
            <w:pPr>
              <w:numPr>
                <w:ilvl w:val="0"/>
                <w:numId w:val="2"/>
              </w:numPr>
              <w:rPr>
                <w:rFonts w:ascii="Arial" w:hAnsi="Arial" w:cs="Arial"/>
                <w:sz w:val="22"/>
                <w:szCs w:val="22"/>
              </w:rPr>
            </w:pPr>
            <w:r>
              <w:rPr>
                <w:rFonts w:ascii="Arial" w:hAnsi="Arial" w:cs="Arial"/>
                <w:sz w:val="22"/>
                <w:szCs w:val="22"/>
              </w:rPr>
              <w:t>The conceptual analysis of AWS services selected (logging, monitoring, and event tracking mechanisms) will be done in comparison to the forensic readiness in order to comprehend the capabilities of capturing and preserving digital evidence. The study will concentrate on analyzing the possibilities of these technologies and practices to assist the forensic investigations of the cloud environment without referring to the actual engagement of human subjects or gathering any personal information.</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DE47C2C">
            <w:pPr>
              <w:rPr>
                <w:rFonts w:ascii="Arial" w:hAnsi="Arial" w:cs="Arial"/>
                <w:sz w:val="22"/>
                <w:szCs w:val="22"/>
              </w:rPr>
            </w:pPr>
            <w:r>
              <w:rPr>
                <w:rFonts w:ascii="Arial" w:hAnsi="Arial" w:cs="Arial"/>
                <w:sz w:val="22"/>
                <w:szCs w:val="22"/>
              </w:rPr>
              <w:t>7</w:t>
            </w:r>
          </w:p>
        </w:tc>
        <w:tc>
          <w:tcPr>
            <w:tcW w:w="4763" w:type="pct"/>
            <w:gridSpan w:val="4"/>
            <w:vAlign w:val="center"/>
          </w:tcPr>
          <w:p w14:paraId="009C481E">
            <w:pPr>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0687532F">
            <w:pPr>
              <w:rPr>
                <w:rFonts w:ascii="Arial" w:hAnsi="Arial" w:cs="Arial"/>
                <w:sz w:val="22"/>
                <w:szCs w:val="22"/>
              </w:rPr>
            </w:pPr>
          </w:p>
          <w:p w14:paraId="108EF2F7">
            <w:pPr>
              <w:rPr>
                <w:rFonts w:ascii="Arial" w:hAnsi="Arial" w:cs="Arial"/>
                <w:b/>
                <w:sz w:val="22"/>
                <w:szCs w:val="22"/>
              </w:rPr>
            </w:pPr>
            <w:r>
              <w:rPr>
                <w:rFonts w:ascii="Arial" w:hAnsi="Arial" w:cs="Arial"/>
                <w:color w:val="808080"/>
                <w:sz w:val="18"/>
                <w:szCs w:val="18"/>
              </w:rPr>
              <w:t>(this box should expand as you type)</w:t>
            </w:r>
          </w:p>
        </w:tc>
      </w:tr>
    </w:tbl>
    <w:p w14:paraId="2D0B4848"/>
    <w:p w14:paraId="3CC980BD">
      <w:pPr>
        <w:spacing w:after="240"/>
        <w:rPr>
          <w:rFonts w:ascii="Arial" w:hAnsi="Arial" w:cs="Arial"/>
          <w:b/>
          <w:sz w:val="22"/>
          <w:szCs w:val="22"/>
        </w:rPr>
      </w:pPr>
      <w:r>
        <w:rPr>
          <w:rFonts w:ascii="Arial" w:hAnsi="Arial" w:cs="Arial"/>
          <w:b/>
          <w:sz w:val="22"/>
          <w:szCs w:val="22"/>
        </w:rPr>
        <w:t>SECTION D: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14:paraId="019F16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14:paraId="5C5DDC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bCs/>
                <w:sz w:val="22"/>
                <w:szCs w:val="22"/>
              </w:rPr>
            </w:sdtEndPr>
            <w:sdtContent>
              <w:p w14:paraId="0697F9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0F5A7AA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615EE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bCs/>
                <w:sz w:val="22"/>
                <w:szCs w:val="22"/>
              </w:rPr>
            </w:sdtEndPr>
            <w:sdtContent>
              <w:p w14:paraId="4598A58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bCs/>
                <w:sz w:val="22"/>
                <w:szCs w:val="22"/>
              </w:rPr>
            </w:sdtEndPr>
            <w:sdtContent>
              <w:p w14:paraId="0C1223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14:paraId="11870C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14:paraId="548E61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14:paraId="6411AA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14:paraId="68501F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310720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14:paraId="7967A1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14:paraId="5D8A13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14:paraId="15275B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8EFDB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64BF14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14:paraId="1A758E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14:paraId="2AD5A0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D33759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14:paraId="3A32BF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371BB2A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bCs/>
                <w:sz w:val="22"/>
                <w:szCs w:val="22"/>
              </w:rPr>
            </w:sdtEndPr>
            <w:sdtContent>
              <w:p w14:paraId="3CA1A6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41717E3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3A04C74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0ED9F1DE">
      <w:pPr>
        <w:jc w:val="both"/>
        <w:rPr>
          <w:rFonts w:ascii="Arial" w:hAnsi="Arial" w:cs="Arial"/>
          <w:bCs/>
          <w:iCs/>
          <w:sz w:val="22"/>
          <w:szCs w:val="22"/>
        </w:rPr>
      </w:pPr>
    </w:p>
    <w:p w14:paraId="4B79DAF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14:paraId="355587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46766A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rPr>
                <w:rFonts w:ascii="Arial" w:hAnsi="Arial" w:cs="Arial"/>
                <w:b/>
                <w:bCs/>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14:paraId="66F59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rPr>
                <w:rFonts w:ascii="Arial" w:hAnsi="Arial" w:cs="Arial"/>
                <w:b/>
                <w:bCs/>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7F4BEA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rPr>
                <w:rFonts w:ascii="Arial" w:hAnsi="Arial" w:cs="Arial"/>
                <w:b/>
                <w:bCs/>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6405E4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rPr>
                <w:rFonts w:ascii="Arial" w:hAnsi="Arial" w:cs="Arial"/>
                <w:b/>
                <w:bCs/>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14:paraId="583F67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rPr>
                <w:rFonts w:ascii="Arial" w:hAnsi="Arial" w:cs="Arial"/>
                <w:b/>
                <w:bCs/>
                <w:sz w:val="22"/>
                <w:szCs w:val="22"/>
              </w:rPr>
            </w:sdtEndPr>
            <w:sdtContent>
              <w:p w14:paraId="1373FD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14:paraId="0D86AF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rPr>
                <w:rFonts w:ascii="Arial" w:hAnsi="Arial" w:cs="Arial"/>
                <w:b/>
                <w:bCs/>
                <w:sz w:val="22"/>
                <w:szCs w:val="22"/>
              </w:rPr>
            </w:sdtEndPr>
            <w:sdtContent>
              <w:p w14:paraId="02F67A0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14:paraId="0D26B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rPr>
                <w:rFonts w:ascii="Arial" w:hAnsi="Arial" w:cs="Arial"/>
                <w:b/>
                <w:bCs/>
                <w:sz w:val="22"/>
                <w:szCs w:val="22"/>
              </w:rPr>
            </w:sdtEndPr>
            <w:sdtContent>
              <w:p w14:paraId="20F36B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pPr>
              <w:rPr>
                <w:rFonts w:ascii="Arial" w:hAnsi="Arial" w:cs="Arial"/>
              </w:rPr>
            </w:pPr>
            <w:r>
              <w:rPr>
                <w:rFonts w:ascii="Arial" w:hAnsi="Arial" w:cs="Arial"/>
                <w:color w:val="00B050"/>
                <w:sz w:val="22"/>
              </w:rPr>
              <w:t>Complete this only if your participants cannot give consent. This includes animals</w:t>
            </w:r>
          </w:p>
          <w:p w14:paraId="52F0B898">
            <w:pPr>
              <w:rPr>
                <w:rFonts w:ascii="Arial" w:hAnsi="Arial" w:cs="Arial"/>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0D65BB7C">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5023D1C4">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pPr>
              <w:rPr>
                <w:rFonts w:ascii="Arial" w:hAnsi="Arial" w:cs="Arial"/>
                <w:sz w:val="22"/>
                <w:szCs w:val="22"/>
              </w:rPr>
            </w:pPr>
          </w:p>
          <w:p w14:paraId="6F476CC9">
            <w:pPr>
              <w:rPr>
                <w:rFonts w:ascii="Arial" w:hAnsi="Arial" w:cs="Arial"/>
                <w:sz w:val="22"/>
                <w:szCs w:val="22"/>
              </w:rPr>
            </w:pPr>
          </w:p>
          <w:p w14:paraId="22254D4A">
            <w:pPr>
              <w:rPr>
                <w:rFonts w:ascii="Arial" w:hAnsi="Arial" w:cs="Arial"/>
                <w:b/>
                <w:sz w:val="22"/>
                <w:szCs w:val="22"/>
              </w:rPr>
            </w:pPr>
            <w:r>
              <w:rPr>
                <w:rFonts w:ascii="Arial" w:hAnsi="Arial" w:cs="Arial"/>
                <w:i/>
                <w:color w:val="808080"/>
                <w:sz w:val="18"/>
                <w:szCs w:val="18"/>
              </w:rPr>
              <w:t>(this box should expand as you type)</w:t>
            </w: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6978CCE">
            <w:pPr>
              <w:rPr>
                <w:rFonts w:ascii="Arial" w:hAnsi="Arial" w:cs="Arial"/>
                <w:sz w:val="22"/>
                <w:szCs w:val="22"/>
              </w:rPr>
            </w:pPr>
          </w:p>
          <w:p w14:paraId="4F017F8B">
            <w:pPr>
              <w:rPr>
                <w:rFonts w:ascii="Arial" w:hAnsi="Arial" w:cs="Arial"/>
                <w:sz w:val="22"/>
                <w:szCs w:val="22"/>
              </w:rPr>
            </w:pPr>
          </w:p>
          <w:p w14:paraId="0786E6FE">
            <w:pPr>
              <w:rPr>
                <w:rFonts w:ascii="Arial" w:hAnsi="Arial" w:cs="Arial"/>
                <w:sz w:val="22"/>
                <w:szCs w:val="22"/>
              </w:rPr>
            </w:pPr>
          </w:p>
          <w:p w14:paraId="5D585C8A">
            <w:pPr>
              <w:rPr>
                <w:rFonts w:ascii="Arial" w:hAnsi="Arial" w:cs="Arial"/>
                <w:i/>
                <w:color w:val="808080"/>
                <w:sz w:val="18"/>
                <w:szCs w:val="18"/>
              </w:rPr>
            </w:pPr>
            <w:r>
              <w:rPr>
                <w:rFonts w:ascii="Arial" w:hAnsi="Arial" w:cs="Arial"/>
                <w:i/>
                <w:color w:val="808080"/>
                <w:sz w:val="18"/>
                <w:szCs w:val="18"/>
              </w:rPr>
              <w:t>(this box should expand as you type)</w:t>
            </w: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64F1F18C">
            <w:pPr>
              <w:rPr>
                <w:rFonts w:ascii="Arial" w:hAnsi="Arial" w:cs="Arial"/>
                <w:sz w:val="22"/>
                <w:szCs w:val="22"/>
              </w:rPr>
            </w:pPr>
          </w:p>
          <w:p w14:paraId="30CC7196">
            <w:pPr>
              <w:rPr>
                <w:rFonts w:ascii="Arial" w:hAnsi="Arial" w:cs="Arial"/>
                <w:sz w:val="22"/>
                <w:szCs w:val="22"/>
              </w:rPr>
            </w:pPr>
          </w:p>
          <w:p w14:paraId="2E2E4649">
            <w:pPr>
              <w:rPr>
                <w:rFonts w:ascii="Arial" w:hAnsi="Arial" w:cs="Arial"/>
                <w:sz w:val="22"/>
                <w:szCs w:val="22"/>
              </w:rPr>
            </w:pPr>
          </w:p>
          <w:p w14:paraId="404B1A3D">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pPr>
        <w:rPr>
          <w:rFonts w:ascii="Arial" w:hAnsi="Arial" w:cs="Arial"/>
          <w:bCs/>
          <w:sz w:val="24"/>
          <w:szCs w:val="24"/>
        </w:rPr>
      </w:pPr>
    </w:p>
    <w:p w14:paraId="71AB43E2"/>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27B57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14:paraId="77D93E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946F1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14:paraId="31AB7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14:paraId="23437A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14:paraId="6EAC15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14:paraId="1BFEC6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14:paraId="180E7E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14:paraId="5B8EC0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14:paraId="0E84CD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14:paraId="35A9A4A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14:paraId="481E45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14:paraId="14A3E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14:paraId="6FCFF0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14:paraId="43A233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14:paraId="4091ED0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4DD943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14:paraId="22F01B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48D4F38D">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pPr>
              <w:rPr>
                <w:rFonts w:ascii="Arial" w:hAnsi="Arial" w:cs="Arial"/>
                <w:sz w:val="22"/>
                <w:szCs w:val="22"/>
              </w:rPr>
            </w:pPr>
          </w:p>
          <w:p w14:paraId="219D1180">
            <w:pPr>
              <w:autoSpaceDE w:val="0"/>
              <w:autoSpaceDN w:val="0"/>
              <w:adjustRightInd w:val="0"/>
              <w:rPr>
                <w:rFonts w:cs="Arial"/>
              </w:rPr>
            </w:pPr>
            <w:r>
              <w:rPr>
                <w:rFonts w:ascii="Arial" w:hAnsi="Arial" w:cs="Arial"/>
                <w:i/>
                <w:color w:val="808080"/>
                <w:sz w:val="18"/>
                <w:szCs w:val="18"/>
              </w:rPr>
              <w:t>(this box should expand as you type)</w:t>
            </w:r>
          </w:p>
        </w:tc>
      </w:tr>
    </w:tbl>
    <w:p w14:paraId="3C28C62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22BC0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14:paraId="538C62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14:paraId="4BB823A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14:paraId="3855C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14:paraId="4DB280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14:paraId="540449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14:paraId="681CCB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14:paraId="33AB95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14:paraId="5894328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14:paraId="4806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14:paraId="45FC5E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14:paraId="7DC60C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2B5E5E1C">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pPr>
              <w:rPr>
                <w:rFonts w:ascii="Arial" w:hAnsi="Arial" w:cs="Arial"/>
                <w:sz w:val="22"/>
                <w:szCs w:val="22"/>
              </w:rPr>
            </w:pPr>
          </w:p>
          <w:p w14:paraId="283D19BB">
            <w:pPr>
              <w:autoSpaceDE w:val="0"/>
              <w:autoSpaceDN w:val="0"/>
              <w:adjustRightInd w:val="0"/>
              <w:rPr>
                <w:rFonts w:cs="Arial"/>
              </w:rPr>
            </w:pPr>
            <w:r>
              <w:rPr>
                <w:rFonts w:ascii="Arial" w:hAnsi="Arial" w:cs="Arial"/>
                <w:i/>
                <w:color w:val="808080"/>
                <w:sz w:val="18"/>
                <w:szCs w:val="18"/>
              </w:rPr>
              <w:t>(this box should expand as you type)</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F: Anticipated Risks</w:t>
      </w:r>
    </w:p>
    <w:p w14:paraId="5E0435C4">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2"/>
            <w:tcBorders>
              <w:bottom w:val="single" w:color="auto" w:sz="4" w:space="0"/>
            </w:tcBorders>
            <w:shd w:val="clear" w:color="auto" w:fill="F1F1F1" w:themeFill="background1" w:themeFillShade="F2"/>
          </w:tcPr>
          <w:p w14:paraId="1FB24812">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sz w:val="22"/>
                <w:szCs w:val="22"/>
              </w:rPr>
            </w:pPr>
            <w:r>
              <w:rPr>
                <w:rFonts w:ascii="Arial" w:hAnsi="Arial" w:cs="Arial"/>
                <w:sz w:val="22"/>
                <w:szCs w:val="22"/>
              </w:rPr>
              <w:t>Risk to participants:</w:t>
            </w:r>
          </w:p>
          <w:p w14:paraId="0F4B2D8F">
            <w:pPr>
              <w:rPr>
                <w:rFonts w:ascii="Arial" w:hAnsi="Arial" w:cs="Arial"/>
                <w:color w:val="000000" w:themeColor="text1"/>
                <w:sz w:val="22"/>
                <w:szCs w:val="22"/>
                <w:lang w:val="en-IN"/>
                <w14:textFill>
                  <w14:solidFill>
                    <w14:schemeClr w14:val="tx1"/>
                  </w14:solidFill>
                </w14:textFill>
              </w:rPr>
            </w:pPr>
            <w:r>
              <w:rPr>
                <w:rFonts w:ascii="Arial" w:hAnsi="Arial" w:cs="Arial"/>
                <w:color w:val="000000" w:themeColor="text1"/>
                <w:sz w:val="22"/>
                <w:szCs w:val="22"/>
                <w:lang w:val="en-IN"/>
                <w14:textFill>
                  <w14:solidFill>
                    <w14:schemeClr w14:val="tx1"/>
                  </w14:solidFill>
                </w14:textFill>
              </w:rPr>
              <w:t>N/A – This research does not involve human participants.</w:t>
            </w:r>
          </w:p>
          <w:p w14:paraId="00C40B6C">
            <w:pPr>
              <w:rPr>
                <w:rFonts w:ascii="Arial" w:hAnsi="Arial" w:cs="Arial"/>
                <w:color w:val="00B050"/>
                <w:sz w:val="22"/>
                <w:szCs w:val="22"/>
              </w:rPr>
            </w:pPr>
          </w:p>
          <w:p w14:paraId="77BB44A6">
            <w:pPr>
              <w:rPr>
                <w:rFonts w:ascii="Arial" w:hAnsi="Arial" w:cs="Arial"/>
                <w:sz w:val="22"/>
                <w:szCs w:val="22"/>
              </w:rPr>
            </w:pPr>
          </w:p>
          <w:p w14:paraId="664597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16CC4C1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pPr>
              <w:rPr>
                <w:rFonts w:ascii="Arial" w:hAnsi="Arial" w:cs="Arial"/>
                <w:sz w:val="22"/>
                <w:szCs w:val="22"/>
              </w:rPr>
            </w:pPr>
          </w:p>
          <w:p w14:paraId="1C4F03BD">
            <w:pPr>
              <w:rPr>
                <w:rFonts w:ascii="Arial" w:hAnsi="Arial" w:cs="Arial"/>
                <w:sz w:val="22"/>
                <w:szCs w:val="22"/>
              </w:rPr>
            </w:pPr>
            <w:r>
              <w:rPr>
                <w:rFonts w:ascii="Arial" w:hAnsi="Arial" w:cs="Arial"/>
                <w:sz w:val="22"/>
                <w:szCs w:val="22"/>
              </w:rPr>
              <w:t>N/A</w:t>
            </w:r>
          </w:p>
          <w:p w14:paraId="1E4F230F">
            <w:pPr>
              <w:rPr>
                <w:rFonts w:ascii="Arial" w:hAnsi="Arial" w:cs="Arial"/>
                <w:sz w:val="22"/>
                <w:szCs w:val="22"/>
              </w:rPr>
            </w:pPr>
          </w:p>
          <w:p w14:paraId="5D00AF2B">
            <w:pPr>
              <w:autoSpaceDE w:val="0"/>
              <w:autoSpaceDN w:val="0"/>
              <w:adjustRightInd w:val="0"/>
              <w:rPr>
                <w:rFonts w:cs="Arial"/>
                <w:i/>
              </w:rPr>
            </w:pPr>
            <w:r>
              <w:rPr>
                <w:rFonts w:ascii="Arial" w:hAnsi="Arial" w:cs="Arial"/>
                <w:i/>
                <w:color w:val="808080"/>
                <w:sz w:val="18"/>
                <w:szCs w:val="18"/>
              </w:rPr>
              <w:t>(this box should expand as you type)</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2"/>
            <w:tcBorders>
              <w:top w:val="single" w:color="auto" w:sz="4" w:space="0"/>
              <w:bottom w:val="single" w:color="auto" w:sz="4" w:space="0"/>
            </w:tcBorders>
          </w:tcPr>
          <w:p w14:paraId="0E5B27E4">
            <w:pPr>
              <w:rPr>
                <w:rFonts w:ascii="Arial" w:hAnsi="Arial" w:cs="Arial"/>
                <w:sz w:val="22"/>
                <w:szCs w:val="22"/>
              </w:rPr>
            </w:pPr>
          </w:p>
          <w:p w14:paraId="5A1606C1">
            <w:pPr>
              <w:rPr>
                <w:rFonts w:ascii="Arial" w:hAnsi="Arial" w:cs="Arial"/>
                <w:sz w:val="22"/>
                <w:szCs w:val="22"/>
              </w:rPr>
            </w:pPr>
            <w:r>
              <w:rPr>
                <w:rFonts w:ascii="Arial" w:hAnsi="Arial" w:cs="Arial"/>
                <w:sz w:val="22"/>
                <w:szCs w:val="22"/>
              </w:rPr>
              <w:t>N/A</w:t>
            </w:r>
          </w:p>
          <w:p w14:paraId="1A0E0B68">
            <w:pPr>
              <w:rPr>
                <w:rFonts w:ascii="Arial" w:hAnsi="Arial" w:cs="Arial"/>
                <w:sz w:val="22"/>
                <w:szCs w:val="22"/>
              </w:rPr>
            </w:pPr>
          </w:p>
          <w:p w14:paraId="27D860D6">
            <w:pPr>
              <w:autoSpaceDE w:val="0"/>
              <w:autoSpaceDN w:val="0"/>
              <w:adjustRightInd w:val="0"/>
              <w:rPr>
                <w:rFonts w:cs="Arial"/>
              </w:rPr>
            </w:pPr>
            <w:r>
              <w:rPr>
                <w:rFonts w:ascii="Arial" w:hAnsi="Arial" w:cs="Arial"/>
                <w:i/>
                <w:color w:val="808080"/>
                <w:sz w:val="18"/>
                <w:szCs w:val="18"/>
              </w:rPr>
              <w:t>(this box should expand as you type)</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ED77AED">
            <w:pPr>
              <w:autoSpaceDE w:val="0"/>
              <w:autoSpaceDN w:val="0"/>
              <w:adjustRightInd w:val="0"/>
              <w:rPr>
                <w:rFonts w:ascii="Arial" w:hAnsi="Arial" w:cs="Arial"/>
                <w:sz w:val="22"/>
                <w:szCs w:val="22"/>
              </w:rPr>
            </w:pPr>
            <w:r>
              <w:rPr>
                <w:rFonts w:ascii="Arial" w:hAnsi="Arial" w:cs="Arial"/>
                <w:sz w:val="22"/>
                <w:szCs w:val="22"/>
              </w:rPr>
              <w:t>Risk to the investigator:</w:t>
            </w:r>
          </w:p>
          <w:p w14:paraId="25ABCDFE">
            <w:pPr>
              <w:autoSpaceDE w:val="0"/>
              <w:autoSpaceDN w:val="0"/>
              <w:adjustRightInd w:val="0"/>
              <w:rPr>
                <w:rFonts w:ascii="Arial" w:hAnsi="Arial" w:cs="Arial"/>
                <w:sz w:val="22"/>
                <w:szCs w:val="22"/>
                <w:lang w:val="en-IN"/>
              </w:rPr>
            </w:pPr>
            <w:r>
              <w:rPr>
                <w:rFonts w:ascii="Arial" w:hAnsi="Arial" w:cs="Arial"/>
                <w:sz w:val="22"/>
                <w:szCs w:val="22"/>
                <w:lang w:val="en-IN"/>
              </w:rPr>
              <w:t>The researcher may experience stress or anxiety due to managing the workload and meeting project deadlines.</w:t>
            </w:r>
          </w:p>
          <w:p w14:paraId="24DCEA84">
            <w:pPr>
              <w:autoSpaceDE w:val="0"/>
              <w:autoSpaceDN w:val="0"/>
              <w:adjustRightInd w:val="0"/>
              <w:rPr>
                <w:rFonts w:ascii="Arial" w:hAnsi="Arial" w:cs="Arial"/>
                <w:sz w:val="22"/>
                <w:szCs w:val="22"/>
              </w:rPr>
            </w:pPr>
          </w:p>
          <w:p w14:paraId="514CA3D2">
            <w:pPr>
              <w:rPr>
                <w:rFonts w:ascii="Arial" w:hAnsi="Arial" w:cs="Arial"/>
                <w:sz w:val="22"/>
                <w:szCs w:val="22"/>
              </w:rPr>
            </w:pPr>
          </w:p>
          <w:p w14:paraId="0435A03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1FE4E096">
            <w:pPr>
              <w:rPr>
                <w:rFonts w:ascii="Arial" w:hAnsi="Arial" w:cs="Arial"/>
                <w:sz w:val="22"/>
                <w:szCs w:val="22"/>
                <w:lang w:val="en-IN"/>
              </w:rPr>
            </w:pPr>
            <w:r>
              <w:rPr>
                <w:rFonts w:ascii="Arial" w:hAnsi="Arial" w:cs="Arial"/>
                <w:sz w:val="22"/>
                <w:szCs w:val="22"/>
                <w:lang w:val="en-IN"/>
              </w:rPr>
              <w:t>This risk will be mitigated through effective time management, proper planning, and maintaining a structured research schedule to balance workload and deadlines.</w:t>
            </w:r>
          </w:p>
          <w:p w14:paraId="37012749">
            <w:pPr>
              <w:rPr>
                <w:rFonts w:ascii="Arial" w:hAnsi="Arial" w:cs="Arial"/>
                <w:sz w:val="22"/>
                <w:szCs w:val="22"/>
                <w:lang w:val="en-US"/>
              </w:rPr>
            </w:pPr>
            <w:r>
              <w:rPr>
                <w:rFonts w:ascii="Arial" w:hAnsi="Arial" w:cs="Arial"/>
                <w:sz w:val="22"/>
                <w:szCs w:val="22"/>
                <w:lang w:val="en-US"/>
              </w:rPr>
              <w:t xml:space="preserve"> </w:t>
            </w:r>
          </w:p>
          <w:p w14:paraId="360A3821">
            <w:pPr>
              <w:rPr>
                <w:rFonts w:ascii="Arial" w:hAnsi="Arial" w:cs="Arial"/>
                <w:sz w:val="22"/>
                <w:szCs w:val="22"/>
              </w:rPr>
            </w:pPr>
          </w:p>
          <w:p w14:paraId="6058A74A">
            <w:pPr>
              <w:rPr>
                <w:rFonts w:ascii="Arial" w:hAnsi="Arial" w:cs="Arial"/>
                <w:sz w:val="22"/>
                <w:szCs w:val="22"/>
              </w:rPr>
            </w:pPr>
          </w:p>
          <w:p w14:paraId="4416A3BD">
            <w:pPr>
              <w:autoSpaceDE w:val="0"/>
              <w:autoSpaceDN w:val="0"/>
              <w:adjustRightInd w:val="0"/>
              <w:rPr>
                <w:rFonts w:cs="Arial"/>
              </w:rPr>
            </w:pPr>
            <w:r>
              <w:rPr>
                <w:rFonts w:ascii="Arial" w:hAnsi="Arial" w:cs="Arial"/>
                <w:i/>
                <w:color w:val="808080"/>
                <w:sz w:val="18"/>
                <w:szCs w:val="18"/>
              </w:rPr>
              <w:t>(this box should expand as you type)</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rPr>
                <w:rFonts w:ascii="Arial" w:hAnsi="Arial" w:cs="Arial"/>
                <w:sz w:val="22"/>
                <w:szCs w:val="22"/>
              </w:rPr>
            </w:pPr>
            <w:r>
              <w:rPr>
                <w:rFonts w:ascii="Arial" w:hAnsi="Arial" w:cs="Arial"/>
                <w:sz w:val="22"/>
                <w:szCs w:val="22"/>
              </w:rPr>
              <w:t>Risk to the University:</w:t>
            </w:r>
          </w:p>
          <w:p w14:paraId="4FBAB1BC">
            <w:pPr>
              <w:rPr>
                <w:rFonts w:ascii="Arial" w:hAnsi="Arial" w:cs="Arial"/>
                <w:color w:val="000000" w:themeColor="text1"/>
                <w:sz w:val="22"/>
                <w:szCs w:val="22"/>
                <w:lang w:val="en-US"/>
                <w14:textFill>
                  <w14:solidFill>
                    <w14:schemeClr w14:val="tx1"/>
                  </w14:solidFill>
                </w14:textFill>
              </w:rPr>
            </w:pPr>
            <w:r>
              <w:rPr>
                <w:rFonts w:ascii="Arial" w:hAnsi="Arial" w:cs="Arial"/>
                <w:color w:val="000000" w:themeColor="text1"/>
                <w:sz w:val="22"/>
                <w:szCs w:val="22"/>
                <w:lang w:val="en-IN"/>
                <w14:textFill>
                  <w14:solidFill>
                    <w14:schemeClr w14:val="tx1"/>
                  </w14:solidFill>
                </w14:textFill>
              </w:rPr>
              <w:t>There is no risk to the University as the research does not involve participants or sensitive organisational data</w:t>
            </w:r>
            <w:r>
              <w:rPr>
                <w:rFonts w:ascii="Arial" w:hAnsi="Arial" w:cs="Arial"/>
                <w:b/>
                <w:bCs/>
                <w:color w:val="000000" w:themeColor="text1"/>
                <w:sz w:val="22"/>
                <w:szCs w:val="22"/>
                <w:lang w:val="en-IN"/>
                <w14:textFill>
                  <w14:solidFill>
                    <w14:schemeClr w14:val="tx1"/>
                  </w14:solidFill>
                </w14:textFill>
              </w:rPr>
              <w:t xml:space="preserve">. </w:t>
            </w:r>
            <w:r>
              <w:rPr>
                <w:rFonts w:ascii="Arial" w:hAnsi="Arial" w:cs="Arial"/>
                <w:color w:val="000000" w:themeColor="text1"/>
                <w:sz w:val="22"/>
                <w:szCs w:val="22"/>
                <w:lang w:val="en-IN"/>
                <w14:textFill>
                  <w14:solidFill>
                    <w14:schemeClr w14:val="tx1"/>
                  </w14:solidFill>
                </w14:textFill>
              </w:rPr>
              <w:t xml:space="preserve">Also there wont be any requirenment for investment from the university. </w:t>
            </w:r>
          </w:p>
          <w:p w14:paraId="707078B9">
            <w:pPr>
              <w:rPr>
                <w:rFonts w:ascii="Arial" w:hAnsi="Arial" w:cs="Arial"/>
                <w:color w:val="00B050"/>
                <w:sz w:val="22"/>
                <w:szCs w:val="22"/>
              </w:rPr>
            </w:pPr>
          </w:p>
          <w:p w14:paraId="74A8C135">
            <w:pPr>
              <w:rPr>
                <w:rFonts w:ascii="Arial" w:hAnsi="Arial" w:cs="Arial"/>
                <w:sz w:val="22"/>
                <w:szCs w:val="22"/>
              </w:rPr>
            </w:pPr>
          </w:p>
          <w:p w14:paraId="09091714">
            <w:pPr>
              <w:rPr>
                <w:rFonts w:ascii="Arial" w:hAnsi="Arial" w:cs="Arial"/>
                <w:sz w:val="22"/>
                <w:szCs w:val="22"/>
              </w:rPr>
            </w:pPr>
          </w:p>
          <w:p w14:paraId="3CC7017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54E9C6FC">
            <w:pPr>
              <w:rPr>
                <w:rFonts w:ascii="Arial" w:hAnsi="Arial" w:cs="Arial"/>
                <w:sz w:val="22"/>
                <w:szCs w:val="22"/>
              </w:rPr>
            </w:pPr>
          </w:p>
          <w:p w14:paraId="53C131FC">
            <w:pPr>
              <w:rPr>
                <w:rFonts w:ascii="Arial" w:hAnsi="Arial" w:cs="Arial"/>
                <w:sz w:val="22"/>
                <w:szCs w:val="22"/>
                <w:lang w:val="en-IN"/>
              </w:rPr>
            </w:pPr>
            <w:r>
              <w:rPr>
                <w:rFonts w:ascii="Arial" w:hAnsi="Arial" w:cs="Arial"/>
                <w:sz w:val="22"/>
                <w:szCs w:val="22"/>
                <w:lang w:val="en-IN"/>
              </w:rPr>
              <w:t>All research will be conducted in accordance with the University’s ethical guidelines and data protection policies to ensure no reputational or legal risk arises.</w:t>
            </w:r>
          </w:p>
          <w:p w14:paraId="27838F0F">
            <w:pPr>
              <w:rPr>
                <w:rFonts w:ascii="Arial" w:hAnsi="Arial" w:cs="Arial"/>
                <w:sz w:val="22"/>
                <w:szCs w:val="22"/>
              </w:rPr>
            </w:pPr>
          </w:p>
          <w:p w14:paraId="7D14004C">
            <w:pPr>
              <w:rPr>
                <w:rFonts w:ascii="Arial" w:hAnsi="Arial" w:cs="Arial"/>
                <w:sz w:val="22"/>
                <w:szCs w:val="22"/>
              </w:rPr>
            </w:pPr>
          </w:p>
          <w:p w14:paraId="035C5940">
            <w:pPr>
              <w:autoSpaceDE w:val="0"/>
              <w:autoSpaceDN w:val="0"/>
              <w:adjustRightInd w:val="0"/>
              <w:rPr>
                <w:rFonts w:cs="Arial"/>
              </w:rPr>
            </w:pPr>
            <w:r>
              <w:rPr>
                <w:rFonts w:ascii="Arial" w:hAnsi="Arial" w:cs="Arial"/>
                <w:i/>
                <w:color w:val="808080"/>
                <w:sz w:val="18"/>
                <w:szCs w:val="18"/>
              </w:rPr>
              <w:t>(this box should expand as you type)</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9B7A951">
            <w:pPr>
              <w:rPr>
                <w:rFonts w:ascii="Arial" w:hAnsi="Arial" w:cs="Arial"/>
                <w:sz w:val="22"/>
                <w:szCs w:val="22"/>
              </w:rPr>
            </w:pPr>
            <w:r>
              <w:rPr>
                <w:rFonts w:ascii="Arial" w:hAnsi="Arial" w:cs="Arial"/>
                <w:sz w:val="22"/>
                <w:szCs w:val="22"/>
              </w:rPr>
              <w:t>N/A</w:t>
            </w:r>
          </w:p>
          <w:p w14:paraId="7557DDD6">
            <w:pPr>
              <w:rPr>
                <w:rFonts w:ascii="Arial" w:hAnsi="Arial" w:cs="Arial"/>
                <w:sz w:val="22"/>
                <w:szCs w:val="22"/>
              </w:rPr>
            </w:pPr>
          </w:p>
          <w:p w14:paraId="46E6515B">
            <w:pPr>
              <w:rPr>
                <w:rFonts w:ascii="Arial" w:hAnsi="Arial" w:cs="Arial"/>
                <w:sz w:val="22"/>
                <w:szCs w:val="22"/>
              </w:rPr>
            </w:pPr>
          </w:p>
          <w:p w14:paraId="0CCBD838">
            <w:pPr>
              <w:rPr>
                <w:rFonts w:ascii="Arial" w:hAnsi="Arial" w:cs="Arial"/>
                <w:sz w:val="22"/>
                <w:szCs w:val="22"/>
              </w:rPr>
            </w:pPr>
          </w:p>
          <w:p w14:paraId="03328CC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35E7415F">
            <w:pPr>
              <w:rPr>
                <w:rFonts w:ascii="Arial" w:hAnsi="Arial" w:cs="Arial"/>
                <w:sz w:val="22"/>
                <w:szCs w:val="22"/>
              </w:rPr>
            </w:pPr>
            <w:r>
              <w:rPr>
                <w:rFonts w:ascii="Arial" w:hAnsi="Arial" w:cs="Arial"/>
                <w:sz w:val="22"/>
                <w:szCs w:val="22"/>
              </w:rPr>
              <w:t>N/A</w:t>
            </w:r>
          </w:p>
          <w:p w14:paraId="6B1C8D3D">
            <w:pPr>
              <w:rPr>
                <w:rFonts w:ascii="Arial" w:hAnsi="Arial" w:cs="Arial"/>
                <w:sz w:val="22"/>
                <w:szCs w:val="22"/>
              </w:rPr>
            </w:pPr>
          </w:p>
          <w:p w14:paraId="41635964">
            <w:pPr>
              <w:rPr>
                <w:rFonts w:ascii="Arial" w:hAnsi="Arial" w:cs="Arial"/>
                <w:sz w:val="22"/>
                <w:szCs w:val="22"/>
              </w:rPr>
            </w:pPr>
          </w:p>
          <w:p w14:paraId="1B693177">
            <w:pPr>
              <w:rPr>
                <w:rFonts w:ascii="Arial" w:hAnsi="Arial" w:cs="Arial"/>
                <w:sz w:val="22"/>
                <w:szCs w:val="22"/>
              </w:rPr>
            </w:pPr>
          </w:p>
          <w:p w14:paraId="2D9B576E">
            <w:pPr>
              <w:autoSpaceDE w:val="0"/>
              <w:autoSpaceDN w:val="0"/>
              <w:adjustRightInd w:val="0"/>
              <w:rPr>
                <w:rFonts w:cs="Arial"/>
              </w:rPr>
            </w:pPr>
            <w:r>
              <w:rPr>
                <w:rFonts w:ascii="Arial" w:hAnsi="Arial" w:cs="Arial"/>
                <w:i/>
                <w:color w:val="808080"/>
                <w:sz w:val="18"/>
                <w:szCs w:val="18"/>
              </w:rPr>
              <w:t>(this box should expand as you type)</w:t>
            </w:r>
          </w:p>
        </w:tc>
      </w:tr>
    </w:tbl>
    <w:p w14:paraId="366FFC79"/>
    <w:p w14:paraId="18B8B643">
      <w:pPr>
        <w:rPr>
          <w:rFonts w:ascii="Arial" w:hAnsi="Arial" w:cs="Arial"/>
          <w:b/>
          <w:sz w:val="22"/>
          <w:szCs w:val="22"/>
        </w:rPr>
      </w:pPr>
      <w:r>
        <w:rPr>
          <w:rFonts w:ascii="Arial" w:hAnsi="Arial" w:cs="Arial"/>
          <w:b/>
          <w:sz w:val="22"/>
          <w:szCs w:val="22"/>
        </w:rPr>
        <w:t>SECTION G: Feedback, Consent and Confidentiality</w:t>
      </w:r>
    </w:p>
    <w:p w14:paraId="6D654C07">
      <w:pPr>
        <w:rPr>
          <w:rFonts w:ascii="Arial" w:hAnsi="Arial" w:cs="Arial"/>
          <w:b/>
          <w:sz w:val="22"/>
          <w:szCs w:val="22"/>
        </w:rPr>
      </w:pPr>
    </w:p>
    <w:p w14:paraId="55A766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4433170B">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pPr>
              <w:rPr>
                <w:rFonts w:ascii="Arial" w:hAnsi="Arial" w:cs="Arial"/>
                <w:sz w:val="22"/>
                <w:szCs w:val="22"/>
              </w:rPr>
            </w:pPr>
          </w:p>
          <w:p w14:paraId="3E747859">
            <w:pPr>
              <w:autoSpaceDE w:val="0"/>
              <w:autoSpaceDN w:val="0"/>
              <w:adjustRightInd w:val="0"/>
              <w:rPr>
                <w:rFonts w:cs="Arial"/>
              </w:rPr>
            </w:pPr>
            <w:r>
              <w:rPr>
                <w:rFonts w:ascii="Arial" w:hAnsi="Arial" w:cs="Arial"/>
                <w:i/>
                <w:color w:val="808080"/>
                <w:sz w:val="18"/>
                <w:szCs w:val="18"/>
              </w:rPr>
              <w:t>(this box should expand as you type)</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05942FA0">
            <w:pPr>
              <w:pStyle w:val="9"/>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pPr>
              <w:rPr>
                <w:rFonts w:ascii="Arial" w:hAnsi="Arial" w:cs="Arial"/>
                <w:sz w:val="22"/>
                <w:szCs w:val="22"/>
              </w:rPr>
            </w:pPr>
          </w:p>
          <w:p w14:paraId="39FFDC65">
            <w:pPr>
              <w:autoSpaceDE w:val="0"/>
              <w:autoSpaceDN w:val="0"/>
              <w:adjustRightInd w:val="0"/>
              <w:rPr>
                <w:rFonts w:cs="Arial"/>
              </w:rPr>
            </w:pPr>
            <w:r>
              <w:rPr>
                <w:rFonts w:ascii="Arial" w:hAnsi="Arial" w:cs="Arial"/>
                <w:i/>
                <w:color w:val="808080"/>
                <w:sz w:val="18"/>
                <w:szCs w:val="18"/>
              </w:rPr>
              <w:t>(this box should expand as you type)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6F756218">
            <w:pPr>
              <w:pStyle w:val="9"/>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pPr>
              <w:rPr>
                <w:rFonts w:ascii="Arial" w:hAnsi="Arial" w:cs="Arial"/>
                <w:sz w:val="22"/>
                <w:szCs w:val="22"/>
              </w:rPr>
            </w:pPr>
          </w:p>
          <w:p w14:paraId="4B749E1A">
            <w:pPr>
              <w:autoSpaceDE w:val="0"/>
              <w:autoSpaceDN w:val="0"/>
              <w:adjustRightInd w:val="0"/>
              <w:rPr>
                <w:rFonts w:cs="Arial"/>
              </w:rPr>
            </w:pPr>
            <w:r>
              <w:rPr>
                <w:rFonts w:ascii="Arial" w:hAnsi="Arial" w:cs="Arial"/>
                <w:i/>
                <w:color w:val="808080"/>
                <w:sz w:val="18"/>
                <w:szCs w:val="18"/>
              </w:rPr>
              <w:t>(this box should expand as you type)</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H: Data Protection and Storage</w:t>
      </w:r>
    </w:p>
    <w:p w14:paraId="14582771">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15"/>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b/>
                <w:bCs/>
                <w:sz w:val="22"/>
                <w:szCs w:val="22"/>
              </w:rPr>
              <w:id w:val="147470029"/>
              <w14:checkbox>
                <w14:checked w14:val="1"/>
                <w14:checkedState w14:val="2612" w14:font="MS Gothic"/>
                <w14:uncheckedState w14:val="2610" w14:font="MS Gothic"/>
              </w14:checkbox>
            </w:sdtPr>
            <w:sdtEndPr>
              <w:rPr>
                <w:rFonts w:ascii="Arial" w:hAnsi="Arial" w:cs="Arial"/>
                <w:b/>
                <w:bCs/>
                <w:sz w:val="22"/>
                <w:szCs w:val="22"/>
              </w:rPr>
            </w:sdtEndPr>
            <w:sdtContent>
              <w:p w14:paraId="43668EE2">
                <w:pPr>
                  <w:pStyle w:val="15"/>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eastAsia="en-US"/>
                  </w:rPr>
                  <w:t>☒</w:t>
                </w:r>
              </w:p>
            </w:sdtContent>
          </w:sdt>
          <w:p w14:paraId="50CB8918">
            <w:pPr>
              <w:pStyle w:val="15"/>
              <w:autoSpaceDE w:val="0"/>
              <w:autoSpaceDN w:val="0"/>
              <w:adjustRightInd w:val="0"/>
              <w:jc w:val="center"/>
              <w:rPr>
                <w:rFonts w:ascii="Arial" w:hAnsi="Arial" w:cs="Arial"/>
                <w:b/>
                <w:bCs/>
                <w:sz w:val="22"/>
                <w:szCs w:val="22"/>
                <w:lang w:val="en-US"/>
              </w:rPr>
            </w:pP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0473273A">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pPr>
              <w:rPr>
                <w:rFonts w:ascii="Arial" w:hAnsi="Arial" w:cs="Arial"/>
                <w:sz w:val="22"/>
                <w:szCs w:val="22"/>
              </w:rPr>
            </w:pPr>
          </w:p>
          <w:p w14:paraId="3C2D27B6">
            <w:pPr>
              <w:autoSpaceDE w:val="0"/>
              <w:autoSpaceDN w:val="0"/>
              <w:adjustRightInd w:val="0"/>
              <w:rPr>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15"/>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15"/>
              <w:spacing w:before="0" w:beforeAutospacing="0" w:after="0" w:afterAutospacing="0"/>
              <w:ind w:left="567" w:right="567"/>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5"/>
              <w:spacing w:before="0" w:beforeAutospacing="0" w:after="0" w:afterAutospacing="0"/>
              <w:ind w:left="1134" w:right="567"/>
            </w:pPr>
            <w:r>
              <w:rPr>
                <w:rFonts w:ascii="Arial" w:hAnsi="Arial" w:cs="Arial"/>
                <w:i/>
                <w:iCs/>
                <w:color w:val="000000"/>
                <w:sz w:val="20"/>
                <w:szCs w:val="23"/>
              </w:rPr>
              <w:t>(a) racial or ethnic origin,</w:t>
            </w:r>
          </w:p>
          <w:p w14:paraId="38EA5233">
            <w:pPr>
              <w:pStyle w:val="15"/>
              <w:spacing w:before="0" w:beforeAutospacing="0" w:after="0" w:afterAutospacing="0"/>
              <w:ind w:left="1134" w:right="567"/>
            </w:pPr>
            <w:r>
              <w:rPr>
                <w:rFonts w:ascii="Arial" w:hAnsi="Arial" w:cs="Arial"/>
                <w:i/>
                <w:iCs/>
                <w:color w:val="000000"/>
                <w:sz w:val="20"/>
                <w:szCs w:val="23"/>
              </w:rPr>
              <w:t>(b) political opinions,</w:t>
            </w:r>
          </w:p>
          <w:p w14:paraId="10603BEE">
            <w:pPr>
              <w:pStyle w:val="15"/>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pPr>
              <w:pStyle w:val="15"/>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pPr>
              <w:pStyle w:val="15"/>
              <w:spacing w:before="0" w:beforeAutospacing="0" w:after="0" w:afterAutospacing="0"/>
              <w:ind w:left="1134" w:right="567"/>
            </w:pPr>
            <w:r>
              <w:rPr>
                <w:rFonts w:ascii="Arial" w:hAnsi="Arial" w:cs="Arial"/>
                <w:i/>
                <w:iCs/>
                <w:color w:val="000000"/>
                <w:sz w:val="20"/>
                <w:szCs w:val="23"/>
              </w:rPr>
              <w:t>(e) physical or mental health or condition,</w:t>
            </w:r>
          </w:p>
          <w:p w14:paraId="4A9613C7">
            <w:pPr>
              <w:pStyle w:val="15"/>
              <w:spacing w:before="0" w:beforeAutospacing="0" w:after="0" w:afterAutospacing="0"/>
              <w:ind w:left="1134" w:right="567"/>
            </w:pPr>
            <w:r>
              <w:rPr>
                <w:rFonts w:ascii="Arial" w:hAnsi="Arial" w:cs="Arial"/>
                <w:i/>
                <w:iCs/>
                <w:color w:val="000000"/>
                <w:sz w:val="20"/>
                <w:szCs w:val="23"/>
              </w:rPr>
              <w:t>(f) sexual life,</w:t>
            </w:r>
          </w:p>
          <w:p w14:paraId="7A818E2F">
            <w:pPr>
              <w:pStyle w:val="15"/>
              <w:spacing w:before="0" w:beforeAutospacing="0" w:after="0" w:afterAutospacing="0"/>
              <w:ind w:left="1134" w:right="567"/>
            </w:pPr>
            <w:r>
              <w:rPr>
                <w:rFonts w:ascii="Arial" w:hAnsi="Arial" w:cs="Arial"/>
                <w:i/>
                <w:iCs/>
                <w:color w:val="000000"/>
                <w:sz w:val="20"/>
                <w:szCs w:val="23"/>
              </w:rPr>
              <w:t>(g) genetics,</w:t>
            </w:r>
          </w:p>
          <w:p w14:paraId="5738998F">
            <w:pPr>
              <w:pStyle w:val="15"/>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167DFC9">
            <w:pPr>
              <w:pStyle w:val="15"/>
              <w:autoSpaceDE w:val="0"/>
              <w:autoSpaceDN w:val="0"/>
              <w:adjustRightInd w:val="0"/>
              <w:jc w:val="center"/>
              <w:rPr>
                <w:rFonts w:ascii="MS Gothic" w:hAnsi="MS Gothic" w:eastAsia="MS Gothic" w:cs="Arial"/>
                <w:b/>
                <w:bCs/>
                <w:sz w:val="22"/>
                <w:szCs w:val="22"/>
                <w:lang w:val="en-US"/>
              </w:rPr>
            </w:pPr>
          </w:p>
          <w:p w14:paraId="7900FDE1">
            <w:pPr>
              <w:pStyle w:val="15"/>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618951A">
            <w:pPr>
              <w:pStyle w:val="15"/>
              <w:autoSpaceDE w:val="0"/>
              <w:autoSpaceDN w:val="0"/>
              <w:adjustRightInd w:val="0"/>
              <w:jc w:val="center"/>
              <w:rPr>
                <w:rFonts w:ascii="MS Gothic" w:hAnsi="MS Gothic" w:eastAsia="MS Gothic" w:cs="Arial"/>
                <w:b/>
                <w:bCs/>
                <w:sz w:val="22"/>
                <w:szCs w:val="22"/>
                <w:lang w:val="en-US"/>
              </w:rPr>
            </w:pPr>
          </w:p>
          <w:sdt>
            <w:sdtPr>
              <w:rPr>
                <w:rFonts w:ascii="Arial" w:hAnsi="Arial" w:cs="Arial"/>
                <w:b/>
                <w:bCs/>
                <w:sz w:val="22"/>
                <w:szCs w:val="22"/>
              </w:rPr>
              <w:id w:val="147453193"/>
              <w14:checkbox>
                <w14:checked w14:val="1"/>
                <w14:checkedState w14:val="2612" w14:font="MS Gothic"/>
                <w14:uncheckedState w14:val="2610" w14:font="MS Gothic"/>
              </w14:checkbox>
            </w:sdtPr>
            <w:sdtEndPr>
              <w:rPr>
                <w:rFonts w:ascii="Arial" w:hAnsi="Arial" w:cs="Arial"/>
                <w:b/>
                <w:bCs/>
                <w:sz w:val="22"/>
                <w:szCs w:val="22"/>
              </w:rPr>
            </w:sdtEndPr>
            <w:sdtContent>
              <w:p w14:paraId="681CE3BB">
                <w:pPr>
                  <w:pStyle w:val="15"/>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eastAsia="en-US"/>
                  </w:rPr>
                  <w:t>☒</w:t>
                </w:r>
              </w:p>
            </w:sdtContent>
          </w:sdt>
          <w:p w14:paraId="37251222">
            <w:pPr>
              <w:pStyle w:val="15"/>
              <w:autoSpaceDE w:val="0"/>
              <w:autoSpaceDN w:val="0"/>
              <w:adjustRightInd w:val="0"/>
              <w:jc w:val="center"/>
              <w:rPr>
                <w:rFonts w:ascii="Arial" w:hAnsi="Arial" w:cs="Arial"/>
                <w:b/>
                <w:bCs/>
                <w:sz w:val="22"/>
                <w:szCs w:val="22"/>
              </w:rPr>
            </w:pPr>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0C466B26">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pPr>
              <w:rPr>
                <w:rFonts w:ascii="Arial" w:hAnsi="Arial" w:cs="Arial"/>
                <w:sz w:val="22"/>
                <w:szCs w:val="22"/>
              </w:rPr>
            </w:pPr>
          </w:p>
          <w:p w14:paraId="71D0FA06">
            <w:pPr>
              <w:rPr>
                <w:rFonts w:ascii="Arial" w:hAnsi="Arial" w:cs="Arial"/>
                <w:sz w:val="22"/>
                <w:szCs w:val="22"/>
              </w:rPr>
            </w:pPr>
          </w:p>
          <w:p w14:paraId="79149A68">
            <w:pPr>
              <w:rPr>
                <w:rFonts w:ascii="Arial" w:hAnsi="Arial" w:cs="Arial"/>
                <w:sz w:val="22"/>
                <w:szCs w:val="22"/>
              </w:rPr>
            </w:pPr>
          </w:p>
          <w:p w14:paraId="26748D15">
            <w:pPr>
              <w:autoSpaceDE w:val="0"/>
              <w:autoSpaceDN w:val="0"/>
              <w:adjustRightInd w:val="0"/>
            </w:pPr>
            <w:r>
              <w:rPr>
                <w:rFonts w:ascii="Arial" w:hAnsi="Arial" w:cs="Arial"/>
                <w:i/>
                <w:color w:val="808080"/>
                <w:sz w:val="18"/>
                <w:szCs w:val="18"/>
              </w:rPr>
              <w:t>(this box should expand as you type)</w:t>
            </w:r>
          </w:p>
        </w:tc>
      </w:tr>
    </w:tbl>
    <w:p w14:paraId="09E8A924"/>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14:paraId="3CB4C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7E69A1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14:paraId="33334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14:paraId="505A0A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F181C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B18E67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5B839E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6358F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14:paraId="3AE736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14:paraId="5324FC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bCs/>
                <w:sz w:val="22"/>
                <w:szCs w:val="22"/>
              </w:rPr>
            </w:sdtEndPr>
            <w:sdtContent>
              <w:p w14:paraId="7DBEE4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bCs/>
                <w:sz w:val="22"/>
                <w:szCs w:val="22"/>
              </w:rPr>
            </w:sdtEndPr>
            <w:sdtContent>
              <w:p w14:paraId="1F62E2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14:paraId="12CB88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253D55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2406080F">
            <w:pPr>
              <w:autoSpaceDE w:val="0"/>
              <w:autoSpaceDN w:val="0"/>
              <w:adjustRightInd w:val="0"/>
              <w:rPr>
                <w:rFonts w:ascii="Arial" w:hAnsi="Arial" w:cs="Arial"/>
                <w:i/>
                <w:color w:val="000000" w:themeColor="text1"/>
                <w:sz w:val="22"/>
                <w:szCs w:val="22"/>
                <w:lang w:eastAsia="en-GB"/>
                <w14:textFill>
                  <w14:solidFill>
                    <w14:schemeClr w14:val="tx1"/>
                  </w14:solidFill>
                </w14:textFill>
              </w:rPr>
            </w:pPr>
            <w:r>
              <w:rPr>
                <w:rFonts w:ascii="Arial" w:hAnsi="Arial" w:cs="Arial"/>
                <w:i/>
                <w:color w:val="000000" w:themeColor="text1"/>
                <w:sz w:val="22"/>
                <w:szCs w:val="22"/>
                <w:lang w:eastAsia="en-GB"/>
                <w14:textFill>
                  <w14:solidFill>
                    <w14:schemeClr w14:val="tx1"/>
                  </w14:solidFill>
                </w14:textFill>
              </w:rPr>
              <w:t>All data used in this research will be secondary data obtained from publicly available academic papers, AWS documentation, and technical reports. No personal or sensitive data will be collected.</w:t>
            </w:r>
          </w:p>
          <w:p w14:paraId="166FE904">
            <w:pPr>
              <w:autoSpaceDE w:val="0"/>
              <w:autoSpaceDN w:val="0"/>
              <w:adjustRightInd w:val="0"/>
              <w:rPr>
                <w:rFonts w:ascii="Arial" w:hAnsi="Arial" w:cs="Arial"/>
                <w:i/>
                <w:color w:val="000000" w:themeColor="text1"/>
                <w:sz w:val="22"/>
                <w:szCs w:val="22"/>
                <w:lang w:eastAsia="en-GB"/>
                <w14:textFill>
                  <w14:solidFill>
                    <w14:schemeClr w14:val="tx1"/>
                  </w14:solidFill>
                </w14:textFill>
              </w:rPr>
            </w:pPr>
          </w:p>
          <w:p w14:paraId="5E4AEF74">
            <w:pPr>
              <w:autoSpaceDE w:val="0"/>
              <w:autoSpaceDN w:val="0"/>
              <w:adjustRightInd w:val="0"/>
              <w:rPr>
                <w:rFonts w:ascii="Arial" w:hAnsi="Arial" w:cs="Arial"/>
                <w:i/>
                <w:color w:val="000000" w:themeColor="text1"/>
                <w:sz w:val="22"/>
                <w:szCs w:val="22"/>
                <w:lang w:eastAsia="en-GB"/>
                <w14:textFill>
                  <w14:solidFill>
                    <w14:schemeClr w14:val="tx1"/>
                  </w14:solidFill>
                </w14:textFill>
              </w:rPr>
            </w:pPr>
            <w:r>
              <w:rPr>
                <w:rFonts w:ascii="Arial" w:hAnsi="Arial" w:cs="Arial"/>
                <w:i/>
                <w:color w:val="000000" w:themeColor="text1"/>
                <w:sz w:val="22"/>
                <w:szCs w:val="22"/>
                <w:lang w:eastAsia="en-GB"/>
                <w14:textFill>
                  <w14:solidFill>
                    <w14:schemeClr w14:val="tx1"/>
                  </w14:solidFill>
                </w14:textFill>
              </w:rPr>
              <w:t>All research materials, notes, and documents will be stored securely on a password-protected personal computer and backed up using secure cloud storage (e.g., OneDrive). Access to the data will be limited to the researcher only.</w:t>
            </w:r>
          </w:p>
          <w:p w14:paraId="7BD12D66">
            <w:pPr>
              <w:autoSpaceDE w:val="0"/>
              <w:autoSpaceDN w:val="0"/>
              <w:adjustRightInd w:val="0"/>
              <w:rPr>
                <w:rFonts w:ascii="Arial" w:hAnsi="Arial" w:cs="Arial"/>
                <w:i/>
                <w:color w:val="000000" w:themeColor="text1"/>
                <w:sz w:val="22"/>
                <w:szCs w:val="22"/>
                <w:lang w:eastAsia="en-GB"/>
                <w14:textFill>
                  <w14:solidFill>
                    <w14:schemeClr w14:val="tx1"/>
                  </w14:solidFill>
                </w14:textFill>
              </w:rPr>
            </w:pPr>
          </w:p>
          <w:p w14:paraId="5DF9F7B4">
            <w:pPr>
              <w:autoSpaceDE w:val="0"/>
              <w:autoSpaceDN w:val="0"/>
              <w:adjustRightInd w:val="0"/>
              <w:rPr>
                <w:rFonts w:ascii="Arial" w:hAnsi="Arial" w:cs="Arial"/>
                <w:b/>
                <w:bCs/>
                <w:i/>
                <w:color w:val="7030A0"/>
                <w:sz w:val="22"/>
                <w:szCs w:val="22"/>
                <w:lang w:val="en-US" w:eastAsia="en-GB"/>
              </w:rPr>
            </w:pPr>
            <w:r>
              <w:rPr>
                <w:rFonts w:ascii="Arial" w:hAnsi="Arial" w:cs="Arial"/>
                <w:i/>
                <w:color w:val="000000" w:themeColor="text1"/>
                <w:sz w:val="22"/>
                <w:szCs w:val="22"/>
                <w:lang w:eastAsia="en-GB"/>
                <w14:textFill>
                  <w14:solidFill>
                    <w14:schemeClr w14:val="tx1"/>
                  </w14:solidFill>
                </w14:textFill>
              </w:rPr>
              <w:t>Any stored data will be protected through standard security measures such as password protection and, where applicable, encryption. No data will be shared with unauthorized individuals</w:t>
            </w:r>
            <w:r>
              <w:rPr>
                <w:rFonts w:ascii="Arial" w:hAnsi="Arial" w:cs="Arial"/>
                <w:i/>
                <w:color w:val="000000" w:themeColor="text1"/>
                <w:sz w:val="22"/>
                <w:szCs w:val="22"/>
                <w:lang w:val="en-US" w:eastAsia="en-GB"/>
                <w14:textFill>
                  <w14:solidFill>
                    <w14:schemeClr w14:val="tx1"/>
                  </w14:solidFill>
                </w14:textFill>
              </w:rPr>
              <w:t>.</w:t>
            </w:r>
          </w:p>
          <w:p w14:paraId="1F64FDAF">
            <w:pPr>
              <w:rPr>
                <w:rFonts w:ascii="Arial" w:hAnsi="Arial" w:cs="Arial"/>
                <w:sz w:val="22"/>
                <w:szCs w:val="22"/>
              </w:rPr>
            </w:pPr>
          </w:p>
          <w:p w14:paraId="0064E437">
            <w:pPr>
              <w:rPr>
                <w:rFonts w:ascii="Arial" w:hAnsi="Arial" w:cs="Arial"/>
                <w:sz w:val="22"/>
                <w:szCs w:val="22"/>
              </w:rPr>
            </w:pPr>
          </w:p>
          <w:p w14:paraId="3993C9F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14:paraId="34317F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14:paraId="69F55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14:paraId="6459B4E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14:paraId="607EC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14:paraId="198520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14:paraId="234D7D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14:paraId="3123DB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14:paraId="479B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14:paraId="6592C2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14:paraId="4A4CD2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2CEBA5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673902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3AF68747">
            <w:pPr>
              <w:autoSpaceDE w:val="0"/>
              <w:autoSpaceDN w:val="0"/>
              <w:adjustRightInd w:val="0"/>
              <w:rPr>
                <w:rFonts w:ascii="Arial" w:hAnsi="Arial" w:cs="Arial"/>
                <w:sz w:val="22"/>
                <w:szCs w:val="22"/>
              </w:rPr>
            </w:pPr>
            <w:r>
              <w:rPr>
                <w:rFonts w:ascii="Arial" w:hAnsi="Arial" w:cs="Arial"/>
                <w:sz w:val="22"/>
                <w:szCs w:val="22"/>
              </w:rPr>
              <w:t>The research will involve the electronic transfer and storage of secondary data such as academic articles, AWS documentation, technical reports, and drafts of the dissertation. No personal or sensitive data will be collected or processed.</w:t>
            </w:r>
          </w:p>
          <w:p w14:paraId="1EB08A35">
            <w:pPr>
              <w:autoSpaceDE w:val="0"/>
              <w:autoSpaceDN w:val="0"/>
              <w:adjustRightInd w:val="0"/>
              <w:rPr>
                <w:rFonts w:ascii="Arial" w:hAnsi="Arial" w:cs="Arial"/>
                <w:sz w:val="22"/>
                <w:szCs w:val="22"/>
              </w:rPr>
            </w:pPr>
          </w:p>
          <w:p w14:paraId="75B2DDCE">
            <w:pPr>
              <w:autoSpaceDE w:val="0"/>
              <w:autoSpaceDN w:val="0"/>
              <w:adjustRightInd w:val="0"/>
              <w:rPr>
                <w:rFonts w:ascii="Arial" w:hAnsi="Arial" w:cs="Arial"/>
                <w:sz w:val="22"/>
                <w:szCs w:val="22"/>
              </w:rPr>
            </w:pPr>
            <w:r>
              <w:rPr>
                <w:rFonts w:ascii="Arial" w:hAnsi="Arial" w:cs="Arial"/>
                <w:sz w:val="22"/>
                <w:szCs w:val="22"/>
              </w:rPr>
              <w:t>All data will be handled in accordance with the GDPR (2016) and the Data Protection Act (2018). Data will be securely stored in password-protected systems, including personal computers and secure cloud storage (e.g., OneDrive). Any data transfers will be conducted using secure and encrypted methods where applicable.</w:t>
            </w:r>
          </w:p>
          <w:p w14:paraId="69F41DC5">
            <w:pPr>
              <w:autoSpaceDE w:val="0"/>
              <w:autoSpaceDN w:val="0"/>
              <w:adjustRightInd w:val="0"/>
              <w:rPr>
                <w:rFonts w:ascii="Arial" w:hAnsi="Arial" w:cs="Arial"/>
                <w:sz w:val="22"/>
                <w:szCs w:val="22"/>
              </w:rPr>
            </w:pPr>
          </w:p>
          <w:p w14:paraId="25112752">
            <w:pPr>
              <w:autoSpaceDE w:val="0"/>
              <w:autoSpaceDN w:val="0"/>
              <w:adjustRightInd w:val="0"/>
              <w:rPr>
                <w:rFonts w:cs="Arial"/>
              </w:rPr>
            </w:pPr>
            <w:r>
              <w:rPr>
                <w:rFonts w:ascii="Arial" w:hAnsi="Arial" w:cs="Arial"/>
                <w:sz w:val="22"/>
                <w:szCs w:val="22"/>
              </w:rPr>
              <w:t>Access to the data will be limited to the researcher and supervisor only. The data will be used solely for academic purposes and will not be shared with any external organisations</w:t>
            </w: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7F9CFD02">
            <w:pPr>
              <w:autoSpaceDE w:val="0"/>
              <w:autoSpaceDN w:val="0"/>
              <w:adjustRightInd w:val="0"/>
              <w:rPr>
                <w:rFonts w:ascii="Arial" w:hAnsi="Arial" w:cs="Arial"/>
                <w:sz w:val="22"/>
                <w:szCs w:val="22"/>
              </w:rPr>
            </w:pPr>
            <w:r>
              <w:rPr>
                <w:rFonts w:ascii="Arial" w:hAnsi="Arial" w:cs="Arial"/>
                <w:sz w:val="22"/>
                <w:szCs w:val="22"/>
              </w:rPr>
              <w:t>The data generated by this research will be accessed by the principal researcher (Rajnik Pravinbhai Radadiya) and the research supervisor (Renuga Jayakumar) for guidance and review purposes. Additionally, University examiners (such as the second marker or external examiner) may have access to the data for assessment purposes. No other individuals or organisations will have access to the data.</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033AC69F">
            <w:pPr>
              <w:autoSpaceDE w:val="0"/>
              <w:autoSpaceDN w:val="0"/>
              <w:adjustRightInd w:val="0"/>
              <w:rPr>
                <w:rFonts w:ascii="Arial" w:hAnsi="Arial" w:cs="Arial"/>
                <w:sz w:val="22"/>
                <w:szCs w:val="22"/>
              </w:rPr>
            </w:pPr>
            <w:r>
              <w:rPr>
                <w:rFonts w:ascii="Arial" w:hAnsi="Arial" w:cs="Arial"/>
                <w:sz w:val="22"/>
                <w:szCs w:val="22"/>
              </w:rPr>
              <w:t>The principal researcher, Rajnik Pravinbhai Radadiya, will act as the data custodian and will be responsible for securely managing, storing, and protecting all data generated during the research.</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2461BCFA">
            <w:pPr>
              <w:autoSpaceDE w:val="0"/>
              <w:autoSpaceDN w:val="0"/>
              <w:adjustRightInd w:val="0"/>
              <w:rPr>
                <w:rFonts w:ascii="Arial" w:hAnsi="Arial" w:cs="Arial"/>
                <w:color w:val="000000" w:themeColor="text1"/>
                <w:sz w:val="22"/>
                <w:szCs w:val="22"/>
                <w14:textFill>
                  <w14:solidFill>
                    <w14:schemeClr w14:val="tx1"/>
                  </w14:solidFill>
                </w14:textFill>
              </w:rPr>
            </w:pPr>
            <w:r>
              <w:rPr>
                <w:rFonts w:ascii="Arial" w:hAnsi="Arial" w:cs="Arial"/>
                <w:i/>
                <w:color w:val="000000" w:themeColor="text1"/>
                <w:sz w:val="22"/>
                <w:szCs w:val="22"/>
                <w:lang w:eastAsia="en-GB"/>
                <w14:textFill>
                  <w14:solidFill>
                    <w14:schemeClr w14:val="tx1"/>
                  </w14:solidFill>
                </w14:textFill>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pPr>
              <w:autoSpaceDE w:val="0"/>
              <w:autoSpaceDN w:val="0"/>
              <w:adjustRightInd w:val="0"/>
              <w:rPr>
                <w:rFonts w:ascii="Arial" w:hAnsi="Arial" w:cs="Arial"/>
                <w:sz w:val="22"/>
                <w:szCs w:val="22"/>
              </w:rPr>
            </w:pPr>
          </w:p>
          <w:p w14:paraId="718D7CC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2018" w:type="dxa"/>
            <w:gridSpan w:val="2"/>
            <w:vAlign w:val="center"/>
          </w:tcPr>
          <w:p w14:paraId="677861B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14:paraId="57F2D14E">
      <w:pPr>
        <w:rPr>
          <w:rFonts w:ascii="Arial" w:hAnsi="Arial" w:cs="Arial"/>
          <w:b/>
          <w:bCs/>
          <w:sz w:val="22"/>
          <w:szCs w:val="22"/>
        </w:rPr>
      </w:pPr>
    </w:p>
    <w:p w14:paraId="5FD1B21D">
      <w:pPr>
        <w:autoSpaceDE w:val="0"/>
        <w:autoSpaceDN w:val="0"/>
        <w:adjustRightInd w:val="0"/>
        <w:spacing w:after="240"/>
        <w:jc w:val="both"/>
        <w:rPr>
          <w:rFonts w:ascii="Arial" w:hAnsi="Arial" w:cs="Arial"/>
          <w:b/>
          <w:sz w:val="22"/>
          <w:szCs w:val="22"/>
        </w:rPr>
      </w:pPr>
    </w:p>
    <w:p w14:paraId="4173BBB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18"/>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37B50C54">
        <w:tc>
          <w:tcPr>
            <w:tcW w:w="7392" w:type="dxa"/>
            <w:gridSpan w:val="2"/>
            <w:shd w:val="clear" w:color="auto" w:fill="F1F1F1" w:themeFill="background1" w:themeFillShade="F2"/>
          </w:tcPr>
          <w:p w14:paraId="1B50A2F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pPr>
              <w:autoSpaceDE w:val="0"/>
              <w:autoSpaceDN w:val="0"/>
              <w:adjustRightInd w:val="0"/>
              <w:jc w:val="both"/>
              <w:rPr>
                <w:rFonts w:ascii="Arial" w:hAnsi="Arial" w:cs="Arial"/>
                <w:bCs/>
                <w:sz w:val="22"/>
                <w:szCs w:val="22"/>
              </w:rPr>
            </w:pPr>
          </w:p>
          <w:p w14:paraId="132A75C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1F1F1" w:themeFill="background1" w:themeFillShade="F2"/>
            <w:vAlign w:val="center"/>
          </w:tcPr>
          <w:p w14:paraId="5EF585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1F1F1" w:themeFill="background1" w:themeFillShade="F2"/>
            <w:vAlign w:val="center"/>
          </w:tcPr>
          <w:p w14:paraId="0C0E4A8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1F1F1" w:themeFill="background1" w:themeFillShade="F2"/>
            <w:vAlign w:val="center"/>
          </w:tcPr>
          <w:p w14:paraId="1B4EC3A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1FDE4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7A6B581">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1F1F1" w:themeFill="background1" w:themeFillShade="F2"/>
            <w:vAlign w:val="center"/>
          </w:tcPr>
          <w:p w14:paraId="118DD82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EBEBE"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14:paraId="09AB06A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14:paraId="012BC38A">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14:paraId="06F92A7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6753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2CB5098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1F1F1" w:themeFill="background1" w:themeFillShade="F2"/>
            <w:vAlign w:val="center"/>
          </w:tcPr>
          <w:p w14:paraId="383B3C79">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EBEBE"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14:paraId="538BC78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rPr>
                <w:rFonts w:ascii="Arial" w:hAnsi="Arial" w:cs="Arial"/>
                <w:sz w:val="22"/>
                <w:szCs w:val="22"/>
              </w:rPr>
            </w:sdtEndPr>
            <w:sdtContent>
              <w:p w14:paraId="34729F33">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14:paraId="2C5225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75D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97C665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1F1F1" w:themeFill="background1" w:themeFillShade="F2"/>
            <w:vAlign w:val="center"/>
          </w:tcPr>
          <w:p w14:paraId="746F6701">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EBEBE"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14:paraId="70CF89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rPr>
                <w:rFonts w:ascii="Arial" w:hAnsi="Arial" w:cs="Arial"/>
                <w:sz w:val="22"/>
                <w:szCs w:val="22"/>
              </w:rPr>
            </w:sdtEndPr>
            <w:sdtContent>
              <w:p w14:paraId="64CE47E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14:paraId="58A970E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2C8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5B2FFDD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1F1F1" w:themeFill="background1" w:themeFillShade="F2"/>
            <w:vAlign w:val="center"/>
          </w:tcPr>
          <w:p w14:paraId="5B2A165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EBEBE"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14:paraId="78A8F8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14:paraId="0548A2DE">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14:paraId="4E9CDC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4D8B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0A7910B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1F1F1" w:themeFill="background1" w:themeFillShade="F2"/>
            <w:vAlign w:val="center"/>
          </w:tcPr>
          <w:p w14:paraId="618232B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EBEBE"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14:paraId="5ADF62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14:paraId="46CCFD6C">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14:paraId="4122F33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4ED0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849D92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1F1F1" w:themeFill="background1" w:themeFillShade="F2"/>
            <w:vAlign w:val="center"/>
          </w:tcPr>
          <w:p w14:paraId="041C810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EBEBE"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14:paraId="548E33B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rPr>
                <w:rFonts w:ascii="Arial" w:hAnsi="Arial" w:cs="Arial"/>
                <w:sz w:val="22"/>
                <w:szCs w:val="22"/>
              </w:rPr>
            </w:sdtEndPr>
            <w:sdtContent>
              <w:p w14:paraId="6E63F030">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14:paraId="0B025E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4E3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451815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1F1F1" w:themeFill="background1" w:themeFillShade="F2"/>
            <w:vAlign w:val="center"/>
          </w:tcPr>
          <w:p w14:paraId="05DBCB3D">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EBEBE"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14:paraId="5C1094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14:paraId="031C60A4">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14:paraId="72B42B0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CA5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24229013">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1F1F1" w:themeFill="background1" w:themeFillShade="F2"/>
            <w:vAlign w:val="center"/>
          </w:tcPr>
          <w:p w14:paraId="5CFE01E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EBEBE"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14:paraId="179C661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14:paraId="66066D41">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14:paraId="1F9A47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AFA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D4726E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1F1F1" w:themeFill="background1" w:themeFillShade="F2"/>
            <w:vAlign w:val="center"/>
          </w:tcPr>
          <w:p w14:paraId="2DAD6B2D">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EBEBE"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14:paraId="70F57AC8">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14:paraId="147437E8">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14:paraId="49916C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F821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4642261">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1F1F1" w:themeFill="background1" w:themeFillShade="F2"/>
            <w:vAlign w:val="center"/>
          </w:tcPr>
          <w:p w14:paraId="0087B87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EBEBE"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14:paraId="71BB41F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14:paraId="37DE205C">
                <w:pPr>
                  <w:autoSpaceDE w:val="0"/>
                  <w:autoSpaceDN w:val="0"/>
                  <w:adjustRightInd w:val="0"/>
                  <w:jc w:val="center"/>
                  <w:rPr>
                    <w:rFonts w:ascii="Arial" w:hAnsi="Arial" w:cs="Arial"/>
                    <w:sz w:val="22"/>
                    <w:szCs w:val="22"/>
                  </w:rPr>
                </w:pPr>
                <w:r>
                  <w:rPr>
                    <w:rFonts w:ascii="MS Gothic" w:hAnsi="MS Gothic" w:eastAsia="MS Gothic" w:cs="Segoe UI Symbo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14:paraId="5F8C2C0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0B7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5D56995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1F1F1" w:themeFill="background1" w:themeFillShade="F2"/>
            <w:vAlign w:val="center"/>
          </w:tcPr>
          <w:p w14:paraId="5E46C50D">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EBEBE"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rPr>
                <w:rFonts w:ascii="Arial" w:hAnsi="Arial" w:cs="Arial"/>
                <w:sz w:val="22"/>
                <w:szCs w:val="22"/>
              </w:rPr>
            </w:sdtEndPr>
            <w:sdtContent>
              <w:p w14:paraId="5C02610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rPr>
                <w:rFonts w:ascii="Arial" w:hAnsi="Arial" w:cs="Arial"/>
                <w:sz w:val="22"/>
                <w:szCs w:val="22"/>
              </w:rPr>
            </w:sdtEndPr>
            <w:sdtContent>
              <w:p w14:paraId="6250690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14:paraId="41DA59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282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5"/>
            <w:shd w:val="clear" w:color="auto" w:fill="F1F1F1" w:themeFill="background1" w:themeFillShade="F2"/>
            <w:vAlign w:val="center"/>
          </w:tcPr>
          <w:p w14:paraId="5CCE5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14:paraId="6D54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vAlign w:val="center"/>
          </w:tcPr>
          <w:p w14:paraId="0DA0924A">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pPr>
              <w:autoSpaceDE w:val="0"/>
              <w:autoSpaceDN w:val="0"/>
              <w:adjustRightInd w:val="0"/>
              <w:rPr>
                <w:rFonts w:ascii="Arial" w:hAnsi="Arial" w:cs="Arial"/>
              </w:rPr>
            </w:pPr>
            <w:r>
              <w:rPr>
                <w:rFonts w:ascii="Arial" w:hAnsi="Arial" w:cs="Arial"/>
              </w:rPr>
              <w:t xml:space="preserve">Yes, tools like Grammarly will be used to proof read the research. </w:t>
            </w:r>
          </w:p>
        </w:tc>
      </w:tr>
    </w:tbl>
    <w:p w14:paraId="6349A520">
      <w:pPr>
        <w:rPr>
          <w:rFonts w:ascii="Arial" w:hAnsi="Arial" w:cs="Arial"/>
          <w:b/>
          <w:bCs/>
          <w:sz w:val="22"/>
          <w:szCs w:val="22"/>
        </w:rPr>
      </w:pPr>
    </w:p>
    <w:p w14:paraId="1954778D">
      <w:pPr>
        <w:rPr>
          <w:rFonts w:ascii="Arial" w:hAnsi="Arial" w:cs="Arial"/>
          <w:b/>
          <w:bCs/>
          <w:sz w:val="22"/>
          <w:szCs w:val="22"/>
        </w:rPr>
      </w:pP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Style w:val="5"/>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5"/>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vAlign w:val="center"/>
          </w:tcPr>
          <w:p w14:paraId="417337B7">
            <w:pPr>
              <w:spacing w:before="100" w:beforeAutospacing="1" w:after="100" w:afterAutospacing="1"/>
              <w:rPr>
                <w:rFonts w:ascii="Arial" w:hAnsi="Arial" w:cs="Arial"/>
                <w:sz w:val="22"/>
                <w:szCs w:val="22"/>
                <w:lang w:val="en-US"/>
              </w:rPr>
            </w:pPr>
            <w:r>
              <w:rPr>
                <w:rFonts w:ascii="SketchFlow Print" w:hAnsi="SketchFlow Print" w:cs="SketchFlow Print"/>
                <w:sz w:val="22"/>
                <w:szCs w:val="22"/>
                <w:lang w:val="en-US"/>
              </w:rPr>
              <w:t xml:space="preserve">Rajnik Pravinbhai Radadiya </w:t>
            </w:r>
          </w:p>
        </w:tc>
        <w:tc>
          <w:tcPr>
            <w:tcW w:w="2139" w:type="dxa"/>
            <w:gridSpan w:val="3"/>
            <w:vAlign w:val="center"/>
          </w:tcPr>
          <w:p w14:paraId="7C2D2CC9">
            <w:pPr>
              <w:spacing w:before="100" w:beforeAutospacing="1" w:after="100" w:afterAutospacing="1"/>
              <w:rPr>
                <w:rFonts w:ascii="Arial" w:hAnsi="Arial" w:cs="Arial"/>
                <w:b/>
                <w:bCs/>
                <w:sz w:val="22"/>
                <w:szCs w:val="22"/>
              </w:rPr>
            </w:pPr>
            <w:r>
              <w:rPr>
                <w:rFonts w:ascii="Arial" w:hAnsi="Arial" w:cs="Arial"/>
                <w:b/>
                <w:bCs/>
                <w:sz w:val="22"/>
                <w:szCs w:val="22"/>
              </w:rPr>
              <w:t>Date:</w:t>
            </w:r>
          </w:p>
          <w:p w14:paraId="6C1C1BE5">
            <w:pPr>
              <w:spacing w:before="100" w:beforeAutospacing="1" w:after="100" w:afterAutospacing="1"/>
              <w:rPr>
                <w:rFonts w:hint="default" w:ascii="Arial" w:hAnsi="Arial" w:cs="Arial"/>
                <w:sz w:val="22"/>
                <w:szCs w:val="22"/>
                <w:lang w:val="en-US"/>
              </w:rPr>
            </w:pPr>
            <w:r>
              <w:rPr>
                <w:rFonts w:hint="default" w:ascii="Arial" w:hAnsi="Arial" w:cs="Arial"/>
                <w:sz w:val="22"/>
                <w:szCs w:val="22"/>
                <w:lang w:val="en-US"/>
              </w:rPr>
              <w:t>1/05/2026</w:t>
            </w:r>
          </w:p>
        </w:tc>
      </w:tr>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6" w:hRule="atLeast"/>
        </w:trPr>
        <w:tc>
          <w:tcPr>
            <w:tcW w:w="562" w:type="dxa"/>
            <w:gridSpan w:val="2"/>
            <w:shd w:val="clear" w:color="auto" w:fill="F1F1F1" w:themeFill="background1" w:themeFillShade="F2"/>
            <w:vAlign w:val="center"/>
          </w:tcPr>
          <w:p w14:paraId="33C64BB8">
            <w:pPr>
              <w:pStyle w:val="30"/>
              <w:ind w:left="0"/>
              <w:jc w:val="center"/>
              <w:rPr>
                <w:rFonts w:ascii="Arial" w:hAnsi="Arial" w:cs="Arial"/>
              </w:rPr>
            </w:pPr>
            <w:r>
              <w:rPr>
                <w:rFonts w:ascii="Arial" w:hAnsi="Arial" w:cs="Arial"/>
              </w:rPr>
              <w:t>2</w:t>
            </w:r>
          </w:p>
        </w:tc>
        <w:tc>
          <w:tcPr>
            <w:tcW w:w="2835" w:type="dxa"/>
            <w:shd w:val="clear" w:color="auto" w:fill="F1F1F1" w:themeFill="background1" w:themeFillShade="F2"/>
            <w:vAlign w:val="center"/>
          </w:tcPr>
          <w:p w14:paraId="37C87372">
            <w:pPr>
              <w:pStyle w:val="30"/>
              <w:ind w:left="0"/>
              <w:rPr>
                <w:rFonts w:ascii="Arial" w:hAnsi="Arial" w:cs="Arial"/>
              </w:rPr>
            </w:pPr>
            <w:r>
              <w:rPr>
                <w:rFonts w:ascii="Arial" w:hAnsi="Arial" w:cs="Arial"/>
              </w:rPr>
              <w:t>Supervisor:</w:t>
            </w:r>
          </w:p>
        </w:tc>
        <w:tc>
          <w:tcPr>
            <w:tcW w:w="4959" w:type="dxa"/>
            <w:gridSpan w:val="2"/>
            <w:vAlign w:val="center"/>
          </w:tcPr>
          <w:p w14:paraId="2001AF23">
            <w:pPr>
              <w:pStyle w:val="30"/>
              <w:ind w:left="0"/>
              <w:rPr>
                <w:rFonts w:ascii="Arial" w:hAnsi="Arial" w:cs="Arial"/>
                <w:lang w:val="en-US"/>
              </w:rPr>
            </w:pPr>
            <w:r>
              <w:rPr>
                <w:rFonts w:ascii="Arial" w:hAnsi="Arial" w:cs="Arial"/>
                <w:lang w:val="en-US"/>
              </w:rPr>
              <w:t>Renuga jayakumar</w:t>
            </w:r>
          </w:p>
        </w:tc>
        <w:tc>
          <w:tcPr>
            <w:tcW w:w="2123" w:type="dxa"/>
            <w:vMerge w:val="restart"/>
            <w:vAlign w:val="center"/>
          </w:tcPr>
          <w:p w14:paraId="138C08DD">
            <w:pPr>
              <w:spacing w:before="100" w:beforeAutospacing="1" w:after="100" w:afterAutospacing="1"/>
              <w:rPr>
                <w:rFonts w:ascii="Arial" w:hAnsi="Arial" w:cs="Arial"/>
                <w:b/>
                <w:bCs/>
                <w:sz w:val="22"/>
                <w:szCs w:val="22"/>
              </w:rPr>
            </w:pPr>
            <w:r>
              <w:rPr>
                <w:rFonts w:ascii="Arial" w:hAnsi="Arial" w:cs="Arial"/>
                <w:b/>
                <w:bCs/>
                <w:sz w:val="22"/>
                <w:szCs w:val="22"/>
              </w:rPr>
              <w:t>Date:</w:t>
            </w:r>
          </w:p>
          <w:p w14:paraId="6E20CE1A">
            <w:pPr>
              <w:spacing w:before="100" w:beforeAutospacing="1" w:after="100" w:afterAutospacing="1"/>
              <w:rPr>
                <w:rFonts w:ascii="Arial" w:hAnsi="Arial" w:cs="Arial"/>
                <w:b/>
                <w:bCs/>
              </w:rPr>
            </w:pPr>
            <w:r>
              <w:rPr>
                <w:rFonts w:hint="default" w:ascii="Arial" w:hAnsi="Arial" w:cs="Arial"/>
                <w:sz w:val="22"/>
                <w:szCs w:val="22"/>
                <w:lang w:val="en-US"/>
              </w:rPr>
              <w:t>15/05/2026</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7" w:hRule="atLeast"/>
        </w:trPr>
        <w:tc>
          <w:tcPr>
            <w:tcW w:w="562" w:type="dxa"/>
            <w:gridSpan w:val="2"/>
            <w:shd w:val="clear" w:color="auto" w:fill="F1F1F1" w:themeFill="background1" w:themeFillShade="F2"/>
            <w:vAlign w:val="center"/>
          </w:tcPr>
          <w:p w14:paraId="71B2DBDC">
            <w:pPr>
              <w:pStyle w:val="30"/>
              <w:ind w:left="0"/>
              <w:jc w:val="center"/>
              <w:rPr>
                <w:rFonts w:ascii="Arial" w:hAnsi="Arial" w:cs="Arial"/>
              </w:rPr>
            </w:pPr>
            <w:r>
              <w:rPr>
                <w:rFonts w:ascii="Arial" w:hAnsi="Arial" w:cs="Arial"/>
              </w:rPr>
              <w:t>3</w:t>
            </w:r>
          </w:p>
        </w:tc>
        <w:tc>
          <w:tcPr>
            <w:tcW w:w="2835" w:type="dxa"/>
            <w:shd w:val="clear" w:color="auto" w:fill="F1F1F1" w:themeFill="background1" w:themeFillShade="F2"/>
            <w:vAlign w:val="center"/>
          </w:tcPr>
          <w:p w14:paraId="56D9CFC1">
            <w:pPr>
              <w:pStyle w:val="30"/>
              <w:ind w:left="0"/>
              <w:rPr>
                <w:rFonts w:ascii="Arial" w:hAnsi="Arial" w:cs="Arial"/>
              </w:rPr>
            </w:pPr>
            <w:r>
              <w:rPr>
                <w:rFonts w:ascii="Arial" w:hAnsi="Arial" w:cs="Arial"/>
              </w:rPr>
              <w:t>Signature:</w:t>
            </w:r>
          </w:p>
        </w:tc>
        <w:tc>
          <w:tcPr>
            <w:tcW w:w="4959" w:type="dxa"/>
            <w:gridSpan w:val="2"/>
            <w:vAlign w:val="center"/>
          </w:tcPr>
          <w:p w14:paraId="7D041473">
            <w:pPr>
              <w:pStyle w:val="30"/>
              <w:ind w:left="0"/>
              <w:rPr>
                <w:rFonts w:ascii="Arial" w:hAnsi="Arial" w:cs="Arial"/>
              </w:rPr>
            </w:pPr>
          </w:p>
          <w:p w14:paraId="20916ADA">
            <w:pPr>
              <w:pStyle w:val="30"/>
              <w:ind w:left="0"/>
              <w:rPr>
                <w:rFonts w:ascii="Arial" w:hAnsi="Arial" w:cs="Arial"/>
              </w:rPr>
            </w:pPr>
          </w:p>
        </w:tc>
        <w:tc>
          <w:tcPr>
            <w:tcW w:w="2123" w:type="dxa"/>
            <w:vMerge w:val="continue"/>
            <w:vAlign w:val="center"/>
          </w:tcPr>
          <w:p w14:paraId="05BCF667">
            <w:pPr>
              <w:pStyle w:val="30"/>
              <w:ind w:left="0"/>
              <w:rPr>
                <w:rFonts w:ascii="Arial" w:hAnsi="Arial" w:cs="Arial"/>
              </w:rPr>
            </w:pPr>
          </w:p>
        </w:tc>
      </w:tr>
    </w:tbl>
    <w:p w14:paraId="03DD9904">
      <w:pPr>
        <w:rPr>
          <w:rFonts w:ascii="Arial" w:hAnsi="Arial" w:cs="Arial"/>
          <w:sz w:val="22"/>
          <w:szCs w:val="22"/>
        </w:rPr>
      </w:pPr>
      <w:bookmarkStart w:id="0" w:name="_GoBack"/>
      <w:bookmarkEnd w:id="0"/>
    </w:p>
    <w:sectPr>
      <w:headerReference r:id="rId3" w:type="default"/>
      <w:footerReference r:id="rId4" w:type="default"/>
      <w:pgSz w:w="11906" w:h="16838"/>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SketchFlow Print">
    <w:panose1 w:val="02000000000000000000"/>
    <w:charset w:val="00"/>
    <w:family w:val="auto"/>
    <w:pitch w:val="default"/>
    <w:sig w:usb0="A00000AF" w:usb1="4000204A" w:usb2="00000000" w:usb3="00000000" w:csb0="20000193" w:csb1="4D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301B7">
    <w:pPr>
      <w:pStyle w:val="12"/>
      <w:rPr>
        <w:rStyle w:val="16"/>
        <w:rFonts w:ascii="Arial" w:hAnsi="Arial" w:cs="Arial"/>
      </w:rPr>
    </w:pPr>
    <w:r>
      <w:rPr>
        <w:rFonts w:ascii="Arial" w:hAnsi="Arial" w:cs="Arial"/>
      </w:rPr>
      <w:t>January 2026</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5</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 xml:space="preserve">Ethical Approval Form </w:t>
    </w:r>
  </w:p>
  <w:p w14:paraId="7E371967">
    <w:pPr>
      <w:pStyle w:val="12"/>
    </w:pPr>
    <w:r>
      <w:rPr>
        <w:rStyle w:val="16"/>
        <w:rFonts w:ascii="Arial" w:hAnsi="Arial" w:cs="Arial"/>
      </w:rPr>
      <w:t xml:space="preserve">                                        </w:t>
    </w:r>
    <w:r>
      <w:rPr>
        <w:rFonts w:ascii="Arial" w:hAnsi="Arial" w:cs="Arial"/>
        <w:b/>
        <w:bCs/>
        <w:sz w:val="16"/>
        <w:szCs w:val="16"/>
      </w:rPr>
      <w:t>UNDERGRADUATE AND TAUGHT POSTGRADUATE COURSES ONLY</w:t>
    </w:r>
    <w:r>
      <w:rPr>
        <w:rStyle w:val="16"/>
        <w:rFonts w:ascii="Arial" w:hAnsi="Arial" w:cs="Arial"/>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3"/>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D3FAE4"/>
    <w:multiLevelType w:val="singleLevel"/>
    <w:tmpl w:val="D8D3FAE4"/>
    <w:lvl w:ilvl="0" w:tentative="0">
      <w:start w:val="1"/>
      <w:numFmt w:val="bullet"/>
      <w:lvlText w:val=""/>
      <w:lvlJc w:val="left"/>
      <w:pPr>
        <w:tabs>
          <w:tab w:val="left" w:pos="420"/>
        </w:tabs>
        <w:ind w:left="420" w:hanging="420"/>
      </w:pPr>
      <w:rPr>
        <w:rFonts w:hint="default" w:ascii="Wingdings" w:hAnsi="Wingdings"/>
      </w:rPr>
    </w:lvl>
  </w:abstractNum>
  <w:abstractNum w:abstractNumId="1">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0FB3"/>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1F56"/>
    <w:rsid w:val="0019200D"/>
    <w:rsid w:val="00192411"/>
    <w:rsid w:val="00195B55"/>
    <w:rsid w:val="001A366F"/>
    <w:rsid w:val="001A4F87"/>
    <w:rsid w:val="001A7A8F"/>
    <w:rsid w:val="001B0B2F"/>
    <w:rsid w:val="001B41AD"/>
    <w:rsid w:val="001B66FA"/>
    <w:rsid w:val="001C09E8"/>
    <w:rsid w:val="001C269D"/>
    <w:rsid w:val="001C3CC4"/>
    <w:rsid w:val="001C7C72"/>
    <w:rsid w:val="001D0728"/>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36E60"/>
    <w:rsid w:val="00240F9C"/>
    <w:rsid w:val="00255B51"/>
    <w:rsid w:val="00257ABC"/>
    <w:rsid w:val="002657B4"/>
    <w:rsid w:val="00266AB2"/>
    <w:rsid w:val="00272EE5"/>
    <w:rsid w:val="00280A88"/>
    <w:rsid w:val="002866BC"/>
    <w:rsid w:val="0029113C"/>
    <w:rsid w:val="00293A45"/>
    <w:rsid w:val="002A152D"/>
    <w:rsid w:val="002A7E77"/>
    <w:rsid w:val="002B56C1"/>
    <w:rsid w:val="002B6591"/>
    <w:rsid w:val="002B6DE2"/>
    <w:rsid w:val="002B7789"/>
    <w:rsid w:val="002C4AEB"/>
    <w:rsid w:val="002D1837"/>
    <w:rsid w:val="002D4DC9"/>
    <w:rsid w:val="002E0739"/>
    <w:rsid w:val="002E33E7"/>
    <w:rsid w:val="002F4213"/>
    <w:rsid w:val="00303350"/>
    <w:rsid w:val="00316FD5"/>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353"/>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E5AE2"/>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40D3"/>
    <w:rsid w:val="004B7A0E"/>
    <w:rsid w:val="004C3A0B"/>
    <w:rsid w:val="004C3D85"/>
    <w:rsid w:val="004C5C13"/>
    <w:rsid w:val="004D0161"/>
    <w:rsid w:val="004D5683"/>
    <w:rsid w:val="004E0338"/>
    <w:rsid w:val="004E4AC4"/>
    <w:rsid w:val="004E616D"/>
    <w:rsid w:val="004F059C"/>
    <w:rsid w:val="004F599C"/>
    <w:rsid w:val="005035A0"/>
    <w:rsid w:val="005064D3"/>
    <w:rsid w:val="00515580"/>
    <w:rsid w:val="00526C56"/>
    <w:rsid w:val="00527AED"/>
    <w:rsid w:val="00531C04"/>
    <w:rsid w:val="0053302B"/>
    <w:rsid w:val="00536AEC"/>
    <w:rsid w:val="0054063E"/>
    <w:rsid w:val="00546F01"/>
    <w:rsid w:val="0055785D"/>
    <w:rsid w:val="00560703"/>
    <w:rsid w:val="00563B3D"/>
    <w:rsid w:val="00564AD3"/>
    <w:rsid w:val="005704BE"/>
    <w:rsid w:val="00571817"/>
    <w:rsid w:val="00573226"/>
    <w:rsid w:val="00574528"/>
    <w:rsid w:val="005756CA"/>
    <w:rsid w:val="00581C49"/>
    <w:rsid w:val="0058261B"/>
    <w:rsid w:val="00584B8F"/>
    <w:rsid w:val="0059062A"/>
    <w:rsid w:val="005934C5"/>
    <w:rsid w:val="005960A0"/>
    <w:rsid w:val="00596BFA"/>
    <w:rsid w:val="005A76DA"/>
    <w:rsid w:val="005B52AE"/>
    <w:rsid w:val="005D0C38"/>
    <w:rsid w:val="005D6613"/>
    <w:rsid w:val="005D68D2"/>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24A7"/>
    <w:rsid w:val="0065396D"/>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88B"/>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4177"/>
    <w:rsid w:val="00776145"/>
    <w:rsid w:val="007816BA"/>
    <w:rsid w:val="0078273B"/>
    <w:rsid w:val="007849BE"/>
    <w:rsid w:val="00784D14"/>
    <w:rsid w:val="007902A2"/>
    <w:rsid w:val="0079264D"/>
    <w:rsid w:val="00792842"/>
    <w:rsid w:val="00795A3F"/>
    <w:rsid w:val="007A1294"/>
    <w:rsid w:val="007A4607"/>
    <w:rsid w:val="007B1754"/>
    <w:rsid w:val="007C044B"/>
    <w:rsid w:val="007C1498"/>
    <w:rsid w:val="007C17B4"/>
    <w:rsid w:val="007C3AC1"/>
    <w:rsid w:val="007C79AE"/>
    <w:rsid w:val="007D1965"/>
    <w:rsid w:val="007D44AE"/>
    <w:rsid w:val="007D46AF"/>
    <w:rsid w:val="007D4E07"/>
    <w:rsid w:val="007E14FB"/>
    <w:rsid w:val="007F23AA"/>
    <w:rsid w:val="007F29F6"/>
    <w:rsid w:val="007F3C4F"/>
    <w:rsid w:val="007F4303"/>
    <w:rsid w:val="007F5CA0"/>
    <w:rsid w:val="008102B5"/>
    <w:rsid w:val="008118EE"/>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D5480"/>
    <w:rsid w:val="008E0B2C"/>
    <w:rsid w:val="008F29DD"/>
    <w:rsid w:val="008F6555"/>
    <w:rsid w:val="009003C5"/>
    <w:rsid w:val="00903B3C"/>
    <w:rsid w:val="00903C1A"/>
    <w:rsid w:val="009043CA"/>
    <w:rsid w:val="00905E68"/>
    <w:rsid w:val="00906363"/>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1B36"/>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0F0D"/>
    <w:rsid w:val="00B91DEA"/>
    <w:rsid w:val="00B92663"/>
    <w:rsid w:val="00B93605"/>
    <w:rsid w:val="00BA1A32"/>
    <w:rsid w:val="00BA346E"/>
    <w:rsid w:val="00BB1B85"/>
    <w:rsid w:val="00BB26B7"/>
    <w:rsid w:val="00BB3142"/>
    <w:rsid w:val="00BC301B"/>
    <w:rsid w:val="00BD3EFE"/>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45D3"/>
    <w:rsid w:val="00C666E9"/>
    <w:rsid w:val="00C67F11"/>
    <w:rsid w:val="00C70796"/>
    <w:rsid w:val="00C77D7E"/>
    <w:rsid w:val="00C81846"/>
    <w:rsid w:val="00C86572"/>
    <w:rsid w:val="00C9326A"/>
    <w:rsid w:val="00C976A6"/>
    <w:rsid w:val="00CA0057"/>
    <w:rsid w:val="00CA0FDA"/>
    <w:rsid w:val="00CA11BD"/>
    <w:rsid w:val="00CA1C8C"/>
    <w:rsid w:val="00CA510C"/>
    <w:rsid w:val="00CA7241"/>
    <w:rsid w:val="00CA7D5E"/>
    <w:rsid w:val="00CB0731"/>
    <w:rsid w:val="00CB1104"/>
    <w:rsid w:val="00CB4DA5"/>
    <w:rsid w:val="00CB7118"/>
    <w:rsid w:val="00CC1528"/>
    <w:rsid w:val="00CC1835"/>
    <w:rsid w:val="00CC2661"/>
    <w:rsid w:val="00CD1173"/>
    <w:rsid w:val="00CD5765"/>
    <w:rsid w:val="00CD5F3C"/>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057B5"/>
    <w:rsid w:val="00E16786"/>
    <w:rsid w:val="00E168CB"/>
    <w:rsid w:val="00E17AFC"/>
    <w:rsid w:val="00E239F4"/>
    <w:rsid w:val="00E25714"/>
    <w:rsid w:val="00E32138"/>
    <w:rsid w:val="00E43EC5"/>
    <w:rsid w:val="00E4480D"/>
    <w:rsid w:val="00E45AB0"/>
    <w:rsid w:val="00E57EF4"/>
    <w:rsid w:val="00E633CC"/>
    <w:rsid w:val="00E65973"/>
    <w:rsid w:val="00E6714D"/>
    <w:rsid w:val="00E73456"/>
    <w:rsid w:val="00E84BC8"/>
    <w:rsid w:val="00E914D8"/>
    <w:rsid w:val="00E93E44"/>
    <w:rsid w:val="00E95A30"/>
    <w:rsid w:val="00EA26D8"/>
    <w:rsid w:val="00EA5DE3"/>
    <w:rsid w:val="00EA63E6"/>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3E9D"/>
    <w:rsid w:val="00F64D54"/>
    <w:rsid w:val="00F722A2"/>
    <w:rsid w:val="00F75F59"/>
    <w:rsid w:val="00F8166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50B28A2"/>
    <w:rsid w:val="063C4DCA"/>
    <w:rsid w:val="1AAE16A7"/>
    <w:rsid w:val="21390FA6"/>
    <w:rsid w:val="2F4210E5"/>
    <w:rsid w:val="2F8447A4"/>
    <w:rsid w:val="333B43DF"/>
    <w:rsid w:val="36550F84"/>
    <w:rsid w:val="46581D97"/>
    <w:rsid w:val="474A1A26"/>
    <w:rsid w:val="69DC58DB"/>
    <w:rsid w:val="6C1803E4"/>
    <w:rsid w:val="748024D5"/>
    <w:rsid w:val="7E1D3332"/>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3"/>
    <w:semiHidden/>
    <w:qFormat/>
    <w:uiPriority w:val="99"/>
    <w:rPr>
      <w:rFonts w:ascii="Tahoma" w:hAnsi="Tahoma" w:cs="Tahoma"/>
      <w:sz w:val="16"/>
      <w:szCs w:val="16"/>
    </w:rPr>
  </w:style>
  <w:style w:type="paragraph" w:styleId="7">
    <w:name w:val="Body Text 2"/>
    <w:basedOn w:val="1"/>
    <w:link w:val="21"/>
    <w:qFormat/>
    <w:uiPriority w:val="99"/>
    <w:pPr>
      <w:ind w:left="720" w:hanging="720"/>
    </w:pPr>
    <w:rPr>
      <w:b/>
      <w:bCs/>
      <w:sz w:val="22"/>
      <w:szCs w:val="22"/>
    </w:rPr>
  </w:style>
  <w:style w:type="character" w:styleId="8">
    <w:name w:val="annotation reference"/>
    <w:semiHidden/>
    <w:unhideWhenUsed/>
    <w:qFormat/>
    <w:uiPriority w:val="99"/>
    <w:rPr>
      <w:sz w:val="16"/>
      <w:szCs w:val="16"/>
    </w:rPr>
  </w:style>
  <w:style w:type="paragraph" w:styleId="9">
    <w:name w:val="annotation text"/>
    <w:basedOn w:val="1"/>
    <w:link w:val="28"/>
    <w:semiHidden/>
    <w:unhideWhenUsed/>
    <w:qFormat/>
    <w:uiPriority w:val="99"/>
  </w:style>
  <w:style w:type="paragraph" w:styleId="10">
    <w:name w:val="annotation subject"/>
    <w:basedOn w:val="9"/>
    <w:next w:val="9"/>
    <w:link w:val="29"/>
    <w:semiHidden/>
    <w:unhideWhenUsed/>
    <w:qFormat/>
    <w:uiPriority w:val="99"/>
    <w:rPr>
      <w:b/>
      <w:bCs/>
    </w:rPr>
  </w:style>
  <w:style w:type="character" w:styleId="11">
    <w:name w:val="FollowedHyperlink"/>
    <w:semiHidden/>
    <w:qFormat/>
    <w:uiPriority w:val="99"/>
    <w:rPr>
      <w:color w:val="800080"/>
      <w:u w:val="single"/>
    </w:rPr>
  </w:style>
  <w:style w:type="paragraph" w:styleId="12">
    <w:name w:val="footer"/>
    <w:basedOn w:val="1"/>
    <w:link w:val="25"/>
    <w:qFormat/>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qFormat/>
    <w:uiPriority w:val="99"/>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qFormat/>
    <w:uiPriority w:val="99"/>
  </w:style>
  <w:style w:type="character" w:styleId="17">
    <w:name w:val="Strong"/>
    <w:qFormat/>
    <w:uiPriority w:val="22"/>
    <w:rPr>
      <w:b/>
      <w:bCs/>
    </w:rPr>
  </w:style>
  <w:style w:type="table" w:styleId="18">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7"/>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6"/>
    <w:semiHidden/>
    <w:qFormat/>
    <w:uiPriority w:val="99"/>
    <w:rPr>
      <w:sz w:val="2"/>
      <w:szCs w:val="2"/>
      <w:lang w:eastAsia="en-US"/>
    </w:rPr>
  </w:style>
  <w:style w:type="character" w:customStyle="1" w:styleId="24">
    <w:name w:val="Header Char"/>
    <w:link w:val="13"/>
    <w:semiHidden/>
    <w:qFormat/>
    <w:uiPriority w:val="99"/>
    <w:rPr>
      <w:lang w:eastAsia="en-US"/>
    </w:rPr>
  </w:style>
  <w:style w:type="character" w:customStyle="1" w:styleId="25">
    <w:name w:val="Footer Char"/>
    <w:link w:val="12"/>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9"/>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510C2-BD6C-4FBB-B3C4-7E6EF7974E3A}">
  <ds:schemaRefs/>
</ds:datastoreItem>
</file>

<file path=docProps/app.xml><?xml version="1.0" encoding="utf-8"?>
<Properties xmlns="http://schemas.openxmlformats.org/officeDocument/2006/extended-properties" xmlns:vt="http://schemas.openxmlformats.org/officeDocument/2006/docPropsVTypes">
  <Template>Normal</Template>
  <Pages>9</Pages>
  <Words>1227</Words>
  <Characters>6817</Characters>
  <Lines>174</Lines>
  <Paragraphs>49</Paragraphs>
  <TotalTime>1</TotalTime>
  <ScaleCrop>false</ScaleCrop>
  <LinksUpToDate>false</LinksUpToDate>
  <CharactersWithSpaces>7875</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2026-03-18T10:45:00Z</dcterms:created>
  <dcterms:modified xsi:type="dcterms:W3CDTF">2026-06-07T16:46:41Z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eyJoZGlkIjoiNjc2Y2I4ZTQ1YjAxMzBjM2UzZDZjMGJkY2U3OTQ2NjAiLCJ1c2VySWQiOiI1NjcxMjUxNzQxODgifQ==</vt:lpwstr>
  </property>
  <property fmtid="{D5CDD505-2E9C-101B-9397-08002B2CF9AE}" pid="3" name="KSOProductBuildVer">
    <vt:lpwstr>1033-12.1.0.26880</vt:lpwstr>
  </property>
  <property fmtid="{D5CDD505-2E9C-101B-9397-08002B2CF9AE}" pid="4" name="ICV">
    <vt:lpwstr>2EA0426A950A4738A7E252811B09294B_12</vt:lpwstr>
  </property>
</Properties>
</file>