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411B4" w14:textId="51ED003F" w:rsidR="00A13109" w:rsidRPr="00244A2A" w:rsidRDefault="00A00EBF"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noProof/>
          <w:sz w:val="24"/>
          <w:szCs w:val="24"/>
        </w:rPr>
        <w:drawing>
          <wp:inline distT="0" distB="0" distL="0" distR="0" wp14:anchorId="0C2F4868" wp14:editId="25ED1DB4">
            <wp:extent cx="4723075" cy="2308860"/>
            <wp:effectExtent l="0" t="0" r="1905" b="0"/>
            <wp:docPr id="114807567"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7567" name="Picture 1" descr="A logo of a university"/>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725941" cy="2310261"/>
                    </a:xfrm>
                    <a:prstGeom prst="rect">
                      <a:avLst/>
                    </a:prstGeom>
                  </pic:spPr>
                </pic:pic>
              </a:graphicData>
            </a:graphic>
          </wp:inline>
        </w:drawing>
      </w:r>
    </w:p>
    <w:p w14:paraId="2B64C0B5" w14:textId="12B47F21" w:rsidR="003F355E" w:rsidRPr="00B84262" w:rsidRDefault="003F355E"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Programme: BA (Hons) Business Management</w:t>
      </w:r>
    </w:p>
    <w:p w14:paraId="3C59FDD8" w14:textId="77777777" w:rsidR="00967F27" w:rsidRPr="00B84262" w:rsidRDefault="00967F27"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Module: Principles of Marketing</w:t>
      </w:r>
    </w:p>
    <w:p w14:paraId="636C2D85" w14:textId="77777777" w:rsidR="00967F27" w:rsidRPr="00B84262" w:rsidRDefault="00967F27"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Module code: LCBB4015</w:t>
      </w:r>
    </w:p>
    <w:p w14:paraId="481B304A" w14:textId="77777777" w:rsidR="00967F27" w:rsidRPr="00B84262" w:rsidRDefault="00967F27"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Assignment title:</w:t>
      </w:r>
      <w:r w:rsidRPr="00B84262">
        <w:rPr>
          <w:rFonts w:ascii="Times New Roman" w:eastAsia="Times New Roman" w:hAnsi="Times New Roman" w:cs="Times New Roman"/>
          <w:b/>
          <w:bCs/>
          <w:kern w:val="0"/>
          <w:sz w:val="24"/>
          <w:szCs w:val="24"/>
          <w:lang w:eastAsia="en-GB"/>
          <w14:ligatures w14:val="none"/>
        </w:rPr>
        <w:t xml:space="preserve"> </w:t>
      </w:r>
      <w:r w:rsidRPr="00B84262">
        <w:rPr>
          <w:rFonts w:ascii="Times New Roman" w:hAnsi="Times New Roman" w:cs="Times New Roman"/>
          <w:b/>
          <w:bCs/>
          <w:sz w:val="24"/>
          <w:szCs w:val="24"/>
        </w:rPr>
        <w:t>Component 2: Coursework-Group Report</w:t>
      </w:r>
    </w:p>
    <w:p w14:paraId="56187314" w14:textId="77777777" w:rsidR="00967F27" w:rsidRPr="00B84262" w:rsidRDefault="00967F27" w:rsidP="00244A2A">
      <w:pPr>
        <w:spacing w:after="120" w:line="360" w:lineRule="auto"/>
        <w:jc w:val="both"/>
        <w:rPr>
          <w:rFonts w:ascii="Times New Roman" w:eastAsia="Times New Roman" w:hAnsi="Times New Roman" w:cs="Times New Roman"/>
          <w:b/>
          <w:bCs/>
          <w:caps/>
          <w:sz w:val="24"/>
          <w:szCs w:val="24"/>
          <w:lang w:val="en-US"/>
        </w:rPr>
      </w:pPr>
      <w:r w:rsidRPr="00B84262">
        <w:rPr>
          <w:rFonts w:ascii="Times New Roman" w:eastAsia="Times New Roman" w:hAnsi="Times New Roman" w:cs="Times New Roman"/>
          <w:b/>
          <w:bCs/>
          <w:caps/>
          <w:sz w:val="24"/>
          <w:szCs w:val="24"/>
          <w:lang w:val="en-US"/>
        </w:rPr>
        <w:t>Market Segmentation, Targeting and Positioning: Tesco</w:t>
      </w:r>
    </w:p>
    <w:p w14:paraId="4B594FDF" w14:textId="77777777" w:rsidR="00967F27" w:rsidRPr="00B84262" w:rsidRDefault="00967F27" w:rsidP="00244A2A">
      <w:pPr>
        <w:spacing w:after="120" w:line="360" w:lineRule="auto"/>
        <w:jc w:val="both"/>
        <w:rPr>
          <w:rFonts w:ascii="Times New Roman" w:hAnsi="Times New Roman" w:cs="Times New Roman"/>
          <w:b/>
          <w:bCs/>
          <w:sz w:val="24"/>
          <w:szCs w:val="24"/>
        </w:rPr>
      </w:pPr>
    </w:p>
    <w:p w14:paraId="5341A3CA" w14:textId="0DF771EB" w:rsidR="003F355E" w:rsidRPr="00B84262" w:rsidRDefault="003F355E"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Student</w:t>
      </w:r>
      <w:r w:rsidR="00570171">
        <w:rPr>
          <w:rFonts w:ascii="Times New Roman" w:hAnsi="Times New Roman" w:cs="Times New Roman"/>
          <w:b/>
          <w:bCs/>
          <w:sz w:val="24"/>
          <w:szCs w:val="24"/>
        </w:rPr>
        <w:t>s</w:t>
      </w:r>
      <w:r w:rsidRPr="00B84262">
        <w:rPr>
          <w:rFonts w:ascii="Times New Roman" w:hAnsi="Times New Roman" w:cs="Times New Roman"/>
          <w:b/>
          <w:bCs/>
          <w:sz w:val="24"/>
          <w:szCs w:val="24"/>
        </w:rPr>
        <w:t>:</w:t>
      </w:r>
      <w:r w:rsidR="00C02C0D">
        <w:rPr>
          <w:rFonts w:ascii="Times New Roman" w:hAnsi="Times New Roman" w:cs="Times New Roman"/>
          <w:b/>
          <w:bCs/>
          <w:sz w:val="24"/>
          <w:szCs w:val="24"/>
        </w:rPr>
        <w:t xml:space="preserve"> </w:t>
      </w:r>
      <w:r w:rsidRPr="00B84262">
        <w:rPr>
          <w:rFonts w:ascii="Times New Roman" w:hAnsi="Times New Roman" w:cs="Times New Roman"/>
          <w:b/>
          <w:bCs/>
          <w:sz w:val="24"/>
          <w:szCs w:val="24"/>
        </w:rPr>
        <w:t xml:space="preserve"> Alina Ionela Scarlaciuc, 2318839</w:t>
      </w:r>
    </w:p>
    <w:p w14:paraId="6DC43B48" w14:textId="5138E008" w:rsidR="00147165" w:rsidRPr="00B84262" w:rsidRDefault="009E4CAF"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 xml:space="preserve">              </w:t>
      </w:r>
      <w:r w:rsidR="00C02C0D">
        <w:rPr>
          <w:rFonts w:ascii="Times New Roman" w:hAnsi="Times New Roman" w:cs="Times New Roman"/>
          <w:b/>
          <w:bCs/>
          <w:sz w:val="24"/>
          <w:szCs w:val="24"/>
        </w:rPr>
        <w:t xml:space="preserve">  </w:t>
      </w:r>
      <w:r w:rsidRPr="00B84262">
        <w:rPr>
          <w:rFonts w:ascii="Times New Roman" w:hAnsi="Times New Roman" w:cs="Times New Roman"/>
          <w:b/>
          <w:bCs/>
          <w:sz w:val="24"/>
          <w:szCs w:val="24"/>
        </w:rPr>
        <w:t xml:space="preserve"> </w:t>
      </w:r>
      <w:r w:rsidR="00C02C0D">
        <w:rPr>
          <w:rFonts w:ascii="Times New Roman" w:hAnsi="Times New Roman" w:cs="Times New Roman"/>
          <w:b/>
          <w:bCs/>
          <w:sz w:val="24"/>
          <w:szCs w:val="24"/>
        </w:rPr>
        <w:t xml:space="preserve"> </w:t>
      </w:r>
      <w:r w:rsidR="003F3A25" w:rsidRPr="00B84262">
        <w:rPr>
          <w:rFonts w:ascii="Times New Roman" w:hAnsi="Times New Roman" w:cs="Times New Roman"/>
          <w:b/>
          <w:bCs/>
          <w:sz w:val="24"/>
          <w:szCs w:val="24"/>
        </w:rPr>
        <w:t>Mandica Gabriel Stochita</w:t>
      </w:r>
      <w:r w:rsidR="003D4E39" w:rsidRPr="00B84262">
        <w:rPr>
          <w:rFonts w:ascii="Times New Roman" w:hAnsi="Times New Roman" w:cs="Times New Roman"/>
          <w:b/>
          <w:bCs/>
          <w:sz w:val="24"/>
          <w:szCs w:val="24"/>
        </w:rPr>
        <w:t>,</w:t>
      </w:r>
      <w:r w:rsidR="002D6EA3" w:rsidRPr="00B84262">
        <w:rPr>
          <w:rFonts w:ascii="Times New Roman" w:hAnsi="Times New Roman" w:cs="Times New Roman"/>
          <w:b/>
          <w:bCs/>
          <w:sz w:val="24"/>
          <w:szCs w:val="24"/>
        </w:rPr>
        <w:t xml:space="preserve"> </w:t>
      </w:r>
      <w:r w:rsidR="003D4E39" w:rsidRPr="00B84262">
        <w:rPr>
          <w:rFonts w:ascii="Times New Roman" w:hAnsi="Times New Roman" w:cs="Times New Roman"/>
          <w:b/>
          <w:bCs/>
          <w:sz w:val="24"/>
          <w:szCs w:val="24"/>
        </w:rPr>
        <w:t>2230353</w:t>
      </w:r>
    </w:p>
    <w:p w14:paraId="299290CF" w14:textId="20B4C010" w:rsidR="00A13109" w:rsidRPr="00B84262" w:rsidRDefault="002D6EA3"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 xml:space="preserve">               </w:t>
      </w:r>
      <w:r w:rsidR="00C02C0D">
        <w:rPr>
          <w:rFonts w:ascii="Times New Roman" w:hAnsi="Times New Roman" w:cs="Times New Roman"/>
          <w:b/>
          <w:bCs/>
          <w:sz w:val="24"/>
          <w:szCs w:val="24"/>
        </w:rPr>
        <w:t xml:space="preserve">   </w:t>
      </w:r>
      <w:r w:rsidRPr="00B84262">
        <w:rPr>
          <w:rFonts w:ascii="Times New Roman" w:hAnsi="Times New Roman" w:cs="Times New Roman"/>
          <w:b/>
          <w:bCs/>
          <w:sz w:val="24"/>
          <w:szCs w:val="24"/>
        </w:rPr>
        <w:t>Kiran Begum, 210</w:t>
      </w:r>
      <w:r w:rsidR="00D233CD" w:rsidRPr="00B84262">
        <w:rPr>
          <w:rFonts w:ascii="Times New Roman" w:hAnsi="Times New Roman" w:cs="Times New Roman"/>
          <w:b/>
          <w:bCs/>
          <w:sz w:val="24"/>
          <w:szCs w:val="24"/>
        </w:rPr>
        <w:t>6720</w:t>
      </w:r>
    </w:p>
    <w:p w14:paraId="1E54C59D" w14:textId="77777777" w:rsidR="00DD61A9" w:rsidRPr="00B84262" w:rsidRDefault="00DD61A9" w:rsidP="00244A2A">
      <w:pPr>
        <w:spacing w:after="120" w:line="360" w:lineRule="auto"/>
        <w:jc w:val="both"/>
        <w:rPr>
          <w:rFonts w:ascii="Times New Roman" w:hAnsi="Times New Roman" w:cs="Times New Roman"/>
          <w:b/>
          <w:bCs/>
          <w:sz w:val="24"/>
          <w:szCs w:val="24"/>
        </w:rPr>
      </w:pPr>
    </w:p>
    <w:p w14:paraId="40D42B6A" w14:textId="68DA0422" w:rsidR="003F355E" w:rsidRPr="00B84262" w:rsidRDefault="003F355E" w:rsidP="00244A2A">
      <w:pPr>
        <w:spacing w:after="120" w:line="360" w:lineRule="auto"/>
        <w:jc w:val="both"/>
        <w:rPr>
          <w:rFonts w:ascii="Times New Roman" w:hAnsi="Times New Roman" w:cs="Times New Roman"/>
          <w:b/>
          <w:bCs/>
          <w:sz w:val="24"/>
          <w:szCs w:val="24"/>
        </w:rPr>
      </w:pPr>
      <w:r w:rsidRPr="00B84262">
        <w:rPr>
          <w:rFonts w:ascii="Times New Roman" w:hAnsi="Times New Roman" w:cs="Times New Roman"/>
          <w:b/>
          <w:bCs/>
          <w:sz w:val="24"/>
          <w:szCs w:val="24"/>
        </w:rPr>
        <w:t>Lecturer:</w:t>
      </w:r>
      <w:r w:rsidR="00C02C0D">
        <w:rPr>
          <w:rFonts w:ascii="Times New Roman" w:hAnsi="Times New Roman" w:cs="Times New Roman"/>
          <w:b/>
          <w:bCs/>
          <w:sz w:val="24"/>
          <w:szCs w:val="24"/>
        </w:rPr>
        <w:t xml:space="preserve"> </w:t>
      </w:r>
      <w:r w:rsidRPr="00B84262">
        <w:rPr>
          <w:rFonts w:ascii="Times New Roman" w:hAnsi="Times New Roman" w:cs="Times New Roman"/>
          <w:b/>
          <w:bCs/>
          <w:sz w:val="24"/>
          <w:szCs w:val="24"/>
        </w:rPr>
        <w:t xml:space="preserve"> Ivan Rodriguez Hernandez</w:t>
      </w:r>
    </w:p>
    <w:p w14:paraId="7DFF856E" w14:textId="796CF02A" w:rsidR="00A816F3" w:rsidRPr="00244A2A" w:rsidRDefault="00A816F3" w:rsidP="00244A2A">
      <w:pPr>
        <w:spacing w:after="120" w:line="360" w:lineRule="auto"/>
        <w:jc w:val="both"/>
        <w:rPr>
          <w:rFonts w:ascii="Times New Roman" w:hAnsi="Times New Roman" w:cs="Times New Roman"/>
          <w:sz w:val="24"/>
          <w:szCs w:val="24"/>
        </w:rPr>
      </w:pPr>
    </w:p>
    <w:p w14:paraId="2C978936" w14:textId="2DBFFD2C" w:rsidR="00414168" w:rsidRPr="00244A2A" w:rsidRDefault="00A816F3"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br w:type="page"/>
      </w:r>
    </w:p>
    <w:p w14:paraId="0C5F9FE9" w14:textId="77777777" w:rsidR="001A2F26" w:rsidRPr="00E534C9" w:rsidRDefault="001A2F26" w:rsidP="00244A2A">
      <w:pPr>
        <w:pStyle w:val="Heading1"/>
        <w:spacing w:before="0" w:after="120" w:line="360" w:lineRule="auto"/>
        <w:jc w:val="both"/>
        <w:rPr>
          <w:rFonts w:ascii="Times New Roman" w:hAnsi="Times New Roman" w:cs="Times New Roman"/>
          <w:b/>
          <w:bCs/>
          <w:color w:val="000000" w:themeColor="text1"/>
          <w:sz w:val="24"/>
          <w:szCs w:val="24"/>
        </w:rPr>
      </w:pPr>
      <w:r w:rsidRPr="00E534C9">
        <w:rPr>
          <w:rFonts w:ascii="Times New Roman" w:hAnsi="Times New Roman" w:cs="Times New Roman"/>
          <w:b/>
          <w:bCs/>
          <w:color w:val="000000" w:themeColor="text1"/>
          <w:sz w:val="24"/>
          <w:szCs w:val="24"/>
        </w:rPr>
        <w:lastRenderedPageBreak/>
        <w:t>Table of Contents</w:t>
      </w:r>
    </w:p>
    <w:p w14:paraId="4B866A90" w14:textId="77777777" w:rsidR="001A2F26" w:rsidRPr="00244A2A" w:rsidRDefault="001A2F26" w:rsidP="00244A2A">
      <w:pPr>
        <w:spacing w:after="120" w:line="360" w:lineRule="auto"/>
        <w:jc w:val="both"/>
        <w:rPr>
          <w:rFonts w:ascii="Times New Roman" w:hAnsi="Times New Roman" w:cs="Times New Roman"/>
          <w:sz w:val="24"/>
          <w:szCs w:val="24"/>
        </w:rPr>
      </w:pPr>
    </w:p>
    <w:p w14:paraId="7EB2E3A3" w14:textId="6F9A8992"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1. Introduction</w:t>
      </w:r>
      <w:r w:rsidRPr="00244A2A">
        <w:rPr>
          <w:rFonts w:ascii="Times New Roman" w:hAnsi="Times New Roman" w:cs="Times New Roman"/>
          <w:sz w:val="24"/>
          <w:szCs w:val="24"/>
        </w:rPr>
        <w:tab/>
      </w:r>
      <w:r w:rsidR="000C59AB" w:rsidRPr="00244A2A">
        <w:rPr>
          <w:rFonts w:ascii="Times New Roman" w:hAnsi="Times New Roman" w:cs="Times New Roman"/>
          <w:sz w:val="24"/>
          <w:szCs w:val="24"/>
        </w:rPr>
        <w:t>3</w:t>
      </w:r>
      <w:r w:rsidRPr="00244A2A">
        <w:rPr>
          <w:rFonts w:ascii="Times New Roman" w:hAnsi="Times New Roman" w:cs="Times New Roman"/>
          <w:sz w:val="24"/>
          <w:szCs w:val="24"/>
        </w:rPr>
        <w:t xml:space="preserve"> </w:t>
      </w:r>
    </w:p>
    <w:p w14:paraId="2FD3CF70" w14:textId="6D945C01"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2. Segmentation Analysis</w:t>
      </w:r>
      <w:r w:rsidRPr="00244A2A">
        <w:rPr>
          <w:rFonts w:ascii="Times New Roman" w:hAnsi="Times New Roman" w:cs="Times New Roman"/>
          <w:sz w:val="24"/>
          <w:szCs w:val="24"/>
        </w:rPr>
        <w:tab/>
      </w:r>
      <w:r w:rsidR="000C59AB" w:rsidRPr="00244A2A">
        <w:rPr>
          <w:rFonts w:ascii="Times New Roman" w:hAnsi="Times New Roman" w:cs="Times New Roman"/>
          <w:sz w:val="24"/>
          <w:szCs w:val="24"/>
        </w:rPr>
        <w:t>4</w:t>
      </w:r>
      <w:r w:rsidRPr="00244A2A">
        <w:rPr>
          <w:rFonts w:ascii="Times New Roman" w:hAnsi="Times New Roman" w:cs="Times New Roman"/>
          <w:sz w:val="24"/>
          <w:szCs w:val="24"/>
        </w:rPr>
        <w:t xml:space="preserve"> </w:t>
      </w:r>
    </w:p>
    <w:p w14:paraId="6BC9D2D4" w14:textId="4D0C57E2"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2.1 Demographic Segmentation</w:t>
      </w:r>
      <w:r w:rsidRPr="00244A2A">
        <w:rPr>
          <w:rFonts w:ascii="Times New Roman" w:hAnsi="Times New Roman" w:cs="Times New Roman"/>
          <w:sz w:val="24"/>
          <w:szCs w:val="24"/>
        </w:rPr>
        <w:tab/>
      </w:r>
      <w:r w:rsidR="000C59AB" w:rsidRPr="00244A2A">
        <w:rPr>
          <w:rFonts w:ascii="Times New Roman" w:hAnsi="Times New Roman" w:cs="Times New Roman"/>
          <w:sz w:val="24"/>
          <w:szCs w:val="24"/>
        </w:rPr>
        <w:t>4</w:t>
      </w:r>
      <w:r w:rsidRPr="00244A2A">
        <w:rPr>
          <w:rFonts w:ascii="Times New Roman" w:hAnsi="Times New Roman" w:cs="Times New Roman"/>
          <w:sz w:val="24"/>
          <w:szCs w:val="24"/>
        </w:rPr>
        <w:t xml:space="preserve"> </w:t>
      </w:r>
    </w:p>
    <w:p w14:paraId="38A9F25F" w14:textId="01620BDE"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2.2 Geographic Segmentation</w:t>
      </w:r>
      <w:r w:rsidRPr="00244A2A">
        <w:rPr>
          <w:rFonts w:ascii="Times New Roman" w:hAnsi="Times New Roman" w:cs="Times New Roman"/>
          <w:sz w:val="24"/>
          <w:szCs w:val="24"/>
        </w:rPr>
        <w:tab/>
      </w:r>
      <w:r w:rsidR="009910F7" w:rsidRPr="00244A2A">
        <w:rPr>
          <w:rFonts w:ascii="Times New Roman" w:hAnsi="Times New Roman" w:cs="Times New Roman"/>
          <w:sz w:val="24"/>
          <w:szCs w:val="24"/>
        </w:rPr>
        <w:t>5</w:t>
      </w:r>
      <w:r w:rsidRPr="00244A2A">
        <w:rPr>
          <w:rFonts w:ascii="Times New Roman" w:hAnsi="Times New Roman" w:cs="Times New Roman"/>
          <w:sz w:val="24"/>
          <w:szCs w:val="24"/>
        </w:rPr>
        <w:t xml:space="preserve"> </w:t>
      </w:r>
    </w:p>
    <w:p w14:paraId="6AC3FAF4" w14:textId="579FFC4B"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2.3 Psychographic Segmentation</w:t>
      </w:r>
      <w:r w:rsidRPr="00244A2A">
        <w:rPr>
          <w:rFonts w:ascii="Times New Roman" w:hAnsi="Times New Roman" w:cs="Times New Roman"/>
          <w:sz w:val="24"/>
          <w:szCs w:val="24"/>
        </w:rPr>
        <w:tab/>
      </w:r>
      <w:r w:rsidR="00261CE5">
        <w:rPr>
          <w:rFonts w:ascii="Times New Roman" w:hAnsi="Times New Roman" w:cs="Times New Roman"/>
          <w:sz w:val="24"/>
          <w:szCs w:val="24"/>
        </w:rPr>
        <w:t>5</w:t>
      </w:r>
      <w:r w:rsidRPr="00244A2A">
        <w:rPr>
          <w:rFonts w:ascii="Times New Roman" w:hAnsi="Times New Roman" w:cs="Times New Roman"/>
          <w:sz w:val="24"/>
          <w:szCs w:val="24"/>
        </w:rPr>
        <w:t xml:space="preserve"> </w:t>
      </w:r>
    </w:p>
    <w:p w14:paraId="7B7F57AD" w14:textId="02FA7B07"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2.4 Behavioural Segmentation</w:t>
      </w:r>
      <w:r w:rsidRPr="00244A2A">
        <w:rPr>
          <w:rFonts w:ascii="Times New Roman" w:hAnsi="Times New Roman" w:cs="Times New Roman"/>
          <w:sz w:val="24"/>
          <w:szCs w:val="24"/>
        </w:rPr>
        <w:tab/>
      </w:r>
      <w:r w:rsidR="009910F7" w:rsidRPr="00244A2A">
        <w:rPr>
          <w:rFonts w:ascii="Times New Roman" w:hAnsi="Times New Roman" w:cs="Times New Roman"/>
          <w:sz w:val="24"/>
          <w:szCs w:val="24"/>
        </w:rPr>
        <w:t>6</w:t>
      </w:r>
      <w:r w:rsidRPr="00244A2A">
        <w:rPr>
          <w:rFonts w:ascii="Times New Roman" w:hAnsi="Times New Roman" w:cs="Times New Roman"/>
          <w:sz w:val="24"/>
          <w:szCs w:val="24"/>
        </w:rPr>
        <w:t xml:space="preserve"> </w:t>
      </w:r>
    </w:p>
    <w:p w14:paraId="5F537D69" w14:textId="2664C586"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3. Targeting Analysis</w:t>
      </w:r>
      <w:r w:rsidRPr="00244A2A">
        <w:rPr>
          <w:rFonts w:ascii="Times New Roman" w:hAnsi="Times New Roman" w:cs="Times New Roman"/>
          <w:sz w:val="24"/>
          <w:szCs w:val="24"/>
        </w:rPr>
        <w:tab/>
      </w:r>
      <w:r w:rsidR="009910F7" w:rsidRPr="00244A2A">
        <w:rPr>
          <w:rFonts w:ascii="Times New Roman" w:hAnsi="Times New Roman" w:cs="Times New Roman"/>
          <w:sz w:val="24"/>
          <w:szCs w:val="24"/>
        </w:rPr>
        <w:t>7</w:t>
      </w:r>
      <w:r w:rsidRPr="00244A2A">
        <w:rPr>
          <w:rFonts w:ascii="Times New Roman" w:hAnsi="Times New Roman" w:cs="Times New Roman"/>
          <w:sz w:val="24"/>
          <w:szCs w:val="24"/>
        </w:rPr>
        <w:t xml:space="preserve"> </w:t>
      </w:r>
    </w:p>
    <w:p w14:paraId="20FEFED6" w14:textId="5E70BF39"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3.1 Mass Market Targeting</w:t>
      </w:r>
      <w:r w:rsidRPr="00244A2A">
        <w:rPr>
          <w:rFonts w:ascii="Times New Roman" w:hAnsi="Times New Roman" w:cs="Times New Roman"/>
          <w:sz w:val="24"/>
          <w:szCs w:val="24"/>
        </w:rPr>
        <w:tab/>
      </w:r>
      <w:r w:rsidR="009910F7" w:rsidRPr="00244A2A">
        <w:rPr>
          <w:rFonts w:ascii="Times New Roman" w:hAnsi="Times New Roman" w:cs="Times New Roman"/>
          <w:sz w:val="24"/>
          <w:szCs w:val="24"/>
        </w:rPr>
        <w:t>7</w:t>
      </w:r>
      <w:r w:rsidRPr="00244A2A">
        <w:rPr>
          <w:rFonts w:ascii="Times New Roman" w:hAnsi="Times New Roman" w:cs="Times New Roman"/>
          <w:sz w:val="24"/>
          <w:szCs w:val="24"/>
        </w:rPr>
        <w:t xml:space="preserve"> </w:t>
      </w:r>
    </w:p>
    <w:p w14:paraId="71831B7A" w14:textId="582B633C"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3.2 Price-Sensitive Segment Targeting</w:t>
      </w:r>
      <w:r w:rsidRPr="00244A2A">
        <w:rPr>
          <w:rFonts w:ascii="Times New Roman" w:hAnsi="Times New Roman" w:cs="Times New Roman"/>
          <w:sz w:val="24"/>
          <w:szCs w:val="24"/>
        </w:rPr>
        <w:tab/>
      </w:r>
      <w:r w:rsidR="00245053">
        <w:rPr>
          <w:rFonts w:ascii="Times New Roman" w:hAnsi="Times New Roman" w:cs="Times New Roman"/>
          <w:sz w:val="24"/>
          <w:szCs w:val="24"/>
        </w:rPr>
        <w:t>7</w:t>
      </w:r>
      <w:r w:rsidRPr="00244A2A">
        <w:rPr>
          <w:rFonts w:ascii="Times New Roman" w:hAnsi="Times New Roman" w:cs="Times New Roman"/>
          <w:sz w:val="24"/>
          <w:szCs w:val="24"/>
        </w:rPr>
        <w:t xml:space="preserve"> </w:t>
      </w:r>
    </w:p>
    <w:p w14:paraId="4DC1F8F4" w14:textId="0E0E9330"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3.3 Premium Segment Targeting</w:t>
      </w:r>
      <w:r w:rsidRPr="00244A2A">
        <w:rPr>
          <w:rFonts w:ascii="Times New Roman" w:hAnsi="Times New Roman" w:cs="Times New Roman"/>
          <w:sz w:val="24"/>
          <w:szCs w:val="24"/>
        </w:rPr>
        <w:tab/>
      </w:r>
      <w:r w:rsidR="009910F7" w:rsidRPr="00244A2A">
        <w:rPr>
          <w:rFonts w:ascii="Times New Roman" w:hAnsi="Times New Roman" w:cs="Times New Roman"/>
          <w:sz w:val="24"/>
          <w:szCs w:val="24"/>
        </w:rPr>
        <w:t>8</w:t>
      </w:r>
      <w:r w:rsidRPr="00244A2A">
        <w:rPr>
          <w:rFonts w:ascii="Times New Roman" w:hAnsi="Times New Roman" w:cs="Times New Roman"/>
          <w:sz w:val="24"/>
          <w:szCs w:val="24"/>
        </w:rPr>
        <w:t xml:space="preserve"> </w:t>
      </w:r>
    </w:p>
    <w:p w14:paraId="25787631" w14:textId="51849999"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3.4 Convenience-Oriented Targeting</w:t>
      </w:r>
      <w:r w:rsidRPr="00244A2A">
        <w:rPr>
          <w:rFonts w:ascii="Times New Roman" w:hAnsi="Times New Roman" w:cs="Times New Roman"/>
          <w:sz w:val="24"/>
          <w:szCs w:val="24"/>
        </w:rPr>
        <w:tab/>
      </w:r>
      <w:r w:rsidR="00245053">
        <w:rPr>
          <w:rFonts w:ascii="Times New Roman" w:hAnsi="Times New Roman" w:cs="Times New Roman"/>
          <w:sz w:val="24"/>
          <w:szCs w:val="24"/>
        </w:rPr>
        <w:t>8</w:t>
      </w:r>
      <w:r w:rsidRPr="00244A2A">
        <w:rPr>
          <w:rFonts w:ascii="Times New Roman" w:hAnsi="Times New Roman" w:cs="Times New Roman"/>
          <w:sz w:val="24"/>
          <w:szCs w:val="24"/>
        </w:rPr>
        <w:t xml:space="preserve"> </w:t>
      </w:r>
    </w:p>
    <w:p w14:paraId="195B0F91" w14:textId="6E4203F5"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4. Positioning Analysis</w:t>
      </w:r>
      <w:r w:rsidRPr="00244A2A">
        <w:rPr>
          <w:rFonts w:ascii="Times New Roman" w:hAnsi="Times New Roman" w:cs="Times New Roman"/>
          <w:sz w:val="24"/>
          <w:szCs w:val="24"/>
        </w:rPr>
        <w:tab/>
      </w:r>
      <w:r w:rsidR="0098016C" w:rsidRPr="00244A2A">
        <w:rPr>
          <w:rFonts w:ascii="Times New Roman" w:hAnsi="Times New Roman" w:cs="Times New Roman"/>
          <w:sz w:val="24"/>
          <w:szCs w:val="24"/>
        </w:rPr>
        <w:t>9</w:t>
      </w:r>
      <w:r w:rsidRPr="00244A2A">
        <w:rPr>
          <w:rFonts w:ascii="Times New Roman" w:hAnsi="Times New Roman" w:cs="Times New Roman"/>
          <w:sz w:val="24"/>
          <w:szCs w:val="24"/>
        </w:rPr>
        <w:t xml:space="preserve"> </w:t>
      </w:r>
    </w:p>
    <w:p w14:paraId="5570F861" w14:textId="4994D87D"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4.1 Value-for-Money Positioning</w:t>
      </w:r>
      <w:r w:rsidRPr="00244A2A">
        <w:rPr>
          <w:rFonts w:ascii="Times New Roman" w:hAnsi="Times New Roman" w:cs="Times New Roman"/>
          <w:sz w:val="24"/>
          <w:szCs w:val="24"/>
        </w:rPr>
        <w:tab/>
      </w:r>
      <w:r w:rsidR="0098016C" w:rsidRPr="00244A2A">
        <w:rPr>
          <w:rFonts w:ascii="Times New Roman" w:hAnsi="Times New Roman" w:cs="Times New Roman"/>
          <w:sz w:val="24"/>
          <w:szCs w:val="24"/>
        </w:rPr>
        <w:t>9</w:t>
      </w:r>
      <w:r w:rsidRPr="00244A2A">
        <w:rPr>
          <w:rFonts w:ascii="Times New Roman" w:hAnsi="Times New Roman" w:cs="Times New Roman"/>
          <w:sz w:val="24"/>
          <w:szCs w:val="24"/>
        </w:rPr>
        <w:t xml:space="preserve"> </w:t>
      </w:r>
    </w:p>
    <w:p w14:paraId="69F57EBF" w14:textId="5397C8B8"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4.2 Quality and Brand Equity</w:t>
      </w:r>
      <w:r w:rsidRPr="00244A2A">
        <w:rPr>
          <w:rFonts w:ascii="Times New Roman" w:hAnsi="Times New Roman" w:cs="Times New Roman"/>
          <w:sz w:val="24"/>
          <w:szCs w:val="24"/>
        </w:rPr>
        <w:tab/>
      </w:r>
      <w:r w:rsidR="008D7EAD">
        <w:rPr>
          <w:rFonts w:ascii="Times New Roman" w:hAnsi="Times New Roman" w:cs="Times New Roman"/>
          <w:sz w:val="24"/>
          <w:szCs w:val="24"/>
        </w:rPr>
        <w:t>9</w:t>
      </w:r>
    </w:p>
    <w:p w14:paraId="0A0C599B" w14:textId="1DA98301"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4.3 Customer-Centric Positioning</w:t>
      </w:r>
      <w:r w:rsidRPr="00244A2A">
        <w:rPr>
          <w:rFonts w:ascii="Times New Roman" w:hAnsi="Times New Roman" w:cs="Times New Roman"/>
          <w:sz w:val="24"/>
          <w:szCs w:val="24"/>
        </w:rPr>
        <w:tab/>
      </w:r>
      <w:r w:rsidR="00373B01">
        <w:rPr>
          <w:rFonts w:ascii="Times New Roman" w:hAnsi="Times New Roman" w:cs="Times New Roman"/>
          <w:sz w:val="24"/>
          <w:szCs w:val="24"/>
        </w:rPr>
        <w:t>9</w:t>
      </w:r>
    </w:p>
    <w:p w14:paraId="16D63839" w14:textId="62EBA126"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4.4 Convenience and Omnichannel Positioning</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8D7EAD">
        <w:rPr>
          <w:rFonts w:ascii="Times New Roman" w:hAnsi="Times New Roman" w:cs="Times New Roman"/>
          <w:sz w:val="24"/>
          <w:szCs w:val="24"/>
        </w:rPr>
        <w:t>0</w:t>
      </w:r>
      <w:r w:rsidRPr="00244A2A">
        <w:rPr>
          <w:rFonts w:ascii="Times New Roman" w:hAnsi="Times New Roman" w:cs="Times New Roman"/>
          <w:sz w:val="24"/>
          <w:szCs w:val="24"/>
        </w:rPr>
        <w:t xml:space="preserve"> </w:t>
      </w:r>
    </w:p>
    <w:p w14:paraId="33379CED" w14:textId="0B0AE99A"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5. Marketing Mix Strategies (4Ps)</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C412CA">
        <w:rPr>
          <w:rFonts w:ascii="Times New Roman" w:hAnsi="Times New Roman" w:cs="Times New Roman"/>
          <w:sz w:val="24"/>
          <w:szCs w:val="24"/>
        </w:rPr>
        <w:t>0</w:t>
      </w:r>
      <w:r w:rsidRPr="00244A2A">
        <w:rPr>
          <w:rFonts w:ascii="Times New Roman" w:hAnsi="Times New Roman" w:cs="Times New Roman"/>
          <w:sz w:val="24"/>
          <w:szCs w:val="24"/>
        </w:rPr>
        <w:t xml:space="preserve"> </w:t>
      </w:r>
    </w:p>
    <w:p w14:paraId="778C0F1B" w14:textId="59196770"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5.1 Product</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C412CA">
        <w:rPr>
          <w:rFonts w:ascii="Times New Roman" w:hAnsi="Times New Roman" w:cs="Times New Roman"/>
          <w:sz w:val="24"/>
          <w:szCs w:val="24"/>
        </w:rPr>
        <w:t>0</w:t>
      </w:r>
      <w:r w:rsidRPr="00244A2A">
        <w:rPr>
          <w:rFonts w:ascii="Times New Roman" w:hAnsi="Times New Roman" w:cs="Times New Roman"/>
          <w:sz w:val="24"/>
          <w:szCs w:val="24"/>
        </w:rPr>
        <w:t xml:space="preserve"> </w:t>
      </w:r>
    </w:p>
    <w:p w14:paraId="532C64EF" w14:textId="31FB62A5"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5.2 Price</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975E18">
        <w:rPr>
          <w:rFonts w:ascii="Times New Roman" w:hAnsi="Times New Roman" w:cs="Times New Roman"/>
          <w:sz w:val="24"/>
          <w:szCs w:val="24"/>
        </w:rPr>
        <w:t>0</w:t>
      </w:r>
      <w:r w:rsidRPr="00244A2A">
        <w:rPr>
          <w:rFonts w:ascii="Times New Roman" w:hAnsi="Times New Roman" w:cs="Times New Roman"/>
          <w:sz w:val="24"/>
          <w:szCs w:val="24"/>
        </w:rPr>
        <w:t xml:space="preserve"> </w:t>
      </w:r>
    </w:p>
    <w:p w14:paraId="692914D7" w14:textId="6AD3BB5E"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5.3 Place</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C412CA">
        <w:rPr>
          <w:rFonts w:ascii="Times New Roman" w:hAnsi="Times New Roman" w:cs="Times New Roman"/>
          <w:sz w:val="24"/>
          <w:szCs w:val="24"/>
        </w:rPr>
        <w:t>1</w:t>
      </w:r>
      <w:r w:rsidRPr="00244A2A">
        <w:rPr>
          <w:rFonts w:ascii="Times New Roman" w:hAnsi="Times New Roman" w:cs="Times New Roman"/>
          <w:sz w:val="24"/>
          <w:szCs w:val="24"/>
        </w:rPr>
        <w:t xml:space="preserve"> </w:t>
      </w:r>
    </w:p>
    <w:p w14:paraId="68116B26" w14:textId="2C070789" w:rsidR="001A2F26" w:rsidRPr="00244A2A" w:rsidRDefault="001A2F26" w:rsidP="00244A2A">
      <w:pPr>
        <w:tabs>
          <w:tab w:val="right" w:leader="dot" w:pos="8640"/>
        </w:tabs>
        <w:spacing w:after="120" w:line="360" w:lineRule="auto"/>
        <w:ind w:left="432"/>
        <w:jc w:val="both"/>
        <w:rPr>
          <w:rFonts w:ascii="Times New Roman" w:hAnsi="Times New Roman" w:cs="Times New Roman"/>
          <w:sz w:val="24"/>
          <w:szCs w:val="24"/>
        </w:rPr>
      </w:pPr>
      <w:r w:rsidRPr="00244A2A">
        <w:rPr>
          <w:rFonts w:ascii="Times New Roman" w:hAnsi="Times New Roman" w:cs="Times New Roman"/>
          <w:sz w:val="24"/>
          <w:szCs w:val="24"/>
        </w:rPr>
        <w:t>5.4 Promotion</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C412CA">
        <w:rPr>
          <w:rFonts w:ascii="Times New Roman" w:hAnsi="Times New Roman" w:cs="Times New Roman"/>
          <w:sz w:val="24"/>
          <w:szCs w:val="24"/>
        </w:rPr>
        <w:t>1</w:t>
      </w:r>
      <w:r w:rsidRPr="00244A2A">
        <w:rPr>
          <w:rFonts w:ascii="Times New Roman" w:hAnsi="Times New Roman" w:cs="Times New Roman"/>
          <w:sz w:val="24"/>
          <w:szCs w:val="24"/>
        </w:rPr>
        <w:t xml:space="preserve"> </w:t>
      </w:r>
    </w:p>
    <w:p w14:paraId="7F4871FC" w14:textId="66DFCC06" w:rsidR="001A2F26" w:rsidRPr="00244A2A" w:rsidRDefault="001A2F26" w:rsidP="00244A2A">
      <w:pPr>
        <w:tabs>
          <w:tab w:val="right" w:leader="dot" w:pos="8640"/>
        </w:tabs>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6. Conclusion and Recommendations</w:t>
      </w:r>
      <w:r w:rsidRPr="00244A2A">
        <w:rPr>
          <w:rFonts w:ascii="Times New Roman" w:hAnsi="Times New Roman" w:cs="Times New Roman"/>
          <w:sz w:val="24"/>
          <w:szCs w:val="24"/>
        </w:rPr>
        <w:tab/>
      </w:r>
      <w:r w:rsidR="00C84479" w:rsidRPr="00244A2A">
        <w:rPr>
          <w:rFonts w:ascii="Times New Roman" w:hAnsi="Times New Roman" w:cs="Times New Roman"/>
          <w:sz w:val="24"/>
          <w:szCs w:val="24"/>
        </w:rPr>
        <w:t>1</w:t>
      </w:r>
      <w:r w:rsidR="00975E18">
        <w:rPr>
          <w:rFonts w:ascii="Times New Roman" w:hAnsi="Times New Roman" w:cs="Times New Roman"/>
          <w:sz w:val="24"/>
          <w:szCs w:val="24"/>
        </w:rPr>
        <w:t>1</w:t>
      </w:r>
    </w:p>
    <w:p w14:paraId="61E8B706" w14:textId="5BB44D5D" w:rsidR="00EF3D3E" w:rsidRPr="00244A2A" w:rsidRDefault="001A2F26" w:rsidP="00244A2A">
      <w:pPr>
        <w:spacing w:after="120" w:line="360" w:lineRule="auto"/>
        <w:jc w:val="both"/>
        <w:rPr>
          <w:rFonts w:ascii="Times New Roman" w:eastAsia="Times New Roman" w:hAnsi="Times New Roman" w:cs="Times New Roman"/>
          <w:b/>
          <w:bCs/>
          <w:sz w:val="24"/>
          <w:szCs w:val="24"/>
          <w:lang w:val="en-US"/>
        </w:rPr>
      </w:pPr>
      <w:r w:rsidRPr="00244A2A">
        <w:rPr>
          <w:rFonts w:ascii="Times New Roman" w:hAnsi="Times New Roman" w:cs="Times New Roman"/>
          <w:sz w:val="24"/>
          <w:szCs w:val="24"/>
        </w:rPr>
        <w:t>7. Reference List</w:t>
      </w:r>
      <w:r w:rsidR="00EB7549" w:rsidRPr="00244A2A">
        <w:rPr>
          <w:rFonts w:ascii="Times New Roman" w:hAnsi="Times New Roman" w:cs="Times New Roman"/>
          <w:sz w:val="24"/>
          <w:szCs w:val="24"/>
        </w:rPr>
        <w:t>…………………………………………………………………………</w:t>
      </w:r>
      <w:r w:rsidR="00C85DE2" w:rsidRPr="00244A2A">
        <w:rPr>
          <w:rFonts w:ascii="Times New Roman" w:hAnsi="Times New Roman" w:cs="Times New Roman"/>
          <w:sz w:val="24"/>
          <w:szCs w:val="24"/>
        </w:rPr>
        <w:t>14</w:t>
      </w:r>
      <w:r w:rsidRPr="00244A2A">
        <w:rPr>
          <w:rFonts w:ascii="Times New Roman" w:hAnsi="Times New Roman" w:cs="Times New Roman"/>
          <w:sz w:val="24"/>
          <w:szCs w:val="24"/>
        </w:rPr>
        <w:tab/>
      </w:r>
    </w:p>
    <w:p w14:paraId="22AF8184" w14:textId="77777777" w:rsidR="0003461E" w:rsidRPr="00244A2A" w:rsidRDefault="0003461E" w:rsidP="00244A2A">
      <w:pPr>
        <w:spacing w:after="120" w:line="360" w:lineRule="auto"/>
        <w:jc w:val="both"/>
        <w:rPr>
          <w:rFonts w:ascii="Times New Roman" w:eastAsia="Times New Roman" w:hAnsi="Times New Roman" w:cs="Times New Roman"/>
          <w:b/>
          <w:bCs/>
          <w:sz w:val="24"/>
          <w:szCs w:val="24"/>
          <w:lang w:val="en-US"/>
        </w:rPr>
      </w:pPr>
    </w:p>
    <w:p w14:paraId="01DB3ACB" w14:textId="77777777" w:rsidR="00EB7549" w:rsidRPr="00244A2A" w:rsidRDefault="00EB7549" w:rsidP="00244A2A">
      <w:pPr>
        <w:spacing w:after="120" w:line="360" w:lineRule="auto"/>
        <w:jc w:val="both"/>
        <w:rPr>
          <w:rFonts w:ascii="Times New Roman" w:eastAsia="Times New Roman" w:hAnsi="Times New Roman" w:cs="Times New Roman"/>
          <w:b/>
          <w:bCs/>
          <w:sz w:val="24"/>
          <w:szCs w:val="24"/>
          <w:lang w:val="en-US"/>
        </w:rPr>
      </w:pPr>
    </w:p>
    <w:p w14:paraId="746353DB" w14:textId="77777777" w:rsidR="00EB7549" w:rsidRPr="00244A2A" w:rsidRDefault="00EB7549" w:rsidP="00244A2A">
      <w:pPr>
        <w:spacing w:after="120" w:line="360" w:lineRule="auto"/>
        <w:jc w:val="both"/>
        <w:rPr>
          <w:rFonts w:ascii="Times New Roman" w:eastAsia="Times New Roman" w:hAnsi="Times New Roman" w:cs="Times New Roman"/>
          <w:b/>
          <w:bCs/>
          <w:sz w:val="24"/>
          <w:szCs w:val="24"/>
          <w:lang w:val="en-US"/>
        </w:rPr>
      </w:pPr>
    </w:p>
    <w:p w14:paraId="5129F9B2" w14:textId="65D2C552" w:rsidR="00D263C5" w:rsidRPr="00D516EF" w:rsidRDefault="6111088E" w:rsidP="00D516EF">
      <w:pPr>
        <w:spacing w:after="120" w:line="360" w:lineRule="auto"/>
        <w:jc w:val="center"/>
        <w:rPr>
          <w:rFonts w:ascii="Times New Roman" w:eastAsia="Times New Roman" w:hAnsi="Times New Roman" w:cs="Times New Roman"/>
          <w:b/>
          <w:bCs/>
          <w:caps/>
          <w:sz w:val="28"/>
          <w:szCs w:val="28"/>
          <w:lang w:val="en-US"/>
        </w:rPr>
      </w:pPr>
      <w:r w:rsidRPr="00D516EF">
        <w:rPr>
          <w:rFonts w:ascii="Times New Roman" w:eastAsia="Times New Roman" w:hAnsi="Times New Roman" w:cs="Times New Roman"/>
          <w:b/>
          <w:bCs/>
          <w:caps/>
          <w:sz w:val="28"/>
          <w:szCs w:val="28"/>
          <w:lang w:val="en-US"/>
        </w:rPr>
        <w:t>Market Segmentation, Targeting and Positioning: Tesco</w:t>
      </w:r>
    </w:p>
    <w:p w14:paraId="2E996304" w14:textId="16C1AF3E" w:rsidR="00F0697C" w:rsidRDefault="00F0697C" w:rsidP="00D516EF">
      <w:pPr>
        <w:spacing w:after="120" w:line="360" w:lineRule="auto"/>
        <w:jc w:val="center"/>
        <w:rPr>
          <w:rFonts w:ascii="Times New Roman" w:hAnsi="Times New Roman" w:cs="Times New Roman"/>
          <w:sz w:val="28"/>
          <w:szCs w:val="28"/>
          <w:u w:val="single"/>
        </w:rPr>
      </w:pPr>
    </w:p>
    <w:p w14:paraId="79998BA6" w14:textId="77777777" w:rsidR="000345A2" w:rsidRPr="00D516EF" w:rsidRDefault="000345A2" w:rsidP="00D516EF">
      <w:pPr>
        <w:spacing w:after="120" w:line="360" w:lineRule="auto"/>
        <w:jc w:val="center"/>
        <w:rPr>
          <w:rFonts w:ascii="Times New Roman" w:hAnsi="Times New Roman" w:cs="Times New Roman"/>
          <w:sz w:val="28"/>
          <w:szCs w:val="28"/>
          <w:u w:val="single"/>
        </w:rPr>
      </w:pPr>
    </w:p>
    <w:p w14:paraId="33338DD6" w14:textId="7EF85341" w:rsidR="00F0697C" w:rsidRPr="00244A2A" w:rsidRDefault="00AC3B9E"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sz w:val="24"/>
          <w:szCs w:val="24"/>
          <w:u w:val="single"/>
        </w:rPr>
        <w:t xml:space="preserve"> </w:t>
      </w:r>
      <w:r w:rsidR="00F0697C" w:rsidRPr="00244A2A">
        <w:rPr>
          <w:rFonts w:ascii="Times New Roman" w:hAnsi="Times New Roman" w:cs="Times New Roman"/>
          <w:b/>
          <w:bCs/>
          <w:caps/>
          <w:sz w:val="24"/>
          <w:szCs w:val="24"/>
        </w:rPr>
        <w:t>1. Introduction</w:t>
      </w:r>
      <w:r w:rsidR="00F84EE9" w:rsidRPr="00244A2A">
        <w:rPr>
          <w:rFonts w:ascii="Times New Roman" w:hAnsi="Times New Roman" w:cs="Times New Roman"/>
          <w:b/>
          <w:bCs/>
          <w:caps/>
          <w:sz w:val="24"/>
          <w:szCs w:val="24"/>
        </w:rPr>
        <w:tab/>
      </w:r>
    </w:p>
    <w:p w14:paraId="5BD51871" w14:textId="4F15BCE3"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Marketing strategy plays a decisive role in determining organisational success in highly competitive retail markets. The UK grocery sector is characterised by intense rivalry, price sensitivity, shifting consumer expectations and ongoing digital transformation. Retailers must compete not only on price but also on convenience, product quality, customer experience and increasingly on sustainability credentials. In such an environment, structured marketing frameworks are essential for guiding decision-making and resource allocation. Strategic marketing enables firms to identify attractive market opportunities, develop differentiated value propositions and sustain competitive advantage over time (Baines, Fill and Rosengren, 2022).</w:t>
      </w:r>
    </w:p>
    <w:p w14:paraId="19178EC1" w14:textId="08A9BAED"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One of the most influential strategic marketing frameworks is the Segmentation, Targeting and Positioning (STP) model. The foundation of segmentation theory lies in the recognition that markets are heterogeneous rather than homogeneous. Subsequent developments in marketing theory refined segmentation criteria and emphasised the importance of actionable, measurable and meaningful customer groupings (Wedel and Kamakura, 2000; Kotler, Keller and Chernev, 2022). </w:t>
      </w:r>
      <w:r w:rsidR="00D23821" w:rsidRPr="00D23821">
        <w:rPr>
          <w:rFonts w:ascii="Times New Roman" w:hAnsi="Times New Roman" w:cs="Times New Roman"/>
          <w:sz w:val="24"/>
          <w:szCs w:val="24"/>
        </w:rPr>
        <w:t>Positioning defines the way in which an organisation seeks to shape customers’ perceptions of its brand and products in comparison with competing alternatives (Kotler, Keller and Chernev, 2022).</w:t>
      </w:r>
      <w:r w:rsidRPr="00244A2A">
        <w:rPr>
          <w:rFonts w:ascii="Times New Roman" w:hAnsi="Times New Roman" w:cs="Times New Roman"/>
          <w:sz w:val="24"/>
          <w:szCs w:val="24"/>
        </w:rPr>
        <w:t xml:space="preserve"> Together, these processes form the strategic core of customer-oriented marketing.</w:t>
      </w:r>
    </w:p>
    <w:p w14:paraId="37CC4493"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Tesco plc is a leading grocery retailer in the United Kingdom, operating across physical stores and digital channels, and using initiatives such as Clubcard and online grocery services to support customer engagement and competitiveness (Tesco plc, 2025; Tesco, n.d.-a; Tesco, n.d.-b). This report critically analyses Tesco’s segmentation, targeting and positioning strategies and evaluates how these strategic decisions are translated into the marketing mix. Academic theory is used throughout to assess strengths, limitations and future strategic implications.</w:t>
      </w:r>
    </w:p>
    <w:p w14:paraId="326F99AA" w14:textId="77777777" w:rsidR="00F0697C" w:rsidRPr="00244A2A" w:rsidRDefault="00F0697C"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lastRenderedPageBreak/>
        <w:t>2. Segmentation Analysis</w:t>
      </w:r>
    </w:p>
    <w:p w14:paraId="7E66D590" w14:textId="360BAC24" w:rsidR="00F0697C" w:rsidRPr="00244A2A" w:rsidRDefault="0019756B" w:rsidP="00244A2A">
      <w:pPr>
        <w:spacing w:after="120" w:line="360" w:lineRule="auto"/>
        <w:jc w:val="both"/>
        <w:rPr>
          <w:rFonts w:ascii="Times New Roman" w:hAnsi="Times New Roman" w:cs="Times New Roman"/>
          <w:sz w:val="24"/>
          <w:szCs w:val="24"/>
        </w:rPr>
      </w:pPr>
      <w:r w:rsidRPr="0019756B">
        <w:rPr>
          <w:rFonts w:ascii="Times New Roman" w:hAnsi="Times New Roman" w:cs="Times New Roman"/>
          <w:sz w:val="24"/>
          <w:szCs w:val="24"/>
        </w:rPr>
        <w:t>Market segmentation represents a core component of Tesco’s overall marketing approach. Kotler, Keller and Chernev (2022) argue that viable market segments should be clearly identifiable, sufficiently large, reachable, distinct from one another and capable of being effectively served.</w:t>
      </w:r>
      <w:r w:rsidR="00B37F81">
        <w:rPr>
          <w:rFonts w:ascii="Times New Roman" w:hAnsi="Times New Roman" w:cs="Times New Roman"/>
          <w:sz w:val="24"/>
          <w:szCs w:val="24"/>
        </w:rPr>
        <w:t xml:space="preserve"> </w:t>
      </w:r>
      <w:r w:rsidR="00F0697C" w:rsidRPr="00244A2A">
        <w:rPr>
          <w:rFonts w:ascii="Times New Roman" w:hAnsi="Times New Roman" w:cs="Times New Roman"/>
          <w:sz w:val="24"/>
          <w:szCs w:val="24"/>
        </w:rPr>
        <w:t xml:space="preserve">In grocery retailing, segmentation is complex because purchasing behaviour is influenced by economic factors, lifestyle preferences, geographic accessibility and habitual routines. </w:t>
      </w:r>
      <w:r w:rsidR="00C84AE3" w:rsidRPr="00C84AE3">
        <w:rPr>
          <w:rFonts w:ascii="Times New Roman" w:hAnsi="Times New Roman" w:cs="Times New Roman"/>
          <w:sz w:val="24"/>
          <w:szCs w:val="24"/>
        </w:rPr>
        <w:t>Tesco structures its market analysis around several segmentation bases, incorporating demographic characteristics, geographic location, consumer lifestyles and purchasing behaviour.</w:t>
      </w:r>
    </w:p>
    <w:p w14:paraId="4A1BE81A" w14:textId="77777777" w:rsidR="00F0697C" w:rsidRPr="00BB4DDD" w:rsidRDefault="00F0697C" w:rsidP="00244A2A">
      <w:pPr>
        <w:spacing w:after="120" w:line="360" w:lineRule="auto"/>
        <w:jc w:val="both"/>
        <w:rPr>
          <w:rFonts w:ascii="Times New Roman" w:hAnsi="Times New Roman" w:cs="Times New Roman"/>
          <w:b/>
          <w:bCs/>
          <w:sz w:val="24"/>
          <w:szCs w:val="24"/>
        </w:rPr>
      </w:pPr>
      <w:r w:rsidRPr="00BB4DDD">
        <w:rPr>
          <w:rFonts w:ascii="Times New Roman" w:hAnsi="Times New Roman" w:cs="Times New Roman"/>
          <w:b/>
          <w:bCs/>
          <w:sz w:val="24"/>
          <w:szCs w:val="24"/>
        </w:rPr>
        <w:t>2.1 Demographic Segmentation</w:t>
      </w:r>
    </w:p>
    <w:p w14:paraId="6DA2F61E" w14:textId="77777777" w:rsidR="00B80FFB" w:rsidRPr="00BB4DDD" w:rsidRDefault="00A7594F" w:rsidP="00244A2A">
      <w:pPr>
        <w:spacing w:after="120" w:line="360" w:lineRule="auto"/>
        <w:jc w:val="both"/>
        <w:rPr>
          <w:rFonts w:ascii="Times New Roman" w:hAnsi="Times New Roman" w:cs="Times New Roman"/>
          <w:sz w:val="24"/>
          <w:szCs w:val="24"/>
        </w:rPr>
      </w:pPr>
      <w:r w:rsidRPr="00BB4DDD">
        <w:rPr>
          <w:rFonts w:ascii="Times New Roman" w:hAnsi="Times New Roman" w:cs="Times New Roman"/>
          <w:sz w:val="24"/>
          <w:szCs w:val="24"/>
        </w:rPr>
        <w:t>In demographic segmentation, customers are grouped according to identifiable attributes such as their age group, earnings, family structure and employment status. These indicators are commonly applied since they can be measured with relative ease and tend to be closely linked to consumer purchasing behaviour (Jobber and Ellis-Chadwick, 2023).</w:t>
      </w:r>
    </w:p>
    <w:p w14:paraId="2BA411C7" w14:textId="67174203"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In grocery retailing, income level is particularly significant, as it influences brand choice, price sensitivity and product quality expectations.</w:t>
      </w:r>
    </w:p>
    <w:p w14:paraId="504ABB16"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Tesco uses a tiered private-label structure to address different income groups. Entry-level ranges target highly price-sensitive consumers seeking affordability, while premium ranges such as Tesco Finest target consumers willing to pay more for enhanced quality and indulgence (Tesco, n.d.-c). This layered architecture allows Tesco to appeal to multiple income segments without fragmenting its overall brand identity. It reflects the principle of differentiated value propositions identified by Baines, Fill and Rosengren (2022).</w:t>
      </w:r>
    </w:p>
    <w:p w14:paraId="5DF812E2"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Household composition also influences purchasing behaviour. Larger families may prioritise value packs and one-stop weekly shopping, whereas smaller households may prefer convenience formats and ready-to-eat meals. Tesco adapts assortment, packaging sizes and promotional strategies to reflect these differences. In practice, this means that demographic segmentation is not used in isolation. It interacts with Tesco’s broader merchandising choices, helping the retailer stock categories, pack sizes and price points that better fit the needs of the local customer base. This flexibility is especially important in a retailer serving both urban professionals and budget-conscious families.</w:t>
      </w:r>
    </w:p>
    <w:p w14:paraId="10F9446B"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Age can also affect how customers engage with retail channels. Younger consumers may be more comfortable using apps, personalised digital offers and online delivery, while older </w:t>
      </w:r>
      <w:r w:rsidRPr="00244A2A">
        <w:rPr>
          <w:rFonts w:ascii="Times New Roman" w:hAnsi="Times New Roman" w:cs="Times New Roman"/>
          <w:sz w:val="24"/>
          <w:szCs w:val="24"/>
        </w:rPr>
        <w:lastRenderedPageBreak/>
        <w:t>customers may continue to prefer familiar in-store routines. Tesco’s broad customer base means that it must support both patterns simultaneously. Demographic segmentation therefore informs not only product assortment but also service design, communication style and channel emphasis.</w:t>
      </w:r>
    </w:p>
    <w:p w14:paraId="68AD35A5" w14:textId="77777777" w:rsidR="00DB309A" w:rsidRPr="00244A2A" w:rsidRDefault="00DB309A" w:rsidP="00244A2A">
      <w:pPr>
        <w:spacing w:after="120" w:line="360" w:lineRule="auto"/>
        <w:jc w:val="both"/>
        <w:rPr>
          <w:rFonts w:ascii="Times New Roman" w:hAnsi="Times New Roman" w:cs="Times New Roman"/>
          <w:b/>
          <w:bCs/>
          <w:sz w:val="24"/>
          <w:szCs w:val="24"/>
        </w:rPr>
      </w:pPr>
    </w:p>
    <w:p w14:paraId="45C267F4" w14:textId="402864BB"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2.2 Geographic Segmentation</w:t>
      </w:r>
    </w:p>
    <w:p w14:paraId="4E1AE67D"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Geographic segmentation recognises that consumer behaviour varies according to location, population density and regional characteristics (Kotler, Keller and Chernev, 2022). In retailing, physical accessibility is crucial. Tesco operates multiple store formats including Express, Superstore and Extra (Tesco, n.d.-d). Each format is designed to meet different geographic and shopping needs.</w:t>
      </w:r>
    </w:p>
    <w:p w14:paraId="790923FF"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Tesco Express stores are typically located in urban areas or residential neighbourhoods where convenience and proximity are valued. Superstores and Extra formats are more common in suburban areas with greater parking availability and support larger basket sizes (Tesco, n.d.-d). This multi-format strategy demonstrates geographic adaptation and enhances coverage across diverse catchment areas.</w:t>
      </w:r>
    </w:p>
    <w:p w14:paraId="6EB6DEA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Geographic segmentation also supports Tesco’s distribution strategy by aligning store formats with local demand patterns. It reduces mismatch between assortment and local purchasing habits, improving efficiency and customer satisfaction. Stores located in business districts, for example, are likely to emphasise meal deals, ready meals and grab-and-go items, whereas larger community stores may devote more space to family groceries and household goods.</w:t>
      </w:r>
    </w:p>
    <w:p w14:paraId="78879D0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Regional variation can also influence product mix. Different localities may show different levels of demand for premium ranges, ethnic foods, convenience products or healthier options. Tesco’s geographic segmentation therefore complements other segmentation variables by ensuring that national scale does not prevent local responsiveness. This ability to combine a large corporate structure with a degree of local adaptation strengthens Tesco’s competitiveness.</w:t>
      </w:r>
    </w:p>
    <w:p w14:paraId="52B2CDEC" w14:textId="77777777" w:rsidR="0098016C" w:rsidRPr="00244A2A" w:rsidRDefault="0098016C" w:rsidP="00244A2A">
      <w:pPr>
        <w:spacing w:after="120" w:line="360" w:lineRule="auto"/>
        <w:jc w:val="both"/>
        <w:rPr>
          <w:rFonts w:ascii="Times New Roman" w:hAnsi="Times New Roman" w:cs="Times New Roman"/>
          <w:b/>
          <w:bCs/>
          <w:sz w:val="24"/>
          <w:szCs w:val="24"/>
        </w:rPr>
      </w:pPr>
    </w:p>
    <w:p w14:paraId="05A00DF5" w14:textId="65D5B5F8"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2.3 Psychographic Segmentation</w:t>
      </w:r>
    </w:p>
    <w:p w14:paraId="68441F95"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Psychographic segmentation focuses on lifestyle, attitudes and values. In recent years, grocery purchasing has increasingly reflected consumer identity, particularly regarding health, sustainability and ethical sourcing (Kotler, Keller and Chernev, 2022).</w:t>
      </w:r>
    </w:p>
    <w:p w14:paraId="187C7E15"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lastRenderedPageBreak/>
        <w:t>Tesco has expanded plant-based ranges and communicates sustainability commitments through its official grocery and corporate sustainability platforms (Tesco, n.d.-e; Tesco plc, n.d.-a). These initiatives reflect recognition that consumers often view grocery shopping as an extension of personal values rather than a purely functional activity. Psychographic segmentation enhances brand differentiation and supports premium positioning strategies.</w:t>
      </w:r>
    </w:p>
    <w:p w14:paraId="7AFDB521"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Consumers who care about nutrition may look for fresh foods, low-sugar products or clear labelling, while those motivated by environmental concerns may prefer recyclable packaging, plant-based alternatives or products associated with ethical sourcing. Tesco’s response to these concerns allows it to connect with customers at a deeper level than price alone. It also helps the brand remain relevant in a market where food choices increasingly communicate lifestyle and identity.</w:t>
      </w:r>
    </w:p>
    <w:p w14:paraId="721ABA75"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Psychographic segmentation is strategically valuable because it often helps explain why customers choose between similar products. Two consumers with similar incomes may still make very different purchasing decisions because they hold different beliefs about health, value or sustainability. Tesco’s ability to address these softer dimensions of demand helps broaden its appeal and reduces the risk of competing only on price.</w:t>
      </w:r>
    </w:p>
    <w:p w14:paraId="067003EF"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2.4 Behavioural Segmentation</w:t>
      </w:r>
    </w:p>
    <w:p w14:paraId="12538AD2"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Behavioural segmentation is based on actual consumer actions such as purchase frequency, brand loyalty, basket composition and responsiveness to promotions (Wedel and Kamakura, 2000). Tesco’s Clubcard loyalty programme provides a strong competitive advantage in this area (Tesco, n.d.-a).</w:t>
      </w:r>
    </w:p>
    <w:p w14:paraId="2A014719"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Through transactional data, Tesco can identify patterns in individual customer behaviour and tailor promotions accordingly. Kannan and Li (2017) argue that digital marketing transformation enables personalisation at scale. Tesco’s data-driven segmentation improves promotional efficiency and enhances customer engagement.</w:t>
      </w:r>
    </w:p>
    <w:p w14:paraId="0E115563"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This approach aligns with market orientation theory, which suggests that firms achieving superior performance are those that generate and use customer intelligence effectively (</w:t>
      </w:r>
      <w:proofErr w:type="spellStart"/>
      <w:r w:rsidRPr="00244A2A">
        <w:rPr>
          <w:rFonts w:ascii="Times New Roman" w:hAnsi="Times New Roman" w:cs="Times New Roman"/>
          <w:sz w:val="24"/>
          <w:szCs w:val="24"/>
        </w:rPr>
        <w:t>Narver</w:t>
      </w:r>
      <w:proofErr w:type="spellEnd"/>
      <w:r w:rsidRPr="00244A2A">
        <w:rPr>
          <w:rFonts w:ascii="Times New Roman" w:hAnsi="Times New Roman" w:cs="Times New Roman"/>
          <w:sz w:val="24"/>
          <w:szCs w:val="24"/>
        </w:rPr>
        <w:t xml:space="preserve"> and Slater, 1990). However, reliance on historical data may limit the firm’s ability to anticipate emerging needs, highlighting the need for continual adaptation.</w:t>
      </w:r>
    </w:p>
    <w:p w14:paraId="4A057F7F"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Behavioural segmentation also allows Tesco to distinguish between frequent and infrequent shoppers, loyal and switch-prone customers, and shoppers motivated mainly by convenience versus those motivated by promotions. Such insight enables the retailer to allocate marketing </w:t>
      </w:r>
      <w:r w:rsidRPr="00244A2A">
        <w:rPr>
          <w:rFonts w:ascii="Times New Roman" w:hAnsi="Times New Roman" w:cs="Times New Roman"/>
          <w:sz w:val="24"/>
          <w:szCs w:val="24"/>
        </w:rPr>
        <w:lastRenderedPageBreak/>
        <w:t>resources more efficiently. Instead of sending the same offer to all customers, Tesco can focus on communications that are more likely to influence purchasing behaviour, improving return on promotional investment.</w:t>
      </w:r>
    </w:p>
    <w:p w14:paraId="4FF8FE62"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Another advantage of behavioural segmentation is that it supports retention as well as acquisition. By identifying which customers are becoming less active or more price sensitive, Tesco can intervene with relevant incentives before loyalty weakens further. This makes behavioural segmentation central </w:t>
      </w:r>
      <w:r w:rsidRPr="00E96B25">
        <w:rPr>
          <w:rFonts w:ascii="Times New Roman" w:hAnsi="Times New Roman" w:cs="Times New Roman"/>
          <w:sz w:val="24"/>
          <w:szCs w:val="24"/>
        </w:rPr>
        <w:t>not only to short-term sales generation but also to long-term</w:t>
      </w:r>
      <w:r w:rsidRPr="00244A2A">
        <w:rPr>
          <w:rFonts w:ascii="Times New Roman" w:hAnsi="Times New Roman" w:cs="Times New Roman"/>
          <w:sz w:val="24"/>
          <w:szCs w:val="24"/>
        </w:rPr>
        <w:t xml:space="preserve"> relationship management.</w:t>
      </w:r>
    </w:p>
    <w:p w14:paraId="1E43C7E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Overall, Tesco’s segmentation strategy is sophisticated because it combines traditional descriptors of who customers are with rich evidence of how they shop. The principal challenge is not access to data, but ensuring that the insight generated remains actionable, current and consistent with the retailer’s overall strategic direction.</w:t>
      </w:r>
    </w:p>
    <w:p w14:paraId="7FDE9B40" w14:textId="77777777" w:rsidR="00726AF6" w:rsidRPr="00244A2A" w:rsidRDefault="00726AF6" w:rsidP="00244A2A">
      <w:pPr>
        <w:spacing w:after="120" w:line="360" w:lineRule="auto"/>
        <w:jc w:val="both"/>
        <w:rPr>
          <w:rFonts w:ascii="Times New Roman" w:hAnsi="Times New Roman" w:cs="Times New Roman"/>
          <w:sz w:val="24"/>
          <w:szCs w:val="24"/>
        </w:rPr>
      </w:pPr>
    </w:p>
    <w:p w14:paraId="2957A0C9" w14:textId="77777777" w:rsidR="00F0697C" w:rsidRPr="00244A2A" w:rsidRDefault="00F0697C"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t>3. Targeting Analysis</w:t>
      </w:r>
    </w:p>
    <w:p w14:paraId="21C012A4"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After segmentation, Tesco evaluates segment attractiveness and strategic fit. Segments should be assessed according to size, growth potential, profitability and compatibility with organisational resources. Tesco adopts a differentiated targeting strategy, serving multiple segments simultaneously.</w:t>
      </w:r>
    </w:p>
    <w:p w14:paraId="6097EC53"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3.1 Mass Market Targeting</w:t>
      </w:r>
    </w:p>
    <w:p w14:paraId="3F5228AF"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Grocery retail requires broad market coverage because food is an essential product category. Tesco competes for mainstream households by offering competitive pricing, broad assortment and accessible store locations (Tesco plc, 2025; Tesco, n.d.-d). This approach ensures large-scale market presence and stable revenue streams.</w:t>
      </w:r>
    </w:p>
    <w:p w14:paraId="4DEF9711"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Mass-market targeting is supported by Tesco’s scale. A broad customer base allows the retailer to spread fixed costs, strengthen supplier relationships and maintain strong brand visibility. For a supermarket, mass coverage is not simply desirable; it is strategically necessary. Tesco’s store network, product breadth and mainstream brand position all support this objective.</w:t>
      </w:r>
    </w:p>
    <w:p w14:paraId="7B834AAD"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3.2 Price-Sensitive Segment Targeting</w:t>
      </w:r>
    </w:p>
    <w:p w14:paraId="76D4D77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must also compete effectively against discount retailers. Porter (1980) notes that cost leadership can provide competitive advantage if supported by operational efficiency. Tesco </w:t>
      </w:r>
      <w:r w:rsidRPr="00244A2A">
        <w:rPr>
          <w:rFonts w:ascii="Times New Roman" w:hAnsi="Times New Roman" w:cs="Times New Roman"/>
          <w:sz w:val="24"/>
          <w:szCs w:val="24"/>
        </w:rPr>
        <w:lastRenderedPageBreak/>
        <w:t>targets price-sensitive consumers through strong value messaging and entry-level product ranges, supported by price-led initiatives on its grocery platform (Tesco, n.d.-b).</w:t>
      </w:r>
    </w:p>
    <w:p w14:paraId="5E59E8FC"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This segment is strategically important because inflationary pressure and cost-of-living concerns can quickly shift customer priorities toward affordability. Tesco therefore needs to reassure customers that it can meet essential needs at acceptable prices. However, unlike hard discounters, Tesco must do this while still supporting a broader proposition that includes service, assortment and convenience. The challenge is to remain price credible without reducing the brand to a purely low-cost identity.</w:t>
      </w:r>
    </w:p>
    <w:p w14:paraId="3A4BEAC8"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3.3 Premium Segment Targeting</w:t>
      </w:r>
    </w:p>
    <w:p w14:paraId="0D7ACF54"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Premium targeting allows Tesco to improve margins and reduce reliance on price competition. Higher-quality own-label products appeal to consumers seeking differentiation and indulgence. Differentiated targeting enhances profitability when the firm has sufficient resources to manage complexity (Baines, Fill and Rosengren, 2022).</w:t>
      </w:r>
    </w:p>
    <w:p w14:paraId="3B7086BC"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Premium targeting is also strategically useful because it broadens Tesco’s appeal beyond functional shopping. Consumers purchasing premium ready meals, speciality foods or higher-quality ingredients may associate the retailer with aspiration as well as practicality. This can strengthen margin performance and help Tesco compete more effectively against rivals offering stronger quality credentials (Tesco, n.d.-c).</w:t>
      </w:r>
    </w:p>
    <w:p w14:paraId="66ED9D22"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3.4 Convenience-Oriented Targeting</w:t>
      </w:r>
    </w:p>
    <w:p w14:paraId="44B1FC1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Modern consumers increasingly value convenience. Tesco Express and online grocery services address time-constrained shoppers (Tesco, n.d.-b; Tesco, n.d.-d). Verhoef, Kannan and Inman (2015) highlight that omnichannel integration enhances competitive positioning by enabling seamless shopping experiences.</w:t>
      </w:r>
    </w:p>
    <w:p w14:paraId="7B20D6EB"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Convenience-oriented shoppers are not necessarily defined by income. They may include commuters, small households, students or families with limited time. What unites them is the desire to reduce shopping effort. Tesco’s convenience targeting therefore relies on speed, proximity, intuitive digital tools and reliable fulfilment rather than on one simple demographic profile. This reflects the growing importance of mission-based targeting in retail, where the occasion of shopping matters as much as the identity of the shopper.</w:t>
      </w:r>
    </w:p>
    <w:p w14:paraId="35E1EA09"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While differentiated targeting broadens coverage, it also requires strategic coherence to prevent dilution of brand clarity. Tesco’s strength lies in serving multiple segments without fragmenting </w:t>
      </w:r>
      <w:r w:rsidRPr="00244A2A">
        <w:rPr>
          <w:rFonts w:ascii="Times New Roman" w:hAnsi="Times New Roman" w:cs="Times New Roman"/>
          <w:sz w:val="24"/>
          <w:szCs w:val="24"/>
        </w:rPr>
        <w:lastRenderedPageBreak/>
        <w:t>the business into disconnected sub-brands. Even so, this breadth creates managerial tension. The company must ensure that its value proposition remains coherent across customer groups, channels and store formats.</w:t>
      </w:r>
    </w:p>
    <w:p w14:paraId="31BCCD67" w14:textId="77777777" w:rsidR="00726AF6" w:rsidRPr="00244A2A" w:rsidRDefault="00726AF6" w:rsidP="00244A2A">
      <w:pPr>
        <w:spacing w:after="120" w:line="360" w:lineRule="auto"/>
        <w:jc w:val="both"/>
        <w:rPr>
          <w:rFonts w:ascii="Times New Roman" w:hAnsi="Times New Roman" w:cs="Times New Roman"/>
          <w:sz w:val="24"/>
          <w:szCs w:val="24"/>
        </w:rPr>
      </w:pPr>
    </w:p>
    <w:p w14:paraId="36DC2E11" w14:textId="77777777" w:rsidR="00F0697C" w:rsidRPr="00244A2A" w:rsidRDefault="00F0697C"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t>4. Positioning Analysis</w:t>
      </w:r>
    </w:p>
    <w:p w14:paraId="37E0110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Positioning defines how Tesco is perceived relative to competitors. Kotler, Keller and Chernev (2022) emphasise that positioning must be distinctive and meaningful.</w:t>
      </w:r>
    </w:p>
    <w:p w14:paraId="29F90A23"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4.1 Value-for-Money Positioning</w:t>
      </w:r>
    </w:p>
    <w:p w14:paraId="5206B216"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Tesco positions itself around value for money rather than pure low pricing. This distinction is important because value incorporates quality, convenience and service. Porter’s (1980) cost leadership framework supports this strategic emphasis. Tesco’s official reporting and grocery platform also emphasise value, quality and service through its customer proposition (Tesco plc, 2025; Tesco, n.d.-b).</w:t>
      </w:r>
    </w:p>
    <w:p w14:paraId="65EAD9DF"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A value-for-money position is particularly powerful in grocery retail because customers make frequent purchase decisions and continuously compare what they receive for what they pay. Tesco’s aim is to reassure shoppers that they can complete a full shop efficiently without sacrificing basic quality expectations. This is broader and more resilient than a narrow low-price position, which would place Tesco in more direct comparison with hard discounters on terms that may be difficult to sustain.</w:t>
      </w:r>
    </w:p>
    <w:p w14:paraId="7DB51EB8"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4.2 Quality and Brand Equity</w:t>
      </w:r>
    </w:p>
    <w:p w14:paraId="28686976"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Aaker (1996) argues that brand equity is built through perceived quality, brand associations and loyalty. Tesco’s premium ranges enhance perceived quality without undermining its mainstream appeal. Keller (1993) explains that strong brand knowledge increases positive consumer responses to marketing activities.</w:t>
      </w:r>
    </w:p>
    <w:p w14:paraId="48A2AE01"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Brand equity matters because supermarkets do not compete only through products on shelves; they compete through the mental shortcuts customers use when deciding where to shop. Tesco benefits when customers associate the brand with reliability, acceptable quality, breadth of range and useful offers. These associations encourage repeat shopping and reduce the effort customers invest in comparing alternatives.</w:t>
      </w:r>
    </w:p>
    <w:p w14:paraId="23FA49E9"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4.3 Customer-Centric Positioning</w:t>
      </w:r>
    </w:p>
    <w:p w14:paraId="53F2388D"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lastRenderedPageBreak/>
        <w:t>Tesco’s loyalty programme reinforces relational positioning. Rust, Lemon and Zeithaml (2004) suggest that customer equity is a key driver of long-term profitability. Tesco strengthens repeat purchase behaviour through personalised engagement via Clubcard and digital platforms (Tesco, n.d.-a; Tesco plc, 2025).</w:t>
      </w:r>
    </w:p>
    <w:p w14:paraId="0E7048F3"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This customer-centric element of Tesco’s positioning is important because it differentiates the brand from retailers whose propositions depend more heavily on standardised pricing alone. When customers feel that promotions are relevant and that the retailer understands their preferences, switching becomes less attractive. Clubcard therefore contributes both practical and symbolic value: it offers savings, but it also signals that Tesco recognises individual shopping behaviour.</w:t>
      </w:r>
    </w:p>
    <w:p w14:paraId="0698FFE4" w14:textId="77777777" w:rsidR="00726AF6" w:rsidRPr="00244A2A" w:rsidRDefault="00726AF6" w:rsidP="00244A2A">
      <w:pPr>
        <w:spacing w:after="120" w:line="360" w:lineRule="auto"/>
        <w:jc w:val="both"/>
        <w:rPr>
          <w:rFonts w:ascii="Times New Roman" w:hAnsi="Times New Roman" w:cs="Times New Roman"/>
          <w:sz w:val="24"/>
          <w:szCs w:val="24"/>
        </w:rPr>
      </w:pPr>
    </w:p>
    <w:p w14:paraId="04AB4FF3" w14:textId="77777777" w:rsidR="00F0697C" w:rsidRPr="00244A2A" w:rsidRDefault="00F0697C" w:rsidP="00244A2A">
      <w:pPr>
        <w:spacing w:after="120" w:line="360" w:lineRule="auto"/>
        <w:jc w:val="both"/>
        <w:rPr>
          <w:rFonts w:ascii="Times New Roman" w:hAnsi="Times New Roman" w:cs="Times New Roman"/>
          <w:b/>
          <w:bCs/>
          <w:sz w:val="24"/>
          <w:szCs w:val="24"/>
        </w:rPr>
      </w:pPr>
      <w:r w:rsidRPr="00244A2A">
        <w:rPr>
          <w:rFonts w:ascii="Times New Roman" w:hAnsi="Times New Roman" w:cs="Times New Roman"/>
          <w:b/>
          <w:bCs/>
          <w:sz w:val="24"/>
          <w:szCs w:val="24"/>
        </w:rPr>
        <w:t>4.4 Convenience and Omnichannel Positioning</w:t>
      </w:r>
    </w:p>
    <w:p w14:paraId="3B26BD33" w14:textId="729C8593"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Omnichannel retailing strengthens Tesco’s positioning as accessible and modern.</w:t>
      </w:r>
      <w:r w:rsidR="00361FC5" w:rsidRPr="00361FC5">
        <w:t xml:space="preserve"> </w:t>
      </w:r>
      <w:r w:rsidR="00361FC5" w:rsidRPr="00361FC5">
        <w:rPr>
          <w:rFonts w:ascii="Times New Roman" w:hAnsi="Times New Roman" w:cs="Times New Roman"/>
          <w:sz w:val="24"/>
          <w:szCs w:val="24"/>
        </w:rPr>
        <w:t>Lemon and Verhoef (2016) emphasise that the customer experience unfolds across a range of interconnected interaction points</w:t>
      </w:r>
      <w:r w:rsidR="004A7A38">
        <w:rPr>
          <w:rFonts w:ascii="Times New Roman" w:hAnsi="Times New Roman" w:cs="Times New Roman"/>
          <w:sz w:val="24"/>
          <w:szCs w:val="24"/>
        </w:rPr>
        <w:t xml:space="preserve">, </w:t>
      </w:r>
      <w:r w:rsidRPr="00244A2A">
        <w:rPr>
          <w:rFonts w:ascii="Times New Roman" w:hAnsi="Times New Roman" w:cs="Times New Roman"/>
          <w:sz w:val="24"/>
          <w:szCs w:val="24"/>
        </w:rPr>
        <w:t>Tesco’s integrated digital and physical presence enhances perceived convenience through online grocery shopping, home delivery and click-and-collect services (Tesco, n.d.-b).</w:t>
      </w:r>
    </w:p>
    <w:p w14:paraId="58350F8A"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Maintaining clarity across value, quality and convenience dimensions remains critical to sustainable positioning. Tesco cannot afford to appear confused about what it stands for. Its positioning works best when customers experience the brand as affordable, practical, dependable and increasingly personalised. The danger lies in trying to signal too many things at once. If communication becomes inconsistent, perceived distinctiveness can weaken.</w:t>
      </w:r>
    </w:p>
    <w:p w14:paraId="53C9BB42" w14:textId="77777777" w:rsidR="00726AF6" w:rsidRPr="00244A2A" w:rsidRDefault="00726AF6" w:rsidP="00244A2A">
      <w:pPr>
        <w:spacing w:after="120" w:line="360" w:lineRule="auto"/>
        <w:jc w:val="both"/>
        <w:rPr>
          <w:rFonts w:ascii="Times New Roman" w:hAnsi="Times New Roman" w:cs="Times New Roman"/>
          <w:sz w:val="24"/>
          <w:szCs w:val="24"/>
        </w:rPr>
      </w:pPr>
    </w:p>
    <w:p w14:paraId="06A1FBF3" w14:textId="77777777" w:rsidR="00F0697C" w:rsidRPr="00244A2A" w:rsidRDefault="00F0697C"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t>5. Marketing Mix Strategies (4Ps)</w:t>
      </w:r>
    </w:p>
    <w:p w14:paraId="0F4B5273"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The marketing mix translates strategic positioning into operational decisions.</w:t>
      </w:r>
    </w:p>
    <w:p w14:paraId="57A6CFF5" w14:textId="08F42A55" w:rsidR="00F0697C" w:rsidRPr="00244A2A" w:rsidRDefault="00C85DE2"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b/>
          <w:bCs/>
          <w:sz w:val="24"/>
          <w:szCs w:val="24"/>
        </w:rPr>
        <w:t xml:space="preserve">5.1 </w:t>
      </w:r>
      <w:r w:rsidR="00F0697C" w:rsidRPr="00244A2A">
        <w:rPr>
          <w:rFonts w:ascii="Times New Roman" w:hAnsi="Times New Roman" w:cs="Times New Roman"/>
          <w:b/>
          <w:bCs/>
          <w:sz w:val="24"/>
          <w:szCs w:val="24"/>
        </w:rPr>
        <w:t>Product</w:t>
      </w:r>
      <w:r w:rsidR="00F0697C" w:rsidRPr="00244A2A">
        <w:rPr>
          <w:rFonts w:ascii="Times New Roman" w:hAnsi="Times New Roman" w:cs="Times New Roman"/>
          <w:sz w:val="24"/>
          <w:szCs w:val="24"/>
        </w:rPr>
        <w:t xml:space="preserve"> – Tesco offers extensive assortment depth and layered own-label brands. Product differentiation across price tiers supports segmentation strategy (Kotler, Keller and Chernev, 2022). The company’s product strategy is notable for its ability to combine broad mainstream appeal with selective innovation. Private-label tiers give Tesco control over quality, packaging and price architecture, while branded goods preserve customer choice. Product policy also </w:t>
      </w:r>
      <w:r w:rsidR="00F0697C" w:rsidRPr="00244A2A">
        <w:rPr>
          <w:rFonts w:ascii="Times New Roman" w:hAnsi="Times New Roman" w:cs="Times New Roman"/>
          <w:sz w:val="24"/>
          <w:szCs w:val="24"/>
        </w:rPr>
        <w:lastRenderedPageBreak/>
        <w:t>supports shifting demand patterns, such as the rise of convenience foods, healthier eating and plant-based categories (Tesco, n.d.-c; Tesco, n.d.-e).</w:t>
      </w:r>
    </w:p>
    <w:p w14:paraId="3584BD1A" w14:textId="3E45BBFD" w:rsidR="00F0697C" w:rsidRPr="00244A2A" w:rsidRDefault="00C85DE2"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b/>
          <w:bCs/>
          <w:sz w:val="24"/>
          <w:szCs w:val="24"/>
        </w:rPr>
        <w:t xml:space="preserve">5.2 </w:t>
      </w:r>
      <w:r w:rsidR="00F0697C" w:rsidRPr="00244A2A">
        <w:rPr>
          <w:rFonts w:ascii="Times New Roman" w:hAnsi="Times New Roman" w:cs="Times New Roman"/>
          <w:b/>
          <w:bCs/>
          <w:sz w:val="24"/>
          <w:szCs w:val="24"/>
        </w:rPr>
        <w:t>Price</w:t>
      </w:r>
      <w:r w:rsidR="00F0697C" w:rsidRPr="00244A2A">
        <w:rPr>
          <w:rFonts w:ascii="Times New Roman" w:hAnsi="Times New Roman" w:cs="Times New Roman"/>
          <w:sz w:val="24"/>
          <w:szCs w:val="24"/>
        </w:rPr>
        <w:t xml:space="preserve"> – Pricing strategy combines everyday pricing, targeted promotions and loyalty-based discounts. High frequency purchasing makes price perception particularly important (Jobber and Ellis-Chadwick, 2023). Tesco’s pricing decisions must therefore balance competitiveness with profitability. Selective promotional pricing can drive traffic and basket growth, but excessive dependence on discounts may weaken base price credibility. Clubcard pricing adds another layer by making offers feel more relevant, though it also requires clear </w:t>
      </w:r>
      <w:proofErr w:type="gramStart"/>
      <w:r w:rsidR="00F0697C" w:rsidRPr="00244A2A">
        <w:rPr>
          <w:rFonts w:ascii="Times New Roman" w:hAnsi="Times New Roman" w:cs="Times New Roman"/>
          <w:sz w:val="24"/>
          <w:szCs w:val="24"/>
        </w:rPr>
        <w:t>communication</w:t>
      </w:r>
      <w:proofErr w:type="gramEnd"/>
      <w:r w:rsidR="00F0697C" w:rsidRPr="00244A2A">
        <w:rPr>
          <w:rFonts w:ascii="Times New Roman" w:hAnsi="Times New Roman" w:cs="Times New Roman"/>
          <w:sz w:val="24"/>
          <w:szCs w:val="24"/>
        </w:rPr>
        <w:t xml:space="preserve"> so customers understand the value they are receiving (Tesco, n.d.-a; Tesco, n.d.-b).</w:t>
      </w:r>
    </w:p>
    <w:p w14:paraId="405752C8" w14:textId="6DA97EF3" w:rsidR="00F0697C" w:rsidRPr="00244A2A" w:rsidRDefault="00C85DE2"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b/>
          <w:bCs/>
          <w:sz w:val="24"/>
          <w:szCs w:val="24"/>
        </w:rPr>
        <w:t xml:space="preserve">5.3 </w:t>
      </w:r>
      <w:r w:rsidR="00F0697C" w:rsidRPr="00244A2A">
        <w:rPr>
          <w:rFonts w:ascii="Times New Roman" w:hAnsi="Times New Roman" w:cs="Times New Roman"/>
          <w:b/>
          <w:bCs/>
          <w:sz w:val="24"/>
          <w:szCs w:val="24"/>
        </w:rPr>
        <w:t xml:space="preserve">Place </w:t>
      </w:r>
      <w:r w:rsidR="00F0697C" w:rsidRPr="00244A2A">
        <w:rPr>
          <w:rFonts w:ascii="Times New Roman" w:hAnsi="Times New Roman" w:cs="Times New Roman"/>
          <w:sz w:val="24"/>
          <w:szCs w:val="24"/>
        </w:rPr>
        <w:t>– Multi-format retailing and digital integration enhance accessibility. Omnichannel coordination strengthens customer experience (Verhoef, Kannan and Inman, 2015). Tesco’s place strategy is not simply about store numbers; it is about matching access to shopping mission. Larger stores support planned weekly shops, while convenience stores and digital channels serve urgent, local or time-pressured needs. This gives Tesco a strong competitive advantage, especially when customers want flexibility in how and where they shop (Tesco, n.d.-b; Tesco, n.d.-d).</w:t>
      </w:r>
    </w:p>
    <w:p w14:paraId="710F8F4E" w14:textId="5EC8F731" w:rsidR="00F0697C" w:rsidRPr="00244A2A" w:rsidRDefault="00C85DE2"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b/>
          <w:bCs/>
          <w:sz w:val="24"/>
          <w:szCs w:val="24"/>
        </w:rPr>
        <w:t xml:space="preserve">5.4 </w:t>
      </w:r>
      <w:r w:rsidR="00F0697C" w:rsidRPr="00244A2A">
        <w:rPr>
          <w:rFonts w:ascii="Times New Roman" w:hAnsi="Times New Roman" w:cs="Times New Roman"/>
          <w:b/>
          <w:bCs/>
          <w:sz w:val="24"/>
          <w:szCs w:val="24"/>
        </w:rPr>
        <w:t>Promotion</w:t>
      </w:r>
      <w:r w:rsidR="00F0697C" w:rsidRPr="00244A2A">
        <w:rPr>
          <w:rFonts w:ascii="Times New Roman" w:hAnsi="Times New Roman" w:cs="Times New Roman"/>
          <w:sz w:val="24"/>
          <w:szCs w:val="24"/>
        </w:rPr>
        <w:t xml:space="preserve"> – Promotional activity integrates traditional advertising with personalised digital offers. Data analytics increases promotional relevance (Kannan and Li, 2017). Tesco uses promotion not only to stimulate purchase but also to reinforce its overall position. Value-led campaigns support mass appeal, while personalised offers strengthen loyalty and efficiency. The combination of broad communication and targeted engagement is one of Tesco’s strongest marketing capabilities (Tesco, n.d.-a; Tesco, n.d.-b).</w:t>
      </w:r>
    </w:p>
    <w:p w14:paraId="7CF99C91"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Consistency across the marketing mix reinforces Tesco’s positioning. Product supports segmentation, price supports value, place supports convenience and promotion supports customer relationships. The more tightly these elements remain aligned, the more credible Tesco’s overall strategy becomes.</w:t>
      </w:r>
    </w:p>
    <w:p w14:paraId="0F34C802" w14:textId="77777777" w:rsidR="00726AF6" w:rsidRPr="00244A2A" w:rsidRDefault="00726AF6" w:rsidP="00244A2A">
      <w:pPr>
        <w:spacing w:after="120" w:line="360" w:lineRule="auto"/>
        <w:jc w:val="both"/>
        <w:rPr>
          <w:rFonts w:ascii="Times New Roman" w:hAnsi="Times New Roman" w:cs="Times New Roman"/>
          <w:sz w:val="24"/>
          <w:szCs w:val="24"/>
        </w:rPr>
      </w:pPr>
    </w:p>
    <w:p w14:paraId="0EF862FC" w14:textId="77777777" w:rsidR="00F0697C" w:rsidRPr="00244A2A" w:rsidRDefault="00F0697C"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t>6. Conclusion and Recommendations</w:t>
      </w:r>
    </w:p>
    <w:p w14:paraId="69FA1E35"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demonstrates strong application of STP theory in a competitive retail environment. </w:t>
      </w:r>
      <w:proofErr w:type="gramStart"/>
      <w:r w:rsidRPr="00244A2A">
        <w:rPr>
          <w:rFonts w:ascii="Times New Roman" w:hAnsi="Times New Roman" w:cs="Times New Roman"/>
          <w:sz w:val="24"/>
          <w:szCs w:val="24"/>
        </w:rPr>
        <w:t>Its multi-dimensional segmentation,</w:t>
      </w:r>
      <w:proofErr w:type="gramEnd"/>
      <w:r w:rsidRPr="00244A2A">
        <w:rPr>
          <w:rFonts w:ascii="Times New Roman" w:hAnsi="Times New Roman" w:cs="Times New Roman"/>
          <w:sz w:val="24"/>
          <w:szCs w:val="24"/>
        </w:rPr>
        <w:t xml:space="preserve"> differentiated targeting and hybrid positioning enable broad market coverage while maintaining brand coherence. The company combines traditional </w:t>
      </w:r>
      <w:r w:rsidRPr="00244A2A">
        <w:rPr>
          <w:rFonts w:ascii="Times New Roman" w:hAnsi="Times New Roman" w:cs="Times New Roman"/>
          <w:sz w:val="24"/>
          <w:szCs w:val="24"/>
        </w:rPr>
        <w:lastRenderedPageBreak/>
        <w:t>segmentation variables with behavioural insight, allowing it to respond to both stable customer characteristics and changing shopping patterns.</w:t>
      </w:r>
    </w:p>
    <w:p w14:paraId="3B65CE1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Tesco’s targeting strategy is effective because it balances scale with differentiation. The retailer serves mainstream households, price-sensitive consumers, premium shoppers and convenience-oriented customers without relying on a single narrow niche. This gives the business resilience, but it also demands careful coordination to ensure that its propositions remain mutually reinforcing rather than contradictory.</w:t>
      </w:r>
    </w:p>
    <w:p w14:paraId="4BA0255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Positioning is one of Tesco’s most important strategic strengths. By emphasising value for money, reasonable quality, convenience and personal relevance, the company occupies a space that appeals to a broad section of the market. However, this position requires constant maintenance. Tesco must continue protecting clarity so that the brand does not become vague in comparison with more specialised competitors.</w:t>
      </w:r>
    </w:p>
    <w:p w14:paraId="59C5646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Several recommendations follow. First, Tesco should continue investing in predictive analytics so that its behavioural segmentation becomes more forward looking rather than relying too heavily on past purchase data. Second, it should deepen non-price differentiation through service quality, trusted sustainability initiatives and product innovation, reducing overdependence on discounts. Third, Tesco should keep refining the customer journey across physical and digital channels so that convenience remains a source of advantage rather than a hygiene factor. Finally, the company should carefully manage the relationship between its value and premium cues to preserve overall brand equity.</w:t>
      </w:r>
    </w:p>
    <w:p w14:paraId="04A9AF8B"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Overall, Tesco provides a strong example of how segmentation, targeting and positioning can be integrated into a coherent retail strategy. Its future success will depend on sustaining this balance as consumer expectations, digital technologies and competitive pressures continue to evolve.</w:t>
      </w:r>
    </w:p>
    <w:p w14:paraId="4E00CAD3" w14:textId="77777777" w:rsidR="00960BA3" w:rsidRPr="00244A2A" w:rsidRDefault="00960BA3"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br w:type="page"/>
      </w:r>
    </w:p>
    <w:p w14:paraId="7175AD03" w14:textId="2D3E66F7" w:rsidR="00F0697C" w:rsidRPr="00244A2A" w:rsidRDefault="00DD5270" w:rsidP="00244A2A">
      <w:pPr>
        <w:spacing w:after="120" w:line="360" w:lineRule="auto"/>
        <w:jc w:val="both"/>
        <w:rPr>
          <w:rFonts w:ascii="Times New Roman" w:hAnsi="Times New Roman" w:cs="Times New Roman"/>
          <w:b/>
          <w:bCs/>
          <w:caps/>
          <w:sz w:val="24"/>
          <w:szCs w:val="24"/>
        </w:rPr>
      </w:pPr>
      <w:r w:rsidRPr="00244A2A">
        <w:rPr>
          <w:rFonts w:ascii="Times New Roman" w:hAnsi="Times New Roman" w:cs="Times New Roman"/>
          <w:b/>
          <w:bCs/>
          <w:caps/>
          <w:sz w:val="24"/>
          <w:szCs w:val="24"/>
        </w:rPr>
        <w:lastRenderedPageBreak/>
        <w:t xml:space="preserve">7. </w:t>
      </w:r>
      <w:r w:rsidR="00F0697C" w:rsidRPr="00244A2A">
        <w:rPr>
          <w:rFonts w:ascii="Times New Roman" w:hAnsi="Times New Roman" w:cs="Times New Roman"/>
          <w:b/>
          <w:bCs/>
          <w:caps/>
          <w:sz w:val="24"/>
          <w:szCs w:val="24"/>
        </w:rPr>
        <w:t>Reference List</w:t>
      </w:r>
    </w:p>
    <w:p w14:paraId="4A7B4F7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Aaker, D.A. (1996) </w:t>
      </w:r>
      <w:r w:rsidRPr="00244A2A">
        <w:rPr>
          <w:rFonts w:ascii="Times New Roman" w:hAnsi="Times New Roman" w:cs="Times New Roman"/>
          <w:i/>
          <w:iCs/>
          <w:sz w:val="24"/>
          <w:szCs w:val="24"/>
        </w:rPr>
        <w:t>Building Strong Brands</w:t>
      </w:r>
      <w:r w:rsidRPr="00244A2A">
        <w:rPr>
          <w:rFonts w:ascii="Times New Roman" w:hAnsi="Times New Roman" w:cs="Times New Roman"/>
          <w:sz w:val="24"/>
          <w:szCs w:val="24"/>
        </w:rPr>
        <w:t>. New York: Free Press.</w:t>
      </w:r>
    </w:p>
    <w:p w14:paraId="77A3658F"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Baines, P., Fill, C. and Rosengren, S. (2022) </w:t>
      </w:r>
      <w:r w:rsidRPr="00244A2A">
        <w:rPr>
          <w:rFonts w:ascii="Times New Roman" w:hAnsi="Times New Roman" w:cs="Times New Roman"/>
          <w:i/>
          <w:iCs/>
          <w:sz w:val="24"/>
          <w:szCs w:val="24"/>
        </w:rPr>
        <w:t>Marketing</w:t>
      </w:r>
      <w:r w:rsidRPr="00244A2A">
        <w:rPr>
          <w:rFonts w:ascii="Times New Roman" w:hAnsi="Times New Roman" w:cs="Times New Roman"/>
          <w:sz w:val="24"/>
          <w:szCs w:val="24"/>
        </w:rPr>
        <w:t xml:space="preserve">. 5th </w:t>
      </w:r>
      <w:proofErr w:type="spellStart"/>
      <w:r w:rsidRPr="00244A2A">
        <w:rPr>
          <w:rFonts w:ascii="Times New Roman" w:hAnsi="Times New Roman" w:cs="Times New Roman"/>
          <w:sz w:val="24"/>
          <w:szCs w:val="24"/>
        </w:rPr>
        <w:t>edn</w:t>
      </w:r>
      <w:proofErr w:type="spellEnd"/>
      <w:r w:rsidRPr="00244A2A">
        <w:rPr>
          <w:rFonts w:ascii="Times New Roman" w:hAnsi="Times New Roman" w:cs="Times New Roman"/>
          <w:sz w:val="24"/>
          <w:szCs w:val="24"/>
        </w:rPr>
        <w:t>. Oxford: Oxford University Press.</w:t>
      </w:r>
    </w:p>
    <w:p w14:paraId="527C120A"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Jobber, D. and Ellis-Chadwick, F. (2023) </w:t>
      </w:r>
      <w:r w:rsidRPr="00244A2A">
        <w:rPr>
          <w:rFonts w:ascii="Times New Roman" w:hAnsi="Times New Roman" w:cs="Times New Roman"/>
          <w:i/>
          <w:iCs/>
          <w:sz w:val="24"/>
          <w:szCs w:val="24"/>
        </w:rPr>
        <w:t>Principles and Practice of Marketing</w:t>
      </w:r>
      <w:r w:rsidRPr="00244A2A">
        <w:rPr>
          <w:rFonts w:ascii="Times New Roman" w:hAnsi="Times New Roman" w:cs="Times New Roman"/>
          <w:sz w:val="24"/>
          <w:szCs w:val="24"/>
        </w:rPr>
        <w:t xml:space="preserve">. 10th </w:t>
      </w:r>
      <w:proofErr w:type="spellStart"/>
      <w:r w:rsidRPr="00244A2A">
        <w:rPr>
          <w:rFonts w:ascii="Times New Roman" w:hAnsi="Times New Roman" w:cs="Times New Roman"/>
          <w:sz w:val="24"/>
          <w:szCs w:val="24"/>
        </w:rPr>
        <w:t>edn</w:t>
      </w:r>
      <w:proofErr w:type="spellEnd"/>
      <w:r w:rsidRPr="00244A2A">
        <w:rPr>
          <w:rFonts w:ascii="Times New Roman" w:hAnsi="Times New Roman" w:cs="Times New Roman"/>
          <w:sz w:val="24"/>
          <w:szCs w:val="24"/>
        </w:rPr>
        <w:t>. London: McGraw-Hill.</w:t>
      </w:r>
    </w:p>
    <w:p w14:paraId="7CCCE378"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Kannan, P.K. and Li, H.A. (2017) ‘Digital marketing: A framework, review and research agenda’, </w:t>
      </w:r>
      <w:r w:rsidRPr="00244A2A">
        <w:rPr>
          <w:rFonts w:ascii="Times New Roman" w:hAnsi="Times New Roman" w:cs="Times New Roman"/>
          <w:i/>
          <w:iCs/>
          <w:sz w:val="24"/>
          <w:szCs w:val="24"/>
        </w:rPr>
        <w:t>International Journal of Research in Marketing</w:t>
      </w:r>
      <w:r w:rsidRPr="00244A2A">
        <w:rPr>
          <w:rFonts w:ascii="Times New Roman" w:hAnsi="Times New Roman" w:cs="Times New Roman"/>
          <w:sz w:val="24"/>
          <w:szCs w:val="24"/>
        </w:rPr>
        <w:t>, 34(1), pp. 22–45.</w:t>
      </w:r>
    </w:p>
    <w:p w14:paraId="5B3F6AA1"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Keller, K.L. (1993) ‘Conceptualizing, measuring, and managing customer-based brand equity’, </w:t>
      </w:r>
      <w:r w:rsidRPr="00244A2A">
        <w:rPr>
          <w:rFonts w:ascii="Times New Roman" w:hAnsi="Times New Roman" w:cs="Times New Roman"/>
          <w:i/>
          <w:iCs/>
          <w:sz w:val="24"/>
          <w:szCs w:val="24"/>
        </w:rPr>
        <w:t>Journal of Marketing</w:t>
      </w:r>
      <w:r w:rsidRPr="00244A2A">
        <w:rPr>
          <w:rFonts w:ascii="Times New Roman" w:hAnsi="Times New Roman" w:cs="Times New Roman"/>
          <w:sz w:val="24"/>
          <w:szCs w:val="24"/>
        </w:rPr>
        <w:t>, 57(1), pp. 1–22.</w:t>
      </w:r>
    </w:p>
    <w:p w14:paraId="2AEA7C07"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Kotler, P., Keller, K.L. and Chernev, A. (2022) </w:t>
      </w:r>
      <w:r w:rsidRPr="00244A2A">
        <w:rPr>
          <w:rFonts w:ascii="Times New Roman" w:hAnsi="Times New Roman" w:cs="Times New Roman"/>
          <w:i/>
          <w:iCs/>
          <w:sz w:val="24"/>
          <w:szCs w:val="24"/>
        </w:rPr>
        <w:t>Marketing Management</w:t>
      </w:r>
      <w:r w:rsidRPr="00244A2A">
        <w:rPr>
          <w:rFonts w:ascii="Times New Roman" w:hAnsi="Times New Roman" w:cs="Times New Roman"/>
          <w:sz w:val="24"/>
          <w:szCs w:val="24"/>
        </w:rPr>
        <w:t xml:space="preserve">. 16th </w:t>
      </w:r>
      <w:proofErr w:type="spellStart"/>
      <w:r w:rsidRPr="00244A2A">
        <w:rPr>
          <w:rFonts w:ascii="Times New Roman" w:hAnsi="Times New Roman" w:cs="Times New Roman"/>
          <w:sz w:val="24"/>
          <w:szCs w:val="24"/>
        </w:rPr>
        <w:t>edn</w:t>
      </w:r>
      <w:proofErr w:type="spellEnd"/>
      <w:r w:rsidRPr="00244A2A">
        <w:rPr>
          <w:rFonts w:ascii="Times New Roman" w:hAnsi="Times New Roman" w:cs="Times New Roman"/>
          <w:sz w:val="24"/>
          <w:szCs w:val="24"/>
        </w:rPr>
        <w:t>. Harlow: Pearson.</w:t>
      </w:r>
    </w:p>
    <w:p w14:paraId="00A4F4B5"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Lemon, K.N. and Verhoef, P.C. (2016) ‘Understanding customer experience throughout the customer journey’, </w:t>
      </w:r>
      <w:r w:rsidRPr="00244A2A">
        <w:rPr>
          <w:rFonts w:ascii="Times New Roman" w:hAnsi="Times New Roman" w:cs="Times New Roman"/>
          <w:i/>
          <w:iCs/>
          <w:sz w:val="24"/>
          <w:szCs w:val="24"/>
        </w:rPr>
        <w:t>Journal of Marketing</w:t>
      </w:r>
      <w:r w:rsidRPr="00244A2A">
        <w:rPr>
          <w:rFonts w:ascii="Times New Roman" w:hAnsi="Times New Roman" w:cs="Times New Roman"/>
          <w:sz w:val="24"/>
          <w:szCs w:val="24"/>
        </w:rPr>
        <w:t>, 80(6), pp. 69–96.</w:t>
      </w:r>
    </w:p>
    <w:p w14:paraId="534C8743" w14:textId="77777777" w:rsidR="00F0697C" w:rsidRPr="00244A2A" w:rsidRDefault="00F0697C" w:rsidP="00244A2A">
      <w:pPr>
        <w:spacing w:after="120" w:line="360" w:lineRule="auto"/>
        <w:jc w:val="both"/>
        <w:rPr>
          <w:rFonts w:ascii="Times New Roman" w:hAnsi="Times New Roman" w:cs="Times New Roman"/>
          <w:sz w:val="24"/>
          <w:szCs w:val="24"/>
        </w:rPr>
      </w:pPr>
      <w:proofErr w:type="spellStart"/>
      <w:r w:rsidRPr="00244A2A">
        <w:rPr>
          <w:rFonts w:ascii="Times New Roman" w:hAnsi="Times New Roman" w:cs="Times New Roman"/>
          <w:sz w:val="24"/>
          <w:szCs w:val="24"/>
        </w:rPr>
        <w:t>Narver</w:t>
      </w:r>
      <w:proofErr w:type="spellEnd"/>
      <w:r w:rsidRPr="00244A2A">
        <w:rPr>
          <w:rFonts w:ascii="Times New Roman" w:hAnsi="Times New Roman" w:cs="Times New Roman"/>
          <w:sz w:val="24"/>
          <w:szCs w:val="24"/>
        </w:rPr>
        <w:t xml:space="preserve">, J.C. and Slater, S.F. (1990) ‘The effect of a market orientation on business profitability’, </w:t>
      </w:r>
      <w:r w:rsidRPr="00244A2A">
        <w:rPr>
          <w:rFonts w:ascii="Times New Roman" w:hAnsi="Times New Roman" w:cs="Times New Roman"/>
          <w:i/>
          <w:iCs/>
          <w:sz w:val="24"/>
          <w:szCs w:val="24"/>
        </w:rPr>
        <w:t>Journal of Marketing</w:t>
      </w:r>
      <w:r w:rsidRPr="00244A2A">
        <w:rPr>
          <w:rFonts w:ascii="Times New Roman" w:hAnsi="Times New Roman" w:cs="Times New Roman"/>
          <w:sz w:val="24"/>
          <w:szCs w:val="24"/>
        </w:rPr>
        <w:t>, 54(4), pp. 20–35.</w:t>
      </w:r>
    </w:p>
    <w:p w14:paraId="39EE086E"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Porter, M.E. (1980) </w:t>
      </w:r>
      <w:r w:rsidRPr="00244A2A">
        <w:rPr>
          <w:rFonts w:ascii="Times New Roman" w:hAnsi="Times New Roman" w:cs="Times New Roman"/>
          <w:i/>
          <w:iCs/>
          <w:sz w:val="24"/>
          <w:szCs w:val="24"/>
        </w:rPr>
        <w:t xml:space="preserve">Competitive Strategy: Techniques for </w:t>
      </w:r>
      <w:proofErr w:type="spellStart"/>
      <w:r w:rsidRPr="00244A2A">
        <w:rPr>
          <w:rFonts w:ascii="Times New Roman" w:hAnsi="Times New Roman" w:cs="Times New Roman"/>
          <w:i/>
          <w:iCs/>
          <w:sz w:val="24"/>
          <w:szCs w:val="24"/>
        </w:rPr>
        <w:t>Analyzing</w:t>
      </w:r>
      <w:proofErr w:type="spellEnd"/>
      <w:r w:rsidRPr="00244A2A">
        <w:rPr>
          <w:rFonts w:ascii="Times New Roman" w:hAnsi="Times New Roman" w:cs="Times New Roman"/>
          <w:i/>
          <w:iCs/>
          <w:sz w:val="24"/>
          <w:szCs w:val="24"/>
        </w:rPr>
        <w:t xml:space="preserve"> Industries and Competitors</w:t>
      </w:r>
      <w:r w:rsidRPr="00244A2A">
        <w:rPr>
          <w:rFonts w:ascii="Times New Roman" w:hAnsi="Times New Roman" w:cs="Times New Roman"/>
          <w:sz w:val="24"/>
          <w:szCs w:val="24"/>
        </w:rPr>
        <w:t>. New York: Free Press.</w:t>
      </w:r>
    </w:p>
    <w:p w14:paraId="7BC64943"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plc (2025) </w:t>
      </w:r>
      <w:r w:rsidRPr="00244A2A">
        <w:rPr>
          <w:rFonts w:ascii="Times New Roman" w:hAnsi="Times New Roman" w:cs="Times New Roman"/>
          <w:i/>
          <w:iCs/>
          <w:sz w:val="24"/>
          <w:szCs w:val="24"/>
        </w:rPr>
        <w:t>Annual Report and Financial Statements 2025</w:t>
      </w:r>
      <w:r w:rsidRPr="00244A2A">
        <w:rPr>
          <w:rFonts w:ascii="Times New Roman" w:hAnsi="Times New Roman" w:cs="Times New Roman"/>
          <w:sz w:val="24"/>
          <w:szCs w:val="24"/>
        </w:rPr>
        <w:t xml:space="preserve">. Available at: </w:t>
      </w:r>
      <w:hyperlink r:id="rId9" w:history="1">
        <w:r w:rsidRPr="00244A2A">
          <w:rPr>
            <w:rStyle w:val="Hyperlink"/>
            <w:rFonts w:ascii="Times New Roman" w:hAnsi="Times New Roman" w:cs="Times New Roman"/>
            <w:sz w:val="24"/>
            <w:szCs w:val="24"/>
          </w:rPr>
          <w:t>https://www.tescoplc.com/investors/reports-results-and-presentations/</w:t>
        </w:r>
      </w:hyperlink>
      <w:r w:rsidRPr="00244A2A">
        <w:rPr>
          <w:rFonts w:ascii="Times New Roman" w:hAnsi="Times New Roman" w:cs="Times New Roman"/>
          <w:sz w:val="24"/>
          <w:szCs w:val="24"/>
        </w:rPr>
        <w:t xml:space="preserve"> (Accessed: 15 March 2026).</w:t>
      </w:r>
    </w:p>
    <w:p w14:paraId="00F57F5D"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plc (n.d.-a) </w:t>
      </w:r>
      <w:r w:rsidRPr="00244A2A">
        <w:rPr>
          <w:rFonts w:ascii="Times New Roman" w:hAnsi="Times New Roman" w:cs="Times New Roman"/>
          <w:i/>
          <w:iCs/>
          <w:sz w:val="24"/>
          <w:szCs w:val="24"/>
        </w:rPr>
        <w:t>Sustainability</w:t>
      </w:r>
      <w:r w:rsidRPr="00244A2A">
        <w:rPr>
          <w:rFonts w:ascii="Times New Roman" w:hAnsi="Times New Roman" w:cs="Times New Roman"/>
          <w:sz w:val="24"/>
          <w:szCs w:val="24"/>
        </w:rPr>
        <w:t xml:space="preserve">. Available at: </w:t>
      </w:r>
      <w:hyperlink r:id="rId10" w:history="1">
        <w:r w:rsidRPr="00244A2A">
          <w:rPr>
            <w:rStyle w:val="Hyperlink"/>
            <w:rFonts w:ascii="Times New Roman" w:hAnsi="Times New Roman" w:cs="Times New Roman"/>
            <w:sz w:val="24"/>
            <w:szCs w:val="24"/>
          </w:rPr>
          <w:t>https://www.tescoplc.com/sustainability/</w:t>
        </w:r>
      </w:hyperlink>
      <w:r w:rsidRPr="00244A2A">
        <w:rPr>
          <w:rFonts w:ascii="Times New Roman" w:hAnsi="Times New Roman" w:cs="Times New Roman"/>
          <w:sz w:val="24"/>
          <w:szCs w:val="24"/>
        </w:rPr>
        <w:t xml:space="preserve"> (Accessed: 15 March 2026).</w:t>
      </w:r>
    </w:p>
    <w:p w14:paraId="6523B52D"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(n.d.-a) </w:t>
      </w:r>
      <w:r w:rsidRPr="00244A2A">
        <w:rPr>
          <w:rFonts w:ascii="Times New Roman" w:hAnsi="Times New Roman" w:cs="Times New Roman"/>
          <w:i/>
          <w:iCs/>
          <w:sz w:val="24"/>
          <w:szCs w:val="24"/>
        </w:rPr>
        <w:t>Clubcard vouchers and offers</w:t>
      </w:r>
      <w:r w:rsidRPr="00244A2A">
        <w:rPr>
          <w:rFonts w:ascii="Times New Roman" w:hAnsi="Times New Roman" w:cs="Times New Roman"/>
          <w:sz w:val="24"/>
          <w:szCs w:val="24"/>
        </w:rPr>
        <w:t xml:space="preserve">. Available at: </w:t>
      </w:r>
      <w:hyperlink r:id="rId11" w:history="1">
        <w:r w:rsidRPr="00244A2A">
          <w:rPr>
            <w:rStyle w:val="Hyperlink"/>
            <w:rFonts w:ascii="Times New Roman" w:hAnsi="Times New Roman" w:cs="Times New Roman"/>
            <w:sz w:val="24"/>
            <w:szCs w:val="24"/>
          </w:rPr>
          <w:t>https://www.tesco.com/clubcard</w:t>
        </w:r>
      </w:hyperlink>
      <w:r w:rsidRPr="00244A2A">
        <w:rPr>
          <w:rFonts w:ascii="Times New Roman" w:hAnsi="Times New Roman" w:cs="Times New Roman"/>
          <w:sz w:val="24"/>
          <w:szCs w:val="24"/>
        </w:rPr>
        <w:t xml:space="preserve"> (Accessed: 15 March 2026).</w:t>
      </w:r>
    </w:p>
    <w:p w14:paraId="25EA678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(n.d.-b) </w:t>
      </w:r>
      <w:r w:rsidRPr="00244A2A">
        <w:rPr>
          <w:rFonts w:ascii="Times New Roman" w:hAnsi="Times New Roman" w:cs="Times New Roman"/>
          <w:i/>
          <w:iCs/>
          <w:sz w:val="24"/>
          <w:szCs w:val="24"/>
        </w:rPr>
        <w:t>Online food shopping and grocery delivery</w:t>
      </w:r>
      <w:r w:rsidRPr="00244A2A">
        <w:rPr>
          <w:rFonts w:ascii="Times New Roman" w:hAnsi="Times New Roman" w:cs="Times New Roman"/>
          <w:sz w:val="24"/>
          <w:szCs w:val="24"/>
        </w:rPr>
        <w:t xml:space="preserve">. Available at: </w:t>
      </w:r>
      <w:hyperlink r:id="rId12" w:history="1">
        <w:r w:rsidRPr="00244A2A">
          <w:rPr>
            <w:rStyle w:val="Hyperlink"/>
            <w:rFonts w:ascii="Times New Roman" w:hAnsi="Times New Roman" w:cs="Times New Roman"/>
            <w:sz w:val="24"/>
            <w:szCs w:val="24"/>
          </w:rPr>
          <w:t>https://www.tesco.com/groceries/</w:t>
        </w:r>
      </w:hyperlink>
      <w:r w:rsidRPr="00244A2A">
        <w:rPr>
          <w:rFonts w:ascii="Times New Roman" w:hAnsi="Times New Roman" w:cs="Times New Roman"/>
          <w:sz w:val="24"/>
          <w:szCs w:val="24"/>
        </w:rPr>
        <w:t xml:space="preserve"> (Accessed: 15 March 2026).</w:t>
      </w:r>
    </w:p>
    <w:p w14:paraId="2C916AE0"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(n.d.-c) </w:t>
      </w:r>
      <w:r w:rsidRPr="00244A2A">
        <w:rPr>
          <w:rFonts w:ascii="Times New Roman" w:hAnsi="Times New Roman" w:cs="Times New Roman"/>
          <w:i/>
          <w:iCs/>
          <w:sz w:val="24"/>
          <w:szCs w:val="24"/>
        </w:rPr>
        <w:t>Tesco Finest food, drink and more</w:t>
      </w:r>
      <w:r w:rsidRPr="00244A2A">
        <w:rPr>
          <w:rFonts w:ascii="Times New Roman" w:hAnsi="Times New Roman" w:cs="Times New Roman"/>
          <w:sz w:val="24"/>
          <w:szCs w:val="24"/>
        </w:rPr>
        <w:t xml:space="preserve">. Available at: </w:t>
      </w:r>
      <w:hyperlink r:id="rId13" w:history="1">
        <w:r w:rsidRPr="00244A2A">
          <w:rPr>
            <w:rStyle w:val="Hyperlink"/>
            <w:rFonts w:ascii="Times New Roman" w:hAnsi="Times New Roman" w:cs="Times New Roman"/>
            <w:sz w:val="24"/>
            <w:szCs w:val="24"/>
          </w:rPr>
          <w:t>https://www.tesco.com/groceries/en-GB/zone/tesco-finest</w:t>
        </w:r>
      </w:hyperlink>
      <w:r w:rsidRPr="00244A2A">
        <w:rPr>
          <w:rFonts w:ascii="Times New Roman" w:hAnsi="Times New Roman" w:cs="Times New Roman"/>
          <w:sz w:val="24"/>
          <w:szCs w:val="24"/>
        </w:rPr>
        <w:t xml:space="preserve"> (Accessed: 15 March 2026).</w:t>
      </w:r>
    </w:p>
    <w:p w14:paraId="61BDD0E4"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lastRenderedPageBreak/>
        <w:t xml:space="preserve">Tesco (n.d.-d) </w:t>
      </w:r>
      <w:r w:rsidRPr="00244A2A">
        <w:rPr>
          <w:rFonts w:ascii="Times New Roman" w:hAnsi="Times New Roman" w:cs="Times New Roman"/>
          <w:i/>
          <w:iCs/>
          <w:sz w:val="24"/>
          <w:szCs w:val="24"/>
        </w:rPr>
        <w:t>Find your nearest Tesco supermarket</w:t>
      </w:r>
      <w:r w:rsidRPr="00244A2A">
        <w:rPr>
          <w:rFonts w:ascii="Times New Roman" w:hAnsi="Times New Roman" w:cs="Times New Roman"/>
          <w:sz w:val="24"/>
          <w:szCs w:val="24"/>
        </w:rPr>
        <w:t xml:space="preserve">. Available at: </w:t>
      </w:r>
      <w:hyperlink r:id="rId14" w:history="1">
        <w:r w:rsidRPr="00244A2A">
          <w:rPr>
            <w:rStyle w:val="Hyperlink"/>
            <w:rFonts w:ascii="Times New Roman" w:hAnsi="Times New Roman" w:cs="Times New Roman"/>
            <w:sz w:val="24"/>
            <w:szCs w:val="24"/>
          </w:rPr>
          <w:t>https://www.tesco.com/store-locator/</w:t>
        </w:r>
      </w:hyperlink>
      <w:r w:rsidRPr="00244A2A">
        <w:rPr>
          <w:rFonts w:ascii="Times New Roman" w:hAnsi="Times New Roman" w:cs="Times New Roman"/>
          <w:sz w:val="24"/>
          <w:szCs w:val="24"/>
        </w:rPr>
        <w:t xml:space="preserve"> (Accessed: 15 March 2026).</w:t>
      </w:r>
    </w:p>
    <w:p w14:paraId="4A03998A"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Tesco (n.d.-e) </w:t>
      </w:r>
      <w:r w:rsidRPr="00244A2A">
        <w:rPr>
          <w:rFonts w:ascii="Times New Roman" w:hAnsi="Times New Roman" w:cs="Times New Roman"/>
          <w:i/>
          <w:iCs/>
          <w:sz w:val="24"/>
          <w:szCs w:val="24"/>
        </w:rPr>
        <w:t>Plant based and vegetarian</w:t>
      </w:r>
      <w:r w:rsidRPr="00244A2A">
        <w:rPr>
          <w:rFonts w:ascii="Times New Roman" w:hAnsi="Times New Roman" w:cs="Times New Roman"/>
          <w:sz w:val="24"/>
          <w:szCs w:val="24"/>
        </w:rPr>
        <w:t xml:space="preserve">. Available at: </w:t>
      </w:r>
      <w:hyperlink r:id="rId15" w:history="1">
        <w:r w:rsidRPr="00244A2A">
          <w:rPr>
            <w:rStyle w:val="Hyperlink"/>
            <w:rFonts w:ascii="Times New Roman" w:hAnsi="Times New Roman" w:cs="Times New Roman"/>
            <w:sz w:val="24"/>
            <w:szCs w:val="24"/>
          </w:rPr>
          <w:t>https://www.tesco.com/groceries/en-GB/zone/plant-based-and-vegetarian</w:t>
        </w:r>
      </w:hyperlink>
      <w:r w:rsidRPr="00244A2A">
        <w:rPr>
          <w:rFonts w:ascii="Times New Roman" w:hAnsi="Times New Roman" w:cs="Times New Roman"/>
          <w:sz w:val="24"/>
          <w:szCs w:val="24"/>
        </w:rPr>
        <w:t xml:space="preserve"> (Accessed: 15 March 2026).</w:t>
      </w:r>
    </w:p>
    <w:p w14:paraId="07260D64" w14:textId="77777777" w:rsidR="00F0697C"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Verhoef, P.C., Kannan, P.K. and Inman, J.J. (2015) ‘From multi-channel retailing to omni-channel retailing’, </w:t>
      </w:r>
      <w:r w:rsidRPr="00244A2A">
        <w:rPr>
          <w:rFonts w:ascii="Times New Roman" w:hAnsi="Times New Roman" w:cs="Times New Roman"/>
          <w:i/>
          <w:iCs/>
          <w:sz w:val="24"/>
          <w:szCs w:val="24"/>
        </w:rPr>
        <w:t>Journal of Retailing</w:t>
      </w:r>
      <w:r w:rsidRPr="00244A2A">
        <w:rPr>
          <w:rFonts w:ascii="Times New Roman" w:hAnsi="Times New Roman" w:cs="Times New Roman"/>
          <w:sz w:val="24"/>
          <w:szCs w:val="24"/>
        </w:rPr>
        <w:t>, 91(2), pp. 174–181.</w:t>
      </w:r>
    </w:p>
    <w:p w14:paraId="60F06A5C" w14:textId="5B68EECD" w:rsidR="0067040B" w:rsidRPr="00244A2A" w:rsidRDefault="00F0697C" w:rsidP="00244A2A">
      <w:pPr>
        <w:spacing w:after="120" w:line="360" w:lineRule="auto"/>
        <w:jc w:val="both"/>
        <w:rPr>
          <w:rFonts w:ascii="Times New Roman" w:hAnsi="Times New Roman" w:cs="Times New Roman"/>
          <w:sz w:val="24"/>
          <w:szCs w:val="24"/>
        </w:rPr>
      </w:pPr>
      <w:r w:rsidRPr="00244A2A">
        <w:rPr>
          <w:rFonts w:ascii="Times New Roman" w:hAnsi="Times New Roman" w:cs="Times New Roman"/>
          <w:sz w:val="24"/>
          <w:szCs w:val="24"/>
        </w:rPr>
        <w:t xml:space="preserve">Wedel, M. and Kamakura, W.A. (2000) </w:t>
      </w:r>
      <w:r w:rsidRPr="00244A2A">
        <w:rPr>
          <w:rFonts w:ascii="Times New Roman" w:hAnsi="Times New Roman" w:cs="Times New Roman"/>
          <w:i/>
          <w:iCs/>
          <w:sz w:val="24"/>
          <w:szCs w:val="24"/>
        </w:rPr>
        <w:t>Market Segmentation: Conceptual and Methodological Foundations</w:t>
      </w:r>
      <w:r w:rsidRPr="00244A2A">
        <w:rPr>
          <w:rFonts w:ascii="Times New Roman" w:hAnsi="Times New Roman" w:cs="Times New Roman"/>
          <w:sz w:val="24"/>
          <w:szCs w:val="24"/>
        </w:rPr>
        <w:t xml:space="preserve">. 2nd </w:t>
      </w:r>
      <w:proofErr w:type="spellStart"/>
      <w:r w:rsidRPr="00244A2A">
        <w:rPr>
          <w:rFonts w:ascii="Times New Roman" w:hAnsi="Times New Roman" w:cs="Times New Roman"/>
          <w:sz w:val="24"/>
          <w:szCs w:val="24"/>
        </w:rPr>
        <w:t>edn</w:t>
      </w:r>
      <w:proofErr w:type="spellEnd"/>
      <w:r w:rsidRPr="00244A2A">
        <w:rPr>
          <w:rFonts w:ascii="Times New Roman" w:hAnsi="Times New Roman" w:cs="Times New Roman"/>
          <w:sz w:val="24"/>
          <w:szCs w:val="24"/>
        </w:rPr>
        <w:t>. Boston: Kluwer Academic Publishers.</w:t>
      </w:r>
    </w:p>
    <w:sectPr w:rsidR="0067040B" w:rsidRPr="00244A2A" w:rsidSect="00F63600">
      <w:footerReference w:type="default" r:id="rId16"/>
      <w:pgSz w:w="11906" w:h="16838"/>
      <w:pgMar w:top="1440" w:right="1440" w:bottom="1440" w:left="1440"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0EF55" w14:textId="77777777" w:rsidR="00BB2E47" w:rsidRDefault="00BB2E47" w:rsidP="00A83DF0">
      <w:pPr>
        <w:spacing w:after="0" w:line="240" w:lineRule="auto"/>
      </w:pPr>
      <w:r>
        <w:separator/>
      </w:r>
    </w:p>
  </w:endnote>
  <w:endnote w:type="continuationSeparator" w:id="0">
    <w:p w14:paraId="15A3D969" w14:textId="77777777" w:rsidR="00BB2E47" w:rsidRDefault="00BB2E47" w:rsidP="00A8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361513"/>
      <w:docPartObj>
        <w:docPartGallery w:val="Page Numbers (Bottom of Page)"/>
        <w:docPartUnique/>
      </w:docPartObj>
    </w:sdtPr>
    <w:sdtEndPr/>
    <w:sdtContent>
      <w:p w14:paraId="762B933E" w14:textId="62FAD2BB" w:rsidR="00A83DF0" w:rsidRDefault="00A83DF0">
        <w:pPr>
          <w:pStyle w:val="Footer"/>
          <w:jc w:val="center"/>
        </w:pPr>
        <w:r>
          <w:fldChar w:fldCharType="begin"/>
        </w:r>
        <w:r>
          <w:instrText>PAGE   \* MERGEFORMAT</w:instrText>
        </w:r>
        <w:r>
          <w:fldChar w:fldCharType="separate"/>
        </w:r>
        <w:r>
          <w:t>2</w:t>
        </w:r>
        <w:r>
          <w:fldChar w:fldCharType="end"/>
        </w:r>
      </w:p>
    </w:sdtContent>
  </w:sdt>
  <w:p w14:paraId="199BB8F4" w14:textId="77777777" w:rsidR="00A83DF0" w:rsidRDefault="00A83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D9B2E" w14:textId="77777777" w:rsidR="00BB2E47" w:rsidRDefault="00BB2E47" w:rsidP="00A83DF0">
      <w:pPr>
        <w:spacing w:after="0" w:line="240" w:lineRule="auto"/>
      </w:pPr>
      <w:r>
        <w:separator/>
      </w:r>
    </w:p>
  </w:footnote>
  <w:footnote w:type="continuationSeparator" w:id="0">
    <w:p w14:paraId="33BD0E3D" w14:textId="77777777" w:rsidR="00BB2E47" w:rsidRDefault="00BB2E47" w:rsidP="00A83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5D8D"/>
    <w:multiLevelType w:val="hybridMultilevel"/>
    <w:tmpl w:val="515ED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507DB"/>
    <w:multiLevelType w:val="hybridMultilevel"/>
    <w:tmpl w:val="163C5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46802E5"/>
    <w:multiLevelType w:val="hybridMultilevel"/>
    <w:tmpl w:val="7DE419F6"/>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3" w15:restartNumberingAfterBreak="0">
    <w:nsid w:val="19D3740B"/>
    <w:multiLevelType w:val="hybridMultilevel"/>
    <w:tmpl w:val="358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60858"/>
    <w:multiLevelType w:val="hybridMultilevel"/>
    <w:tmpl w:val="9B601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84FD3"/>
    <w:multiLevelType w:val="multilevel"/>
    <w:tmpl w:val="378C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07EBF"/>
    <w:multiLevelType w:val="multilevel"/>
    <w:tmpl w:val="51FC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F2A0A"/>
    <w:multiLevelType w:val="hybridMultilevel"/>
    <w:tmpl w:val="F3941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8F2C7B"/>
    <w:multiLevelType w:val="hybridMultilevel"/>
    <w:tmpl w:val="3A4AB1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98F6547"/>
    <w:multiLevelType w:val="multilevel"/>
    <w:tmpl w:val="4942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744B2"/>
    <w:multiLevelType w:val="hybridMultilevel"/>
    <w:tmpl w:val="3B9E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D75B2"/>
    <w:multiLevelType w:val="multilevel"/>
    <w:tmpl w:val="EB522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D524B3"/>
    <w:multiLevelType w:val="multilevel"/>
    <w:tmpl w:val="60D2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FB0605"/>
    <w:multiLevelType w:val="hybridMultilevel"/>
    <w:tmpl w:val="5186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B73760"/>
    <w:multiLevelType w:val="hybridMultilevel"/>
    <w:tmpl w:val="5CEE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A1945"/>
    <w:multiLevelType w:val="multilevel"/>
    <w:tmpl w:val="35C2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C26583"/>
    <w:multiLevelType w:val="multilevel"/>
    <w:tmpl w:val="3B8C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961359"/>
    <w:multiLevelType w:val="hybridMultilevel"/>
    <w:tmpl w:val="F1F2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7411F0"/>
    <w:multiLevelType w:val="multilevel"/>
    <w:tmpl w:val="D4B0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094B09"/>
    <w:multiLevelType w:val="hybridMultilevel"/>
    <w:tmpl w:val="A8B816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C8F3D3B"/>
    <w:multiLevelType w:val="hybridMultilevel"/>
    <w:tmpl w:val="5D4A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285709">
    <w:abstractNumId w:val="7"/>
  </w:num>
  <w:num w:numId="2" w16cid:durableId="1293756628">
    <w:abstractNumId w:val="1"/>
  </w:num>
  <w:num w:numId="3" w16cid:durableId="1404646853">
    <w:abstractNumId w:val="19"/>
  </w:num>
  <w:num w:numId="4" w16cid:durableId="285892936">
    <w:abstractNumId w:val="14"/>
  </w:num>
  <w:num w:numId="5" w16cid:durableId="2115903862">
    <w:abstractNumId w:val="17"/>
  </w:num>
  <w:num w:numId="6" w16cid:durableId="986938854">
    <w:abstractNumId w:val="10"/>
  </w:num>
  <w:num w:numId="7" w16cid:durableId="1226641705">
    <w:abstractNumId w:val="20"/>
  </w:num>
  <w:num w:numId="8" w16cid:durableId="384061675">
    <w:abstractNumId w:val="2"/>
  </w:num>
  <w:num w:numId="9" w16cid:durableId="1691879132">
    <w:abstractNumId w:val="13"/>
  </w:num>
  <w:num w:numId="10" w16cid:durableId="1886795045">
    <w:abstractNumId w:val="0"/>
  </w:num>
  <w:num w:numId="11" w16cid:durableId="2131587029">
    <w:abstractNumId w:val="3"/>
  </w:num>
  <w:num w:numId="12" w16cid:durableId="1009798589">
    <w:abstractNumId w:val="4"/>
  </w:num>
  <w:num w:numId="13" w16cid:durableId="1456103013">
    <w:abstractNumId w:val="5"/>
  </w:num>
  <w:num w:numId="14" w16cid:durableId="1332179683">
    <w:abstractNumId w:val="8"/>
  </w:num>
  <w:num w:numId="15" w16cid:durableId="971861536">
    <w:abstractNumId w:val="6"/>
  </w:num>
  <w:num w:numId="16" w16cid:durableId="1925726541">
    <w:abstractNumId w:val="12"/>
  </w:num>
  <w:num w:numId="17" w16cid:durableId="1645700994">
    <w:abstractNumId w:val="16"/>
  </w:num>
  <w:num w:numId="18" w16cid:durableId="1323047328">
    <w:abstractNumId w:val="11"/>
  </w:num>
  <w:num w:numId="19" w16cid:durableId="33435385">
    <w:abstractNumId w:val="9"/>
  </w:num>
  <w:num w:numId="20" w16cid:durableId="441653538">
    <w:abstractNumId w:val="18"/>
  </w:num>
  <w:num w:numId="21" w16cid:durableId="17495694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326"/>
    <w:rsid w:val="00000947"/>
    <w:rsid w:val="000010A6"/>
    <w:rsid w:val="00002755"/>
    <w:rsid w:val="00005486"/>
    <w:rsid w:val="00006D0D"/>
    <w:rsid w:val="000129C6"/>
    <w:rsid w:val="00012CA0"/>
    <w:rsid w:val="00022BBC"/>
    <w:rsid w:val="00032BD1"/>
    <w:rsid w:val="000345A2"/>
    <w:rsid w:val="0003461E"/>
    <w:rsid w:val="000356D6"/>
    <w:rsid w:val="00043E1F"/>
    <w:rsid w:val="00050BD5"/>
    <w:rsid w:val="0005295C"/>
    <w:rsid w:val="0005669F"/>
    <w:rsid w:val="00063AD0"/>
    <w:rsid w:val="00063CA6"/>
    <w:rsid w:val="00063F99"/>
    <w:rsid w:val="00064B2B"/>
    <w:rsid w:val="000665F9"/>
    <w:rsid w:val="000667C7"/>
    <w:rsid w:val="00066FA0"/>
    <w:rsid w:val="00067949"/>
    <w:rsid w:val="00073EFB"/>
    <w:rsid w:val="0007693C"/>
    <w:rsid w:val="00076C4F"/>
    <w:rsid w:val="00081F63"/>
    <w:rsid w:val="000859FA"/>
    <w:rsid w:val="00090A15"/>
    <w:rsid w:val="000A0A9C"/>
    <w:rsid w:val="000A348F"/>
    <w:rsid w:val="000A45E0"/>
    <w:rsid w:val="000A66A8"/>
    <w:rsid w:val="000B3A2B"/>
    <w:rsid w:val="000B4A7A"/>
    <w:rsid w:val="000B5866"/>
    <w:rsid w:val="000C59AB"/>
    <w:rsid w:val="000C6108"/>
    <w:rsid w:val="000D2919"/>
    <w:rsid w:val="000D5098"/>
    <w:rsid w:val="000D6E1E"/>
    <w:rsid w:val="000E29F5"/>
    <w:rsid w:val="000F0245"/>
    <w:rsid w:val="000F282D"/>
    <w:rsid w:val="00100D81"/>
    <w:rsid w:val="0010135A"/>
    <w:rsid w:val="00103BB9"/>
    <w:rsid w:val="00110270"/>
    <w:rsid w:val="00110322"/>
    <w:rsid w:val="00110525"/>
    <w:rsid w:val="00113D4B"/>
    <w:rsid w:val="00115078"/>
    <w:rsid w:val="001176D7"/>
    <w:rsid w:val="00123A31"/>
    <w:rsid w:val="0012433B"/>
    <w:rsid w:val="001253DC"/>
    <w:rsid w:val="0012748A"/>
    <w:rsid w:val="00130386"/>
    <w:rsid w:val="001321C4"/>
    <w:rsid w:val="001339DF"/>
    <w:rsid w:val="00137961"/>
    <w:rsid w:val="00140FEC"/>
    <w:rsid w:val="00147165"/>
    <w:rsid w:val="0015049F"/>
    <w:rsid w:val="00151D70"/>
    <w:rsid w:val="001544A8"/>
    <w:rsid w:val="0015658C"/>
    <w:rsid w:val="00160761"/>
    <w:rsid w:val="00161549"/>
    <w:rsid w:val="0016500A"/>
    <w:rsid w:val="00166326"/>
    <w:rsid w:val="00172A32"/>
    <w:rsid w:val="00173970"/>
    <w:rsid w:val="00185227"/>
    <w:rsid w:val="001856C0"/>
    <w:rsid w:val="00186C02"/>
    <w:rsid w:val="00190D2B"/>
    <w:rsid w:val="00192144"/>
    <w:rsid w:val="00194315"/>
    <w:rsid w:val="00194E53"/>
    <w:rsid w:val="00197197"/>
    <w:rsid w:val="0019756B"/>
    <w:rsid w:val="00197CDE"/>
    <w:rsid w:val="001A2F26"/>
    <w:rsid w:val="001B35E8"/>
    <w:rsid w:val="001B5F2C"/>
    <w:rsid w:val="001C744B"/>
    <w:rsid w:val="001D1811"/>
    <w:rsid w:val="001D3CE1"/>
    <w:rsid w:val="001D40AF"/>
    <w:rsid w:val="001D4602"/>
    <w:rsid w:val="001E4CC2"/>
    <w:rsid w:val="001F5502"/>
    <w:rsid w:val="001F624A"/>
    <w:rsid w:val="00214D5E"/>
    <w:rsid w:val="00214F3B"/>
    <w:rsid w:val="002166C4"/>
    <w:rsid w:val="002174E4"/>
    <w:rsid w:val="002214EE"/>
    <w:rsid w:val="00233112"/>
    <w:rsid w:val="00235284"/>
    <w:rsid w:val="002361DB"/>
    <w:rsid w:val="0024295C"/>
    <w:rsid w:val="00244652"/>
    <w:rsid w:val="00244A2A"/>
    <w:rsid w:val="00245053"/>
    <w:rsid w:val="00250609"/>
    <w:rsid w:val="00253BBA"/>
    <w:rsid w:val="00255643"/>
    <w:rsid w:val="002579C2"/>
    <w:rsid w:val="00260153"/>
    <w:rsid w:val="00261315"/>
    <w:rsid w:val="00261CE5"/>
    <w:rsid w:val="0027068C"/>
    <w:rsid w:val="00271D52"/>
    <w:rsid w:val="002721D6"/>
    <w:rsid w:val="00272C8F"/>
    <w:rsid w:val="00272E20"/>
    <w:rsid w:val="002734D2"/>
    <w:rsid w:val="002743C0"/>
    <w:rsid w:val="002748A6"/>
    <w:rsid w:val="0027718D"/>
    <w:rsid w:val="00280BB8"/>
    <w:rsid w:val="00280C5B"/>
    <w:rsid w:val="00281538"/>
    <w:rsid w:val="00284C40"/>
    <w:rsid w:val="002857CB"/>
    <w:rsid w:val="00293C2F"/>
    <w:rsid w:val="002A1718"/>
    <w:rsid w:val="002A19EB"/>
    <w:rsid w:val="002A2663"/>
    <w:rsid w:val="002A2DC2"/>
    <w:rsid w:val="002B43A1"/>
    <w:rsid w:val="002B6EC1"/>
    <w:rsid w:val="002B7083"/>
    <w:rsid w:val="002C04F4"/>
    <w:rsid w:val="002C095F"/>
    <w:rsid w:val="002C1A46"/>
    <w:rsid w:val="002C2EF1"/>
    <w:rsid w:val="002D2E12"/>
    <w:rsid w:val="002D4A8D"/>
    <w:rsid w:val="002D6EA3"/>
    <w:rsid w:val="002E0552"/>
    <w:rsid w:val="002E4F96"/>
    <w:rsid w:val="002E54A2"/>
    <w:rsid w:val="002F014E"/>
    <w:rsid w:val="002F3F09"/>
    <w:rsid w:val="002F40FA"/>
    <w:rsid w:val="002F6927"/>
    <w:rsid w:val="003011CC"/>
    <w:rsid w:val="003043DE"/>
    <w:rsid w:val="003059F2"/>
    <w:rsid w:val="00313C2E"/>
    <w:rsid w:val="00331AAB"/>
    <w:rsid w:val="00331FA9"/>
    <w:rsid w:val="003328C2"/>
    <w:rsid w:val="00335C9A"/>
    <w:rsid w:val="003367C2"/>
    <w:rsid w:val="00336BE3"/>
    <w:rsid w:val="00337A46"/>
    <w:rsid w:val="00342AC9"/>
    <w:rsid w:val="003477E0"/>
    <w:rsid w:val="00350BFA"/>
    <w:rsid w:val="00354072"/>
    <w:rsid w:val="00361FC5"/>
    <w:rsid w:val="0036312D"/>
    <w:rsid w:val="00371FC4"/>
    <w:rsid w:val="00373B01"/>
    <w:rsid w:val="00373F91"/>
    <w:rsid w:val="00375824"/>
    <w:rsid w:val="00376C20"/>
    <w:rsid w:val="00384D59"/>
    <w:rsid w:val="003853D1"/>
    <w:rsid w:val="0039040F"/>
    <w:rsid w:val="003A5CB2"/>
    <w:rsid w:val="003A6A3E"/>
    <w:rsid w:val="003B4DB7"/>
    <w:rsid w:val="003B67B8"/>
    <w:rsid w:val="003B7848"/>
    <w:rsid w:val="003C2E3F"/>
    <w:rsid w:val="003D00A9"/>
    <w:rsid w:val="003D4E39"/>
    <w:rsid w:val="003D50BC"/>
    <w:rsid w:val="003D7961"/>
    <w:rsid w:val="003E2606"/>
    <w:rsid w:val="003E778D"/>
    <w:rsid w:val="003F22EC"/>
    <w:rsid w:val="003F355E"/>
    <w:rsid w:val="003F3A25"/>
    <w:rsid w:val="003F6A5E"/>
    <w:rsid w:val="0040465F"/>
    <w:rsid w:val="00407F8B"/>
    <w:rsid w:val="004121A3"/>
    <w:rsid w:val="00413364"/>
    <w:rsid w:val="00414168"/>
    <w:rsid w:val="00423F28"/>
    <w:rsid w:val="004311C1"/>
    <w:rsid w:val="004412C3"/>
    <w:rsid w:val="00442560"/>
    <w:rsid w:val="0044298F"/>
    <w:rsid w:val="004440F2"/>
    <w:rsid w:val="00447D2A"/>
    <w:rsid w:val="004517F4"/>
    <w:rsid w:val="00452D9B"/>
    <w:rsid w:val="00461A8D"/>
    <w:rsid w:val="00464D4C"/>
    <w:rsid w:val="00466A63"/>
    <w:rsid w:val="00471BAA"/>
    <w:rsid w:val="00472346"/>
    <w:rsid w:val="00473549"/>
    <w:rsid w:val="00475DC0"/>
    <w:rsid w:val="00475DF9"/>
    <w:rsid w:val="00482536"/>
    <w:rsid w:val="004848A3"/>
    <w:rsid w:val="0048668D"/>
    <w:rsid w:val="004967BD"/>
    <w:rsid w:val="004968A4"/>
    <w:rsid w:val="004A1F0D"/>
    <w:rsid w:val="004A29FF"/>
    <w:rsid w:val="004A6C07"/>
    <w:rsid w:val="004A7A38"/>
    <w:rsid w:val="004A7E1A"/>
    <w:rsid w:val="004B6B81"/>
    <w:rsid w:val="004B77EF"/>
    <w:rsid w:val="004C3C54"/>
    <w:rsid w:val="004C6122"/>
    <w:rsid w:val="004C6163"/>
    <w:rsid w:val="004D1940"/>
    <w:rsid w:val="004D2C7E"/>
    <w:rsid w:val="004E194B"/>
    <w:rsid w:val="004E1A70"/>
    <w:rsid w:val="004F407B"/>
    <w:rsid w:val="004F4F0D"/>
    <w:rsid w:val="005028D4"/>
    <w:rsid w:val="005033B8"/>
    <w:rsid w:val="00510433"/>
    <w:rsid w:val="00513D38"/>
    <w:rsid w:val="0052485C"/>
    <w:rsid w:val="00526AB5"/>
    <w:rsid w:val="0052765A"/>
    <w:rsid w:val="00532200"/>
    <w:rsid w:val="0053296C"/>
    <w:rsid w:val="0054649F"/>
    <w:rsid w:val="005464C2"/>
    <w:rsid w:val="00547354"/>
    <w:rsid w:val="00547936"/>
    <w:rsid w:val="00550049"/>
    <w:rsid w:val="0055416D"/>
    <w:rsid w:val="00556D8A"/>
    <w:rsid w:val="00561E9A"/>
    <w:rsid w:val="0056561F"/>
    <w:rsid w:val="00570171"/>
    <w:rsid w:val="00570697"/>
    <w:rsid w:val="00574629"/>
    <w:rsid w:val="00577917"/>
    <w:rsid w:val="00590CEE"/>
    <w:rsid w:val="00591279"/>
    <w:rsid w:val="00592226"/>
    <w:rsid w:val="00592903"/>
    <w:rsid w:val="005B017B"/>
    <w:rsid w:val="005B7259"/>
    <w:rsid w:val="005C166C"/>
    <w:rsid w:val="005D6084"/>
    <w:rsid w:val="005D6B65"/>
    <w:rsid w:val="005E2F25"/>
    <w:rsid w:val="00603D9F"/>
    <w:rsid w:val="006071AF"/>
    <w:rsid w:val="0061496D"/>
    <w:rsid w:val="00615153"/>
    <w:rsid w:val="006178BB"/>
    <w:rsid w:val="006210FE"/>
    <w:rsid w:val="00624507"/>
    <w:rsid w:val="0063246F"/>
    <w:rsid w:val="00637EEC"/>
    <w:rsid w:val="006423FE"/>
    <w:rsid w:val="00642E06"/>
    <w:rsid w:val="00651C10"/>
    <w:rsid w:val="0065404A"/>
    <w:rsid w:val="00661281"/>
    <w:rsid w:val="0066279B"/>
    <w:rsid w:val="00663F3D"/>
    <w:rsid w:val="00666601"/>
    <w:rsid w:val="00667D5E"/>
    <w:rsid w:val="0067040B"/>
    <w:rsid w:val="00672F60"/>
    <w:rsid w:val="00684C5D"/>
    <w:rsid w:val="00687950"/>
    <w:rsid w:val="0069619A"/>
    <w:rsid w:val="006A3851"/>
    <w:rsid w:val="006A7205"/>
    <w:rsid w:val="006B1E53"/>
    <w:rsid w:val="006B1F8C"/>
    <w:rsid w:val="006B3B1F"/>
    <w:rsid w:val="006B5DA4"/>
    <w:rsid w:val="006C28B1"/>
    <w:rsid w:val="006C4423"/>
    <w:rsid w:val="006D0128"/>
    <w:rsid w:val="006D05FC"/>
    <w:rsid w:val="006D1E54"/>
    <w:rsid w:val="006D43E0"/>
    <w:rsid w:val="006D50FC"/>
    <w:rsid w:val="006D6FAC"/>
    <w:rsid w:val="006D7F8E"/>
    <w:rsid w:val="006E2221"/>
    <w:rsid w:val="006E6FBA"/>
    <w:rsid w:val="006F4CB8"/>
    <w:rsid w:val="006F7C34"/>
    <w:rsid w:val="00700D06"/>
    <w:rsid w:val="007026A9"/>
    <w:rsid w:val="0070288A"/>
    <w:rsid w:val="0070352A"/>
    <w:rsid w:val="00705218"/>
    <w:rsid w:val="00706178"/>
    <w:rsid w:val="00707DB5"/>
    <w:rsid w:val="0071252B"/>
    <w:rsid w:val="00715D9E"/>
    <w:rsid w:val="00722E37"/>
    <w:rsid w:val="00726166"/>
    <w:rsid w:val="00726AF6"/>
    <w:rsid w:val="00727474"/>
    <w:rsid w:val="00734F70"/>
    <w:rsid w:val="00737077"/>
    <w:rsid w:val="00741BBB"/>
    <w:rsid w:val="0074493D"/>
    <w:rsid w:val="00747490"/>
    <w:rsid w:val="0075040E"/>
    <w:rsid w:val="007508F9"/>
    <w:rsid w:val="007515E2"/>
    <w:rsid w:val="00751743"/>
    <w:rsid w:val="0075317E"/>
    <w:rsid w:val="00753BAC"/>
    <w:rsid w:val="007573B7"/>
    <w:rsid w:val="00766DB2"/>
    <w:rsid w:val="00770BE3"/>
    <w:rsid w:val="00776B61"/>
    <w:rsid w:val="007835A5"/>
    <w:rsid w:val="00791F9E"/>
    <w:rsid w:val="00793EF6"/>
    <w:rsid w:val="00796205"/>
    <w:rsid w:val="00797447"/>
    <w:rsid w:val="007A2139"/>
    <w:rsid w:val="007B092B"/>
    <w:rsid w:val="007B18F0"/>
    <w:rsid w:val="007B2BEB"/>
    <w:rsid w:val="007C0495"/>
    <w:rsid w:val="007C1431"/>
    <w:rsid w:val="007C4239"/>
    <w:rsid w:val="007C7416"/>
    <w:rsid w:val="007D1025"/>
    <w:rsid w:val="007D3FD5"/>
    <w:rsid w:val="007E4481"/>
    <w:rsid w:val="007E7B98"/>
    <w:rsid w:val="007F033E"/>
    <w:rsid w:val="007F7809"/>
    <w:rsid w:val="008020BB"/>
    <w:rsid w:val="00803194"/>
    <w:rsid w:val="008062C1"/>
    <w:rsid w:val="0080752F"/>
    <w:rsid w:val="00807960"/>
    <w:rsid w:val="008109E7"/>
    <w:rsid w:val="00812D2F"/>
    <w:rsid w:val="00814AF7"/>
    <w:rsid w:val="00816461"/>
    <w:rsid w:val="00823859"/>
    <w:rsid w:val="008276EF"/>
    <w:rsid w:val="008300E3"/>
    <w:rsid w:val="0083105C"/>
    <w:rsid w:val="00836111"/>
    <w:rsid w:val="00836C27"/>
    <w:rsid w:val="00847014"/>
    <w:rsid w:val="00856ABD"/>
    <w:rsid w:val="00863B6F"/>
    <w:rsid w:val="00872861"/>
    <w:rsid w:val="00873EC9"/>
    <w:rsid w:val="00881CB2"/>
    <w:rsid w:val="00882A83"/>
    <w:rsid w:val="008903FF"/>
    <w:rsid w:val="00891B71"/>
    <w:rsid w:val="0089380D"/>
    <w:rsid w:val="00896C7D"/>
    <w:rsid w:val="008A0924"/>
    <w:rsid w:val="008A0EF0"/>
    <w:rsid w:val="008B0D8D"/>
    <w:rsid w:val="008B2E6C"/>
    <w:rsid w:val="008B3391"/>
    <w:rsid w:val="008B4449"/>
    <w:rsid w:val="008B5D9F"/>
    <w:rsid w:val="008B6AE6"/>
    <w:rsid w:val="008D1ECD"/>
    <w:rsid w:val="008D2AD4"/>
    <w:rsid w:val="008D3E19"/>
    <w:rsid w:val="008D7EAD"/>
    <w:rsid w:val="008E5613"/>
    <w:rsid w:val="008F1158"/>
    <w:rsid w:val="008F11F3"/>
    <w:rsid w:val="008F30B9"/>
    <w:rsid w:val="009030AD"/>
    <w:rsid w:val="00906AF2"/>
    <w:rsid w:val="00906C36"/>
    <w:rsid w:val="00907692"/>
    <w:rsid w:val="00907CE9"/>
    <w:rsid w:val="00911B42"/>
    <w:rsid w:val="00911F9C"/>
    <w:rsid w:val="00915F12"/>
    <w:rsid w:val="00925D53"/>
    <w:rsid w:val="0093192B"/>
    <w:rsid w:val="009327E5"/>
    <w:rsid w:val="00935D39"/>
    <w:rsid w:val="00943E21"/>
    <w:rsid w:val="00944387"/>
    <w:rsid w:val="009449DA"/>
    <w:rsid w:val="00951849"/>
    <w:rsid w:val="0095244F"/>
    <w:rsid w:val="00952DEA"/>
    <w:rsid w:val="00960BA3"/>
    <w:rsid w:val="0096123C"/>
    <w:rsid w:val="00967F27"/>
    <w:rsid w:val="00973FD6"/>
    <w:rsid w:val="00975B6C"/>
    <w:rsid w:val="00975E18"/>
    <w:rsid w:val="009774F5"/>
    <w:rsid w:val="0098016C"/>
    <w:rsid w:val="00984241"/>
    <w:rsid w:val="0098788A"/>
    <w:rsid w:val="009910F7"/>
    <w:rsid w:val="009934B1"/>
    <w:rsid w:val="009959D0"/>
    <w:rsid w:val="009A2CE0"/>
    <w:rsid w:val="009A598B"/>
    <w:rsid w:val="009B54F3"/>
    <w:rsid w:val="009C453A"/>
    <w:rsid w:val="009C5D30"/>
    <w:rsid w:val="009C655D"/>
    <w:rsid w:val="009D2EAE"/>
    <w:rsid w:val="009D71D0"/>
    <w:rsid w:val="009E1E70"/>
    <w:rsid w:val="009E4B37"/>
    <w:rsid w:val="009E4CAF"/>
    <w:rsid w:val="009F2623"/>
    <w:rsid w:val="00A00EBF"/>
    <w:rsid w:val="00A02E05"/>
    <w:rsid w:val="00A07B05"/>
    <w:rsid w:val="00A13109"/>
    <w:rsid w:val="00A204AC"/>
    <w:rsid w:val="00A24B87"/>
    <w:rsid w:val="00A25CE7"/>
    <w:rsid w:val="00A31494"/>
    <w:rsid w:val="00A31A7F"/>
    <w:rsid w:val="00A35840"/>
    <w:rsid w:val="00A44633"/>
    <w:rsid w:val="00A449C2"/>
    <w:rsid w:val="00A44EF3"/>
    <w:rsid w:val="00A61E67"/>
    <w:rsid w:val="00A6609E"/>
    <w:rsid w:val="00A66993"/>
    <w:rsid w:val="00A7594F"/>
    <w:rsid w:val="00A816F3"/>
    <w:rsid w:val="00A81F1C"/>
    <w:rsid w:val="00A83699"/>
    <w:rsid w:val="00A83DF0"/>
    <w:rsid w:val="00A9216D"/>
    <w:rsid w:val="00A96A26"/>
    <w:rsid w:val="00A96FEB"/>
    <w:rsid w:val="00A971D2"/>
    <w:rsid w:val="00A9790A"/>
    <w:rsid w:val="00A97B44"/>
    <w:rsid w:val="00AA238C"/>
    <w:rsid w:val="00AA2DAB"/>
    <w:rsid w:val="00AB5D90"/>
    <w:rsid w:val="00AC3B9E"/>
    <w:rsid w:val="00AC79D2"/>
    <w:rsid w:val="00AE6732"/>
    <w:rsid w:val="00AF0F60"/>
    <w:rsid w:val="00AF1101"/>
    <w:rsid w:val="00AF39A6"/>
    <w:rsid w:val="00B07697"/>
    <w:rsid w:val="00B15B51"/>
    <w:rsid w:val="00B168D0"/>
    <w:rsid w:val="00B3470F"/>
    <w:rsid w:val="00B35823"/>
    <w:rsid w:val="00B37F81"/>
    <w:rsid w:val="00B44FE4"/>
    <w:rsid w:val="00B51FCF"/>
    <w:rsid w:val="00B64457"/>
    <w:rsid w:val="00B6611A"/>
    <w:rsid w:val="00B667C2"/>
    <w:rsid w:val="00B67BBC"/>
    <w:rsid w:val="00B73027"/>
    <w:rsid w:val="00B77F6D"/>
    <w:rsid w:val="00B80FFB"/>
    <w:rsid w:val="00B838E1"/>
    <w:rsid w:val="00B84262"/>
    <w:rsid w:val="00B84B81"/>
    <w:rsid w:val="00B9008B"/>
    <w:rsid w:val="00BA2916"/>
    <w:rsid w:val="00BA29F2"/>
    <w:rsid w:val="00BA5C66"/>
    <w:rsid w:val="00BB0CCB"/>
    <w:rsid w:val="00BB272A"/>
    <w:rsid w:val="00BB2E47"/>
    <w:rsid w:val="00BB30AC"/>
    <w:rsid w:val="00BB4DDD"/>
    <w:rsid w:val="00BB621B"/>
    <w:rsid w:val="00BB6364"/>
    <w:rsid w:val="00BC0153"/>
    <w:rsid w:val="00BC3163"/>
    <w:rsid w:val="00BC32A9"/>
    <w:rsid w:val="00BC340C"/>
    <w:rsid w:val="00BC74B3"/>
    <w:rsid w:val="00BD02C0"/>
    <w:rsid w:val="00BD146B"/>
    <w:rsid w:val="00BD2CF3"/>
    <w:rsid w:val="00BD48A1"/>
    <w:rsid w:val="00BE5CA9"/>
    <w:rsid w:val="00BF07C2"/>
    <w:rsid w:val="00BF2526"/>
    <w:rsid w:val="00BF4863"/>
    <w:rsid w:val="00BF62F3"/>
    <w:rsid w:val="00BF65E7"/>
    <w:rsid w:val="00C009A7"/>
    <w:rsid w:val="00C01815"/>
    <w:rsid w:val="00C02C0D"/>
    <w:rsid w:val="00C033CC"/>
    <w:rsid w:val="00C04826"/>
    <w:rsid w:val="00C10CC8"/>
    <w:rsid w:val="00C12102"/>
    <w:rsid w:val="00C1333A"/>
    <w:rsid w:val="00C1633D"/>
    <w:rsid w:val="00C22123"/>
    <w:rsid w:val="00C26F51"/>
    <w:rsid w:val="00C27340"/>
    <w:rsid w:val="00C27C06"/>
    <w:rsid w:val="00C31860"/>
    <w:rsid w:val="00C324A2"/>
    <w:rsid w:val="00C36310"/>
    <w:rsid w:val="00C37CA3"/>
    <w:rsid w:val="00C412CA"/>
    <w:rsid w:val="00C41B60"/>
    <w:rsid w:val="00C4212F"/>
    <w:rsid w:val="00C4738F"/>
    <w:rsid w:val="00C475BB"/>
    <w:rsid w:val="00C647C4"/>
    <w:rsid w:val="00C72BDD"/>
    <w:rsid w:val="00C739CD"/>
    <w:rsid w:val="00C80289"/>
    <w:rsid w:val="00C84479"/>
    <w:rsid w:val="00C849BB"/>
    <w:rsid w:val="00C84AE3"/>
    <w:rsid w:val="00C85DE2"/>
    <w:rsid w:val="00C86324"/>
    <w:rsid w:val="00C903B9"/>
    <w:rsid w:val="00C90EBA"/>
    <w:rsid w:val="00C95B3C"/>
    <w:rsid w:val="00C96281"/>
    <w:rsid w:val="00CA03F4"/>
    <w:rsid w:val="00CA19B3"/>
    <w:rsid w:val="00CA777E"/>
    <w:rsid w:val="00CB393F"/>
    <w:rsid w:val="00CB6AB3"/>
    <w:rsid w:val="00CC31D5"/>
    <w:rsid w:val="00CD169C"/>
    <w:rsid w:val="00CD1A42"/>
    <w:rsid w:val="00CD6AD0"/>
    <w:rsid w:val="00CE054E"/>
    <w:rsid w:val="00CE176A"/>
    <w:rsid w:val="00CE5CE0"/>
    <w:rsid w:val="00CF4033"/>
    <w:rsid w:val="00CF430F"/>
    <w:rsid w:val="00CF4C1A"/>
    <w:rsid w:val="00D05112"/>
    <w:rsid w:val="00D07A68"/>
    <w:rsid w:val="00D14DE2"/>
    <w:rsid w:val="00D171DC"/>
    <w:rsid w:val="00D1754F"/>
    <w:rsid w:val="00D22599"/>
    <w:rsid w:val="00D233CD"/>
    <w:rsid w:val="00D23821"/>
    <w:rsid w:val="00D263C5"/>
    <w:rsid w:val="00D32AC0"/>
    <w:rsid w:val="00D3399D"/>
    <w:rsid w:val="00D424BC"/>
    <w:rsid w:val="00D469E3"/>
    <w:rsid w:val="00D507B7"/>
    <w:rsid w:val="00D516EF"/>
    <w:rsid w:val="00D519B7"/>
    <w:rsid w:val="00D60071"/>
    <w:rsid w:val="00D62EDC"/>
    <w:rsid w:val="00D63414"/>
    <w:rsid w:val="00D65331"/>
    <w:rsid w:val="00D702B7"/>
    <w:rsid w:val="00D7030F"/>
    <w:rsid w:val="00D75A8A"/>
    <w:rsid w:val="00D829CA"/>
    <w:rsid w:val="00D86CDD"/>
    <w:rsid w:val="00D902A7"/>
    <w:rsid w:val="00D92C85"/>
    <w:rsid w:val="00D934D7"/>
    <w:rsid w:val="00D97474"/>
    <w:rsid w:val="00DA0433"/>
    <w:rsid w:val="00DA30A3"/>
    <w:rsid w:val="00DB309A"/>
    <w:rsid w:val="00DC2283"/>
    <w:rsid w:val="00DC440A"/>
    <w:rsid w:val="00DC5596"/>
    <w:rsid w:val="00DC68CB"/>
    <w:rsid w:val="00DD1DBA"/>
    <w:rsid w:val="00DD21A6"/>
    <w:rsid w:val="00DD5270"/>
    <w:rsid w:val="00DD61A9"/>
    <w:rsid w:val="00DE2F09"/>
    <w:rsid w:val="00DE7390"/>
    <w:rsid w:val="00DF225D"/>
    <w:rsid w:val="00DF683F"/>
    <w:rsid w:val="00E0401D"/>
    <w:rsid w:val="00E16907"/>
    <w:rsid w:val="00E20790"/>
    <w:rsid w:val="00E21CDE"/>
    <w:rsid w:val="00E2329B"/>
    <w:rsid w:val="00E27A4B"/>
    <w:rsid w:val="00E311D8"/>
    <w:rsid w:val="00E46061"/>
    <w:rsid w:val="00E534C9"/>
    <w:rsid w:val="00E63A7C"/>
    <w:rsid w:val="00E65F73"/>
    <w:rsid w:val="00E715FD"/>
    <w:rsid w:val="00E74BC4"/>
    <w:rsid w:val="00E81DEE"/>
    <w:rsid w:val="00E8260E"/>
    <w:rsid w:val="00E96B25"/>
    <w:rsid w:val="00EA087B"/>
    <w:rsid w:val="00EA53E2"/>
    <w:rsid w:val="00EA690F"/>
    <w:rsid w:val="00EB03AD"/>
    <w:rsid w:val="00EB04FE"/>
    <w:rsid w:val="00EB38F3"/>
    <w:rsid w:val="00EB5980"/>
    <w:rsid w:val="00EB7549"/>
    <w:rsid w:val="00EC13D9"/>
    <w:rsid w:val="00EC32DE"/>
    <w:rsid w:val="00ED0CCA"/>
    <w:rsid w:val="00ED2A9F"/>
    <w:rsid w:val="00ED564C"/>
    <w:rsid w:val="00EE05E8"/>
    <w:rsid w:val="00EE4539"/>
    <w:rsid w:val="00EE76B9"/>
    <w:rsid w:val="00EE78A6"/>
    <w:rsid w:val="00EF3D3E"/>
    <w:rsid w:val="00F0697C"/>
    <w:rsid w:val="00F13AE2"/>
    <w:rsid w:val="00F13E59"/>
    <w:rsid w:val="00F20B96"/>
    <w:rsid w:val="00F26196"/>
    <w:rsid w:val="00F34CF8"/>
    <w:rsid w:val="00F34DBC"/>
    <w:rsid w:val="00F40526"/>
    <w:rsid w:val="00F41B06"/>
    <w:rsid w:val="00F41FD5"/>
    <w:rsid w:val="00F4410F"/>
    <w:rsid w:val="00F44258"/>
    <w:rsid w:val="00F443F2"/>
    <w:rsid w:val="00F50A70"/>
    <w:rsid w:val="00F53A56"/>
    <w:rsid w:val="00F53BC9"/>
    <w:rsid w:val="00F5644F"/>
    <w:rsid w:val="00F5773F"/>
    <w:rsid w:val="00F63600"/>
    <w:rsid w:val="00F65FF1"/>
    <w:rsid w:val="00F67C87"/>
    <w:rsid w:val="00F70E23"/>
    <w:rsid w:val="00F7504F"/>
    <w:rsid w:val="00F75C2E"/>
    <w:rsid w:val="00F84EE9"/>
    <w:rsid w:val="00F85015"/>
    <w:rsid w:val="00F864AD"/>
    <w:rsid w:val="00F904A6"/>
    <w:rsid w:val="00FA451C"/>
    <w:rsid w:val="00FA51F4"/>
    <w:rsid w:val="00FA6B8A"/>
    <w:rsid w:val="00FD1975"/>
    <w:rsid w:val="00FE07E2"/>
    <w:rsid w:val="00FE2614"/>
    <w:rsid w:val="00FE37DA"/>
    <w:rsid w:val="00FE3DAB"/>
    <w:rsid w:val="00FF1039"/>
    <w:rsid w:val="00FF1D36"/>
    <w:rsid w:val="00FF4CD8"/>
    <w:rsid w:val="00FF587B"/>
    <w:rsid w:val="177950E9"/>
    <w:rsid w:val="1FD5E5E2"/>
    <w:rsid w:val="49161B4E"/>
    <w:rsid w:val="4AFE39D9"/>
    <w:rsid w:val="4FD445CD"/>
    <w:rsid w:val="6111088E"/>
    <w:rsid w:val="67F3F214"/>
    <w:rsid w:val="793DB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9E3D"/>
  <w15:chartTrackingRefBased/>
  <w15:docId w15:val="{8D540813-E0CE-491F-B707-057FE474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5E"/>
  </w:style>
  <w:style w:type="paragraph" w:styleId="Heading1">
    <w:name w:val="heading 1"/>
    <w:basedOn w:val="Normal"/>
    <w:next w:val="Normal"/>
    <w:link w:val="Heading1Char"/>
    <w:uiPriority w:val="9"/>
    <w:qFormat/>
    <w:rsid w:val="00166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326"/>
    <w:rPr>
      <w:rFonts w:eastAsiaTheme="majorEastAsia" w:cstheme="majorBidi"/>
      <w:color w:val="272727" w:themeColor="text1" w:themeTint="D8"/>
    </w:rPr>
  </w:style>
  <w:style w:type="paragraph" w:styleId="Title">
    <w:name w:val="Title"/>
    <w:basedOn w:val="Normal"/>
    <w:next w:val="Normal"/>
    <w:link w:val="TitleChar"/>
    <w:uiPriority w:val="10"/>
    <w:qFormat/>
    <w:rsid w:val="00166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326"/>
    <w:pPr>
      <w:spacing w:before="160"/>
      <w:jc w:val="center"/>
    </w:pPr>
    <w:rPr>
      <w:i/>
      <w:iCs/>
      <w:color w:val="404040" w:themeColor="text1" w:themeTint="BF"/>
    </w:rPr>
  </w:style>
  <w:style w:type="character" w:customStyle="1" w:styleId="QuoteChar">
    <w:name w:val="Quote Char"/>
    <w:basedOn w:val="DefaultParagraphFont"/>
    <w:link w:val="Quote"/>
    <w:uiPriority w:val="29"/>
    <w:rsid w:val="00166326"/>
    <w:rPr>
      <w:i/>
      <w:iCs/>
      <w:color w:val="404040" w:themeColor="text1" w:themeTint="BF"/>
    </w:rPr>
  </w:style>
  <w:style w:type="paragraph" w:styleId="ListParagraph">
    <w:name w:val="List Paragraph"/>
    <w:basedOn w:val="Normal"/>
    <w:uiPriority w:val="34"/>
    <w:qFormat/>
    <w:rsid w:val="00166326"/>
    <w:pPr>
      <w:ind w:left="720"/>
      <w:contextualSpacing/>
    </w:pPr>
  </w:style>
  <w:style w:type="character" w:styleId="IntenseEmphasis">
    <w:name w:val="Intense Emphasis"/>
    <w:basedOn w:val="DefaultParagraphFont"/>
    <w:uiPriority w:val="21"/>
    <w:qFormat/>
    <w:rsid w:val="00166326"/>
    <w:rPr>
      <w:i/>
      <w:iCs/>
      <w:color w:val="0F4761" w:themeColor="accent1" w:themeShade="BF"/>
    </w:rPr>
  </w:style>
  <w:style w:type="paragraph" w:styleId="IntenseQuote">
    <w:name w:val="Intense Quote"/>
    <w:basedOn w:val="Normal"/>
    <w:next w:val="Normal"/>
    <w:link w:val="IntenseQuoteChar"/>
    <w:uiPriority w:val="30"/>
    <w:qFormat/>
    <w:rsid w:val="00166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326"/>
    <w:rPr>
      <w:i/>
      <w:iCs/>
      <w:color w:val="0F4761" w:themeColor="accent1" w:themeShade="BF"/>
    </w:rPr>
  </w:style>
  <w:style w:type="character" w:styleId="IntenseReference">
    <w:name w:val="Intense Reference"/>
    <w:basedOn w:val="DefaultParagraphFont"/>
    <w:uiPriority w:val="32"/>
    <w:qFormat/>
    <w:rsid w:val="00166326"/>
    <w:rPr>
      <w:b/>
      <w:bCs/>
      <w:smallCaps/>
      <w:color w:val="0F4761" w:themeColor="accent1" w:themeShade="BF"/>
      <w:spacing w:val="5"/>
    </w:rPr>
  </w:style>
  <w:style w:type="paragraph" w:styleId="Header">
    <w:name w:val="header"/>
    <w:basedOn w:val="Normal"/>
    <w:link w:val="HeaderChar"/>
    <w:uiPriority w:val="99"/>
    <w:unhideWhenUsed/>
    <w:rsid w:val="00A83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DF0"/>
  </w:style>
  <w:style w:type="paragraph" w:styleId="Footer">
    <w:name w:val="footer"/>
    <w:basedOn w:val="Normal"/>
    <w:link w:val="FooterChar"/>
    <w:uiPriority w:val="99"/>
    <w:unhideWhenUsed/>
    <w:rsid w:val="00A83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DF0"/>
  </w:style>
  <w:style w:type="character" w:styleId="Hyperlink">
    <w:name w:val="Hyperlink"/>
    <w:basedOn w:val="DefaultParagraphFont"/>
    <w:uiPriority w:val="99"/>
    <w:unhideWhenUsed/>
    <w:rsid w:val="00C4738F"/>
    <w:rPr>
      <w:color w:val="467886" w:themeColor="hyperlink"/>
      <w:u w:val="single"/>
    </w:rPr>
  </w:style>
  <w:style w:type="character" w:styleId="UnresolvedMention">
    <w:name w:val="Unresolved Mention"/>
    <w:basedOn w:val="DefaultParagraphFont"/>
    <w:uiPriority w:val="99"/>
    <w:semiHidden/>
    <w:unhideWhenUsed/>
    <w:rsid w:val="00C4738F"/>
    <w:rPr>
      <w:color w:val="605E5C"/>
      <w:shd w:val="clear" w:color="auto" w:fill="E1DFDD"/>
    </w:rPr>
  </w:style>
  <w:style w:type="paragraph" w:styleId="NoSpacing">
    <w:name w:val="No Spacing"/>
    <w:uiPriority w:val="1"/>
    <w:qFormat/>
    <w:rsid w:val="00AC3B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shumanitieshub.eu/hubs/university-of-wales/" TargetMode="External"/><Relationship Id="rId13" Type="http://schemas.openxmlformats.org/officeDocument/2006/relationships/hyperlink" Target="https://www.tesco.com/groceries/en-GB/zone/tesco-fines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tesco.com/grocer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com/clubcard" TargetMode="External"/><Relationship Id="rId5" Type="http://schemas.openxmlformats.org/officeDocument/2006/relationships/footnotes" Target="footnotes.xml"/><Relationship Id="rId15" Type="http://schemas.openxmlformats.org/officeDocument/2006/relationships/hyperlink" Target="https://www.tesco.com/groceries/en-GB/zone/plant-based-and-vegetarian" TargetMode="External"/><Relationship Id="rId10" Type="http://schemas.openxmlformats.org/officeDocument/2006/relationships/hyperlink" Target="https://www.tescoplc.com/sustainability/" TargetMode="External"/><Relationship Id="rId4" Type="http://schemas.openxmlformats.org/officeDocument/2006/relationships/webSettings" Target="webSettings.xml"/><Relationship Id="rId9" Type="http://schemas.openxmlformats.org/officeDocument/2006/relationships/hyperlink" Target="https://www.tescoplc.com/investors/reports-results-and-presentations/" TargetMode="External"/><Relationship Id="rId14" Type="http://schemas.openxmlformats.org/officeDocument/2006/relationships/hyperlink" Target="https://www.tesco.com/stor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4038</Words>
  <Characters>23018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Ionela Scarlaciuc (2318839)</dc:creator>
  <cp:keywords/>
  <dc:description/>
  <cp:lastModifiedBy>Alina Ionela Scarlaciuc (2318839)</cp:lastModifiedBy>
  <cp:revision>2</cp:revision>
  <dcterms:created xsi:type="dcterms:W3CDTF">2026-03-16T21:21:00Z</dcterms:created>
  <dcterms:modified xsi:type="dcterms:W3CDTF">2026-03-16T21:21:00Z</dcterms:modified>
</cp:coreProperties>
</file>