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9E161" w14:textId="77777777" w:rsidR="00A20065" w:rsidRDefault="00A20065" w:rsidP="00A20065">
      <w:pPr>
        <w:spacing w:before="200" w:after="200"/>
        <w:jc w:val="center"/>
        <w:rPr>
          <w:b/>
          <w:sz w:val="36"/>
          <w:szCs w:val="36"/>
          <w:lang w:val="en-GB"/>
        </w:rPr>
      </w:pPr>
    </w:p>
    <w:p w14:paraId="2DA83C7A" w14:textId="77777777" w:rsidR="00A20065" w:rsidRDefault="00A20065" w:rsidP="00A20065">
      <w:pPr>
        <w:spacing w:before="200" w:after="200"/>
        <w:jc w:val="center"/>
        <w:rPr>
          <w:b/>
          <w:sz w:val="36"/>
          <w:szCs w:val="36"/>
          <w:lang w:val="en-GB"/>
        </w:rPr>
      </w:pPr>
    </w:p>
    <w:p w14:paraId="2A24DFED" w14:textId="77777777" w:rsidR="00A20065" w:rsidRDefault="00A20065" w:rsidP="00A20065">
      <w:pPr>
        <w:spacing w:before="200" w:after="200"/>
        <w:jc w:val="center"/>
        <w:rPr>
          <w:b/>
          <w:sz w:val="36"/>
          <w:szCs w:val="36"/>
          <w:lang w:val="en-GB"/>
        </w:rPr>
      </w:pPr>
    </w:p>
    <w:p w14:paraId="63AF4523" w14:textId="77777777" w:rsidR="00A20065" w:rsidRDefault="00A20065" w:rsidP="00A20065">
      <w:pPr>
        <w:spacing w:before="200" w:after="200"/>
        <w:jc w:val="center"/>
        <w:rPr>
          <w:b/>
          <w:sz w:val="36"/>
          <w:szCs w:val="36"/>
          <w:lang w:val="en-GB"/>
        </w:rPr>
      </w:pPr>
    </w:p>
    <w:p w14:paraId="55FC38D7" w14:textId="77777777" w:rsidR="00A20065" w:rsidRDefault="00A20065" w:rsidP="00A20065">
      <w:pPr>
        <w:spacing w:before="200" w:after="200"/>
        <w:jc w:val="center"/>
        <w:rPr>
          <w:b/>
          <w:sz w:val="36"/>
          <w:szCs w:val="36"/>
          <w:lang w:val="en-GB"/>
        </w:rPr>
      </w:pPr>
      <w:r>
        <w:rPr>
          <w:b/>
          <w:sz w:val="36"/>
          <w:szCs w:val="36"/>
          <w:lang w:val="en-GB"/>
        </w:rPr>
        <w:t xml:space="preserve">Module name: Operating Hotel Facilities </w:t>
      </w:r>
    </w:p>
    <w:p w14:paraId="481D63E0" w14:textId="77777777" w:rsidR="00A20065" w:rsidRDefault="00A20065" w:rsidP="00A20065">
      <w:pPr>
        <w:spacing w:before="200" w:after="200"/>
        <w:jc w:val="center"/>
        <w:rPr>
          <w:b/>
          <w:sz w:val="36"/>
          <w:szCs w:val="36"/>
          <w:lang w:val="en-GB"/>
        </w:rPr>
      </w:pPr>
      <w:r>
        <w:rPr>
          <w:b/>
          <w:sz w:val="36"/>
          <w:szCs w:val="36"/>
          <w:lang w:val="en-GB"/>
        </w:rPr>
        <w:t>Module code: BMIH4006</w:t>
      </w:r>
    </w:p>
    <w:p w14:paraId="2A8D6510" w14:textId="0BD35997" w:rsidR="00A20065" w:rsidRDefault="00A20065" w:rsidP="00A20065">
      <w:pPr>
        <w:spacing w:before="200" w:after="200"/>
        <w:jc w:val="center"/>
        <w:rPr>
          <w:b/>
          <w:sz w:val="36"/>
          <w:szCs w:val="36"/>
          <w:lang w:val="en-GB"/>
        </w:rPr>
      </w:pPr>
      <w:r>
        <w:rPr>
          <w:b/>
          <w:sz w:val="36"/>
          <w:szCs w:val="36"/>
          <w:lang w:val="en-GB"/>
        </w:rPr>
        <w:t>Student name:</w:t>
      </w:r>
      <w:r>
        <w:rPr>
          <w:b/>
          <w:sz w:val="36"/>
          <w:szCs w:val="36"/>
          <w:lang w:val="en-GB"/>
        </w:rPr>
        <w:t xml:space="preserve"> Klaudia Modrzejewska </w:t>
      </w:r>
    </w:p>
    <w:p w14:paraId="0D6AE4BE" w14:textId="7AA3BBB2" w:rsidR="00A20065" w:rsidRDefault="00A20065" w:rsidP="00A20065">
      <w:pPr>
        <w:spacing w:before="200" w:after="200"/>
        <w:jc w:val="center"/>
        <w:rPr>
          <w:b/>
          <w:sz w:val="36"/>
          <w:szCs w:val="36"/>
          <w:lang w:val="en-GB"/>
        </w:rPr>
      </w:pPr>
      <w:r>
        <w:rPr>
          <w:b/>
          <w:sz w:val="36"/>
          <w:szCs w:val="36"/>
          <w:lang w:val="en-GB"/>
        </w:rPr>
        <w:t>Student ID:</w:t>
      </w:r>
      <w:r>
        <w:rPr>
          <w:b/>
          <w:sz w:val="36"/>
          <w:szCs w:val="36"/>
          <w:lang w:val="en-GB"/>
        </w:rPr>
        <w:t>2243846</w:t>
      </w:r>
    </w:p>
    <w:p w14:paraId="58D5FCE7" w14:textId="0030449D" w:rsidR="00A20065" w:rsidRDefault="00A20065" w:rsidP="00A20065">
      <w:pPr>
        <w:rPr>
          <w:lang w:val="en-GB"/>
        </w:rPr>
      </w:pPr>
      <w:r>
        <w:rPr>
          <w:b/>
          <w:sz w:val="36"/>
          <w:szCs w:val="36"/>
          <w:lang w:val="en-GB"/>
        </w:rPr>
        <w:br w:type="page"/>
      </w:r>
      <w:r>
        <w:rPr>
          <w:noProof/>
        </w:rPr>
        <w:lastRenderedPageBreak/>
        <w:drawing>
          <wp:inline distT="0" distB="0" distL="0" distR="0" wp14:anchorId="28535493" wp14:editId="42BF5189">
            <wp:extent cx="5731510" cy="3223895"/>
            <wp:effectExtent l="0" t="0" r="2540" b="0"/>
            <wp:docPr id="17958331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833134" name=""/>
                    <pic:cNvPicPr/>
                  </pic:nvPicPr>
                  <pic:blipFill>
                    <a:blip r:embed="rId4">
                      <a:extLst>
                        <a:ext uri="{96DAC541-7B7A-43D3-8B79-37D633B846F1}">
                          <asvg:svgBlip xmlns:asvg="http://schemas.microsoft.com/office/drawing/2016/SVG/main" r:embed="rId5"/>
                        </a:ext>
                      </a:extLst>
                    </a:blip>
                    <a:stretch>
                      <a:fillRect/>
                    </a:stretch>
                  </pic:blipFill>
                  <pic:spPr>
                    <a:xfrm>
                      <a:off x="0" y="0"/>
                      <a:ext cx="5731510" cy="3223895"/>
                    </a:xfrm>
                    <a:prstGeom prst="rect">
                      <a:avLst/>
                    </a:prstGeom>
                  </pic:spPr>
                </pic:pic>
              </a:graphicData>
            </a:graphic>
          </wp:inline>
        </w:drawing>
      </w:r>
      <w:r w:rsidRPr="00A20065">
        <w:rPr>
          <w:lang w:val="en-GB"/>
        </w:rPr>
        <w:t xml:space="preserve"> </w:t>
      </w:r>
      <w:r>
        <w:rPr>
          <w:lang w:val="en-GB"/>
        </w:rPr>
        <w:t>Component Three: Individual presentation</w:t>
      </w:r>
    </w:p>
    <w:p w14:paraId="5DD6540D" w14:textId="77777777" w:rsidR="00A20065" w:rsidRDefault="00A20065" w:rsidP="00A20065">
      <w:pPr>
        <w:rPr>
          <w:b/>
          <w:sz w:val="36"/>
          <w:szCs w:val="36"/>
          <w:lang w:val="en-GB"/>
        </w:rPr>
      </w:pPr>
    </w:p>
    <w:sdt>
      <w:sdtPr>
        <w:rPr>
          <w:rFonts w:ascii="Arial" w:eastAsia="Arial" w:hAnsi="Arial" w:cs="Arial"/>
          <w:color w:val="auto"/>
          <w:sz w:val="22"/>
          <w:szCs w:val="22"/>
        </w:rPr>
        <w:id w:val="2019878117"/>
        <w:docPartObj>
          <w:docPartGallery w:val="Table of Contents"/>
          <w:docPartUnique/>
        </w:docPartObj>
      </w:sdtPr>
      <w:sdtContent>
        <w:p w14:paraId="24540662" w14:textId="6FE17579" w:rsidR="00A20065" w:rsidRDefault="00A20065" w:rsidP="00A20065">
          <w:pPr>
            <w:pStyle w:val="TOCHeading"/>
            <w:spacing w:after="240" w:line="360" w:lineRule="auto"/>
            <w:jc w:val="center"/>
            <w:rPr>
              <w:rFonts w:ascii="Arial" w:hAnsi="Arial" w:cs="Arial"/>
              <w:b/>
              <w:color w:val="000000" w:themeColor="text1"/>
              <w:sz w:val="24"/>
              <w:szCs w:val="24"/>
            </w:rPr>
          </w:pPr>
        </w:p>
        <w:p w14:paraId="5AB54B98" w14:textId="22DED31F" w:rsidR="00A20065" w:rsidRDefault="00A20065" w:rsidP="00A20065">
          <w:pPr>
            <w:pStyle w:val="TOC1"/>
            <w:tabs>
              <w:tab w:val="right" w:leader="dot" w:pos="9350"/>
            </w:tabs>
            <w:rPr>
              <w:rFonts w:asciiTheme="minorHAnsi" w:eastAsiaTheme="minorEastAsia" w:hAnsiTheme="minorHAnsi" w:cstheme="minorBidi"/>
              <w:noProof/>
              <w:lang w:val="en-IN" w:eastAsia="en-IN"/>
            </w:rPr>
          </w:pPr>
          <w:r>
            <w:rPr>
              <w:szCs w:val="24"/>
            </w:rPr>
            <w:fldChar w:fldCharType="begin"/>
          </w:r>
          <w:r>
            <w:rPr>
              <w:szCs w:val="24"/>
            </w:rPr>
            <w:instrText xml:space="preserve"> TOC \o "1-3" \h \z \u </w:instrText>
          </w:r>
          <w:r>
            <w:rPr>
              <w:szCs w:val="24"/>
            </w:rPr>
            <w:fldChar w:fldCharType="separate"/>
          </w:r>
        </w:p>
        <w:p w14:paraId="0252466F" w14:textId="3CAE1C1F" w:rsidR="00A20065" w:rsidRDefault="00A20065" w:rsidP="00A20065">
          <w:pPr>
            <w:spacing w:after="240"/>
          </w:pPr>
          <w:r>
            <w:rPr>
              <w:b/>
              <w:bCs/>
              <w:noProof/>
              <w:szCs w:val="24"/>
            </w:rPr>
            <w:fldChar w:fldCharType="end"/>
          </w:r>
          <w:r>
            <w:rPr>
              <w:noProof/>
            </w:rPr>
            <w:drawing>
              <wp:inline distT="0" distB="0" distL="0" distR="0" wp14:anchorId="7E79B3CA" wp14:editId="132EDF83">
                <wp:extent cx="5731510" cy="3223895"/>
                <wp:effectExtent l="0" t="0" r="2540" b="0"/>
                <wp:docPr id="11937470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74703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sdtContent>
    </w:sdt>
    <w:p w14:paraId="2964B87D" w14:textId="77777777" w:rsidR="00A20065" w:rsidRDefault="00A20065" w:rsidP="00A20065">
      <w:pPr>
        <w:spacing w:before="200" w:after="200"/>
        <w:jc w:val="center"/>
        <w:rPr>
          <w:b/>
          <w:sz w:val="36"/>
          <w:szCs w:val="36"/>
          <w:lang w:val="en-GB"/>
        </w:rPr>
      </w:pPr>
    </w:p>
    <w:p w14:paraId="53206336" w14:textId="3B608495" w:rsidR="00A20065" w:rsidRDefault="00A20065" w:rsidP="00A20065">
      <w:pPr>
        <w:spacing w:before="200" w:after="200"/>
        <w:rPr>
          <w:lang w:val="en-GB"/>
        </w:rPr>
      </w:pPr>
      <w:bookmarkStart w:id="0" w:name="_6667pxarr3w1"/>
      <w:bookmarkStart w:id="1" w:name="_n98o8jmhcsv2"/>
      <w:bookmarkEnd w:id="0"/>
      <w:bookmarkEnd w:id="1"/>
    </w:p>
    <w:p w14:paraId="2B268C16" w14:textId="77777777" w:rsidR="00A20065" w:rsidRPr="00A20065" w:rsidRDefault="00A20065" w:rsidP="00A20065">
      <w:pPr>
        <w:spacing w:before="200" w:after="200"/>
        <w:jc w:val="center"/>
        <w:rPr>
          <w:b/>
          <w:sz w:val="36"/>
          <w:szCs w:val="36"/>
          <w:lang w:val="en-GB"/>
        </w:rPr>
      </w:pPr>
    </w:p>
    <w:p w14:paraId="1C8ADFC4" w14:textId="77777777" w:rsidR="00A20065" w:rsidRDefault="00A20065" w:rsidP="00A20065">
      <w:pPr>
        <w:pStyle w:val="Heading2"/>
        <w:rPr>
          <w:rFonts w:eastAsia="Arial"/>
          <w:lang w:val="en-GB"/>
        </w:rPr>
      </w:pPr>
      <w:bookmarkStart w:id="2" w:name="_ygc18me4uhat"/>
      <w:bookmarkStart w:id="3" w:name="_Toc158752481"/>
      <w:bookmarkEnd w:id="2"/>
      <w:r>
        <w:rPr>
          <w:rFonts w:eastAsia="Arial"/>
          <w:lang w:val="en-GB"/>
        </w:rPr>
        <w:t>Session 1: Induction</w:t>
      </w:r>
      <w:bookmarkEnd w:id="3"/>
    </w:p>
    <w:p w14:paraId="16B7312E" w14:textId="4086F44F" w:rsidR="00A20065" w:rsidRDefault="00A20065" w:rsidP="00A20065">
      <w:pPr>
        <w:spacing w:before="200" w:after="200"/>
        <w:jc w:val="center"/>
        <w:rPr>
          <w:szCs w:val="24"/>
          <w:lang w:val="en-GB"/>
        </w:rPr>
      </w:pPr>
      <w:r>
        <w:rPr>
          <w:noProof/>
          <w:szCs w:val="24"/>
          <w:lang w:val="en-IN" w:eastAsia="en-IN"/>
        </w:rPr>
        <w:drawing>
          <wp:inline distT="0" distB="0" distL="0" distR="0" wp14:anchorId="25234C27" wp14:editId="3F7682DB">
            <wp:extent cx="5731510" cy="3223895"/>
            <wp:effectExtent l="0" t="0" r="2540" b="0"/>
            <wp:docPr id="1962611526" name="Picture 10" descr="A blue and white pag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611526" name="Picture 10" descr="A blue and white page with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CE6766C" w14:textId="77777777" w:rsidR="00A20065" w:rsidRDefault="00A20065" w:rsidP="00A20065">
      <w:pPr>
        <w:spacing w:before="200" w:after="200"/>
        <w:rPr>
          <w:b/>
          <w:szCs w:val="24"/>
          <w:lang w:val="en-GB"/>
        </w:rPr>
      </w:pPr>
      <w:r>
        <w:rPr>
          <w:szCs w:val="24"/>
          <w:lang w:val="en-GB"/>
        </w:rPr>
        <w:t xml:space="preserve">An effective housekeeping service also attracts the attention of customers and improves organisational behaviour to gain goodwill in the highly competitive marketplace. On the contrary, a poor housekeeping process may bring severe potential risks to the staff in the housekeeping department as well as the guests (Leiter and Bakker, 2010). Concerning that the entire training session is going to identify potential risks in housekeeping procedures and identify the major approaches to mitigate the issues effectively. Eventually, key precautions, procedures, </w:t>
      </w:r>
      <w:proofErr w:type="gramStart"/>
      <w:r>
        <w:rPr>
          <w:szCs w:val="24"/>
          <w:lang w:val="en-GB"/>
        </w:rPr>
        <w:t>equipment</w:t>
      </w:r>
      <w:proofErr w:type="gramEnd"/>
      <w:r>
        <w:rPr>
          <w:szCs w:val="24"/>
          <w:lang w:val="en-GB"/>
        </w:rPr>
        <w:t xml:space="preserve"> and mitigation of hazards related to room maintenance will help to improve professionals' skills in housekeeping practice and improve organisational performance with better customer service.</w:t>
      </w:r>
    </w:p>
    <w:p w14:paraId="0059D65E" w14:textId="77777777" w:rsidR="00A20065" w:rsidRDefault="00A20065" w:rsidP="00A20065">
      <w:pPr>
        <w:pStyle w:val="Heading2"/>
        <w:rPr>
          <w:rFonts w:eastAsia="Arial"/>
          <w:lang w:val="en-GB"/>
        </w:rPr>
      </w:pPr>
      <w:bookmarkStart w:id="4" w:name="_achd3cyhbdfa"/>
      <w:bookmarkStart w:id="5" w:name="_Toc158752482"/>
      <w:bookmarkEnd w:id="4"/>
      <w:r>
        <w:rPr>
          <w:rFonts w:eastAsia="Arial"/>
          <w:lang w:val="en-GB"/>
        </w:rPr>
        <w:lastRenderedPageBreak/>
        <w:t xml:space="preserve">Session 2: Slip and trip </w:t>
      </w:r>
      <w:proofErr w:type="gramStart"/>
      <w:r>
        <w:rPr>
          <w:rFonts w:eastAsia="Arial"/>
          <w:lang w:val="en-GB"/>
        </w:rPr>
        <w:t>hazard</w:t>
      </w:r>
      <w:bookmarkEnd w:id="5"/>
      <w:proofErr w:type="gramEnd"/>
    </w:p>
    <w:p w14:paraId="1181926B" w14:textId="4F58FFAA" w:rsidR="00A20065" w:rsidRDefault="00A20065" w:rsidP="00A20065">
      <w:pPr>
        <w:spacing w:before="200" w:after="200"/>
        <w:jc w:val="center"/>
        <w:rPr>
          <w:szCs w:val="24"/>
          <w:lang w:val="en-GB"/>
        </w:rPr>
      </w:pPr>
      <w:r>
        <w:rPr>
          <w:noProof/>
          <w:szCs w:val="24"/>
          <w:lang w:val="en-IN" w:eastAsia="en-IN"/>
        </w:rPr>
        <w:drawing>
          <wp:inline distT="0" distB="0" distL="0" distR="0" wp14:anchorId="562D3488" wp14:editId="074DD109">
            <wp:extent cx="5731510" cy="3223895"/>
            <wp:effectExtent l="0" t="0" r="2540" b="0"/>
            <wp:docPr id="1013350051" name="Picture 9"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50051" name="Picture 9" descr="A screenshot of a web pag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2DAC42D" w14:textId="77777777" w:rsidR="00A20065" w:rsidRDefault="00A20065" w:rsidP="00A20065">
      <w:pPr>
        <w:spacing w:before="200" w:after="200"/>
        <w:rPr>
          <w:szCs w:val="24"/>
          <w:lang w:val="en-GB"/>
        </w:rPr>
      </w:pPr>
      <w:r>
        <w:rPr>
          <w:szCs w:val="24"/>
          <w:lang w:val="en-GB"/>
        </w:rPr>
        <w:t xml:space="preserve">Slip hazards are a very common hazard in housekeeping services that injure employees as well as guests badly in an organisation. The major reason behind the hazards is smooth floors left damp as well as slippery (Gupta </w:t>
      </w:r>
      <w:r>
        <w:rPr>
          <w:i/>
          <w:szCs w:val="24"/>
          <w:lang w:val="en-GB"/>
        </w:rPr>
        <w:t>et al.</w:t>
      </w:r>
      <w:r>
        <w:rPr>
          <w:szCs w:val="24"/>
          <w:lang w:val="en-GB"/>
        </w:rPr>
        <w:t xml:space="preserve">, 2022). Along with this, often staff in the housekeeping department trail wires from a vacuum machine and it creates a trip hazard for the other staff. The organisational manager needs to be provided with a training session to introduce ways to maintain cleanliness and avoid potential hazards of slips and trips.  </w:t>
      </w:r>
    </w:p>
    <w:p w14:paraId="0DA4C820" w14:textId="77777777" w:rsidR="00A20065" w:rsidRDefault="00A20065" w:rsidP="00A20065">
      <w:pPr>
        <w:pStyle w:val="Heading2"/>
        <w:rPr>
          <w:rFonts w:eastAsia="Arial"/>
          <w:lang w:val="en-GB"/>
        </w:rPr>
      </w:pPr>
      <w:bookmarkStart w:id="6" w:name="_u68oyk6ae73f"/>
      <w:bookmarkStart w:id="7" w:name="_Toc158752483"/>
      <w:bookmarkEnd w:id="6"/>
      <w:r>
        <w:rPr>
          <w:rFonts w:eastAsia="Arial"/>
          <w:lang w:val="en-GB"/>
        </w:rPr>
        <w:lastRenderedPageBreak/>
        <w:t>Session 3: Mitigation of slip hazard</w:t>
      </w:r>
      <w:bookmarkEnd w:id="7"/>
    </w:p>
    <w:p w14:paraId="059E2E26" w14:textId="68838D22" w:rsidR="00A20065" w:rsidRDefault="00A20065" w:rsidP="00A20065">
      <w:pPr>
        <w:spacing w:before="200" w:after="200"/>
        <w:jc w:val="center"/>
        <w:rPr>
          <w:szCs w:val="24"/>
          <w:lang w:val="en-GB"/>
        </w:rPr>
      </w:pPr>
      <w:r>
        <w:rPr>
          <w:noProof/>
          <w:szCs w:val="24"/>
          <w:lang w:val="en-IN" w:eastAsia="en-IN"/>
        </w:rPr>
        <w:drawing>
          <wp:inline distT="0" distB="0" distL="0" distR="0" wp14:anchorId="1F45205F" wp14:editId="2F9454BC">
            <wp:extent cx="5731510" cy="3223895"/>
            <wp:effectExtent l="0" t="0" r="2540" b="0"/>
            <wp:docPr id="3730893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05D15F6" w14:textId="77777777" w:rsidR="00A20065" w:rsidRDefault="00A20065" w:rsidP="00A20065">
      <w:pPr>
        <w:spacing w:before="200" w:after="200"/>
        <w:rPr>
          <w:szCs w:val="24"/>
          <w:lang w:val="en-GB"/>
        </w:rPr>
      </w:pPr>
      <w:r>
        <w:rPr>
          <w:szCs w:val="24"/>
          <w:lang w:val="en-GB"/>
        </w:rPr>
        <w:t xml:space="preserve">Cleaning all the spills immediately helps to avoid slip hazards in a hotel organisation. Focusing on the concern of wet floors, the staff of the departments need to maintain mopping or sweeping debris from floors and identifying the areas with spills and wet will help to avoid slip hazards in the future. Along with this, removing all the obstacles from the always as well as keeping walkways free of clutter also will help to avoid potential hazards in the workplace (Lu </w:t>
      </w:r>
      <w:r>
        <w:rPr>
          <w:i/>
          <w:szCs w:val="24"/>
          <w:lang w:val="en-GB"/>
        </w:rPr>
        <w:t>et al.</w:t>
      </w:r>
      <w:r>
        <w:rPr>
          <w:szCs w:val="24"/>
          <w:lang w:val="en-GB"/>
        </w:rPr>
        <w:t xml:space="preserve">, 2020). Most importantly, it will satisfy guests as they will get better housekeeping service at the organisation and would like to visit the organisation again. </w:t>
      </w:r>
    </w:p>
    <w:p w14:paraId="2E205403" w14:textId="77777777" w:rsidR="00A20065" w:rsidRDefault="00A20065" w:rsidP="00A20065">
      <w:pPr>
        <w:pStyle w:val="Heading2"/>
        <w:rPr>
          <w:rFonts w:eastAsia="Arial"/>
          <w:lang w:val="en-GB"/>
        </w:rPr>
      </w:pPr>
      <w:bookmarkStart w:id="8" w:name="_own298n2vtnb"/>
      <w:bookmarkStart w:id="9" w:name="_Toc158752484"/>
      <w:bookmarkEnd w:id="8"/>
      <w:r>
        <w:rPr>
          <w:rFonts w:eastAsia="Arial"/>
          <w:lang w:val="en-GB"/>
        </w:rPr>
        <w:lastRenderedPageBreak/>
        <w:t>Session 4: Chemical Exposure</w:t>
      </w:r>
      <w:bookmarkEnd w:id="9"/>
    </w:p>
    <w:p w14:paraId="2943C22B" w14:textId="2536F5E7" w:rsidR="00A20065" w:rsidRDefault="00A20065" w:rsidP="00A20065">
      <w:pPr>
        <w:spacing w:before="200" w:after="200"/>
        <w:jc w:val="center"/>
        <w:rPr>
          <w:szCs w:val="24"/>
          <w:lang w:val="en-GB"/>
        </w:rPr>
      </w:pPr>
      <w:r>
        <w:rPr>
          <w:noProof/>
          <w:szCs w:val="24"/>
          <w:lang w:val="en-IN" w:eastAsia="en-IN"/>
        </w:rPr>
        <w:drawing>
          <wp:inline distT="0" distB="0" distL="0" distR="0" wp14:anchorId="39F7A39F" wp14:editId="7E0BC950">
            <wp:extent cx="5731510" cy="3223895"/>
            <wp:effectExtent l="0" t="0" r="2540" b="0"/>
            <wp:docPr id="675750704" name="Picture 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750704" name="Picture 7"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77CC59D" w14:textId="77777777" w:rsidR="00A20065" w:rsidRDefault="00A20065" w:rsidP="00A20065">
      <w:pPr>
        <w:spacing w:before="200" w:after="200"/>
        <w:rPr>
          <w:szCs w:val="24"/>
          <w:lang w:val="en-GB"/>
        </w:rPr>
      </w:pPr>
      <w:r>
        <w:rPr>
          <w:szCs w:val="24"/>
          <w:lang w:val="en-GB"/>
        </w:rPr>
        <w:t xml:space="preserve">Chemicals are essential materials in housekeeping practice in hotel management practices. On the contrary, often cleaning chemicals contain severely dangerous ingredients which may create potential hazards of health issues (Rai </w:t>
      </w:r>
      <w:r>
        <w:rPr>
          <w:i/>
          <w:szCs w:val="24"/>
          <w:lang w:val="en-GB"/>
        </w:rPr>
        <w:t>et al.</w:t>
      </w:r>
      <w:r>
        <w:rPr>
          <w:szCs w:val="24"/>
          <w:lang w:val="en-GB"/>
        </w:rPr>
        <w:t xml:space="preserve">, 2020). The staff in the housekeeping department may face breathing problems and allergic symptoms on their skills due to chemical exposure. Concerning that the organisational manager and leader of the housekeeping team need to be aware and take initiative to avoid the hazards due to chemical usage in the procedure of cleanliness. </w:t>
      </w:r>
    </w:p>
    <w:p w14:paraId="78B5D147" w14:textId="77777777" w:rsidR="00A20065" w:rsidRDefault="00A20065" w:rsidP="00A20065">
      <w:pPr>
        <w:pStyle w:val="Heading2"/>
        <w:rPr>
          <w:rFonts w:eastAsia="Arial"/>
          <w:lang w:val="en-GB"/>
        </w:rPr>
      </w:pPr>
      <w:bookmarkStart w:id="10" w:name="_ofxmk9ejqu4e"/>
      <w:bookmarkStart w:id="11" w:name="_Toc158752485"/>
      <w:bookmarkEnd w:id="10"/>
      <w:r>
        <w:rPr>
          <w:rFonts w:eastAsia="Arial"/>
          <w:lang w:val="en-GB"/>
        </w:rPr>
        <w:lastRenderedPageBreak/>
        <w:t>Session 5: Mitigation of Chemical Exposure</w:t>
      </w:r>
      <w:bookmarkEnd w:id="11"/>
    </w:p>
    <w:p w14:paraId="722A884D" w14:textId="39C6207E" w:rsidR="00A20065" w:rsidRDefault="00A20065" w:rsidP="00A20065">
      <w:pPr>
        <w:spacing w:before="200" w:after="200"/>
        <w:jc w:val="center"/>
        <w:rPr>
          <w:szCs w:val="24"/>
          <w:lang w:val="en-GB"/>
        </w:rPr>
      </w:pPr>
      <w:r>
        <w:rPr>
          <w:noProof/>
          <w:szCs w:val="24"/>
          <w:lang w:val="en-IN" w:eastAsia="en-IN"/>
        </w:rPr>
        <w:drawing>
          <wp:inline distT="0" distB="0" distL="0" distR="0" wp14:anchorId="6C4CCCB2" wp14:editId="25474245">
            <wp:extent cx="5731510" cy="3223895"/>
            <wp:effectExtent l="0" t="0" r="2540" b="0"/>
            <wp:docPr id="452585599" name="Picture 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585599" name="Picture 6" descr="A close-up of a documen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4BBE762" w14:textId="77777777" w:rsidR="00A20065" w:rsidRDefault="00A20065" w:rsidP="00A20065">
      <w:pPr>
        <w:spacing w:before="200" w:after="200"/>
        <w:rPr>
          <w:szCs w:val="24"/>
          <w:lang w:val="en-GB"/>
        </w:rPr>
      </w:pPr>
      <w:r>
        <w:rPr>
          <w:szCs w:val="24"/>
          <w:lang w:val="en-GB"/>
        </w:rPr>
        <w:t>The leaders of the housekeeping team need to be focused on the quality of chemicals and evaluate the supply chain of the product effectively. Analysing the hidden chemicals by recognising whether that is dangerous or not the leader needs to buy the products effectively (</w:t>
      </w:r>
      <w:proofErr w:type="spellStart"/>
      <w:r>
        <w:rPr>
          <w:szCs w:val="24"/>
          <w:lang w:val="en-GB"/>
        </w:rPr>
        <w:t>Kwiotkowska</w:t>
      </w:r>
      <w:proofErr w:type="spellEnd"/>
      <w:r>
        <w:rPr>
          <w:szCs w:val="24"/>
          <w:lang w:val="en-GB"/>
        </w:rPr>
        <w:t xml:space="preserve"> </w:t>
      </w:r>
      <w:r>
        <w:rPr>
          <w:i/>
          <w:szCs w:val="24"/>
          <w:lang w:val="en-GB"/>
        </w:rPr>
        <w:t>et al.</w:t>
      </w:r>
      <w:r>
        <w:rPr>
          <w:szCs w:val="24"/>
          <w:lang w:val="en-GB"/>
        </w:rPr>
        <w:t xml:space="preserve">, 2022). Apart from this, proper use of gloves, masks, or further protective devices will help to reduce contact with the chemicals. Consequently, the leaders will ensure a healthy and safe work environment and avoid potential risks related to chemical exposure in the future (Sharma </w:t>
      </w:r>
      <w:r>
        <w:rPr>
          <w:i/>
          <w:szCs w:val="24"/>
          <w:lang w:val="en-GB"/>
        </w:rPr>
        <w:t>et al.</w:t>
      </w:r>
      <w:r>
        <w:rPr>
          <w:szCs w:val="24"/>
          <w:lang w:val="en-GB"/>
        </w:rPr>
        <w:t xml:space="preserve">, 2019). The entire process will help to improve organisational behaviour towards employment management and attract external stakeholders to maintain sustainability in the highly competitive business environment. </w:t>
      </w:r>
    </w:p>
    <w:p w14:paraId="17A88CB8" w14:textId="77777777" w:rsidR="00A20065" w:rsidRDefault="00A20065" w:rsidP="00A20065">
      <w:pPr>
        <w:pStyle w:val="Heading2"/>
        <w:rPr>
          <w:rFonts w:eastAsia="Arial"/>
          <w:lang w:val="en-GB"/>
        </w:rPr>
      </w:pPr>
      <w:bookmarkStart w:id="12" w:name="_5eq09cgmbj95"/>
      <w:bookmarkStart w:id="13" w:name="_Toc158752486"/>
      <w:bookmarkEnd w:id="12"/>
      <w:r>
        <w:rPr>
          <w:rFonts w:eastAsia="Arial"/>
          <w:lang w:val="en-GB"/>
        </w:rPr>
        <w:lastRenderedPageBreak/>
        <w:t>Session 6: Strain and Sprain Hazards</w:t>
      </w:r>
      <w:bookmarkEnd w:id="13"/>
    </w:p>
    <w:p w14:paraId="382B3AD2" w14:textId="770B3B5E" w:rsidR="00A20065" w:rsidRDefault="00A20065" w:rsidP="00A20065">
      <w:pPr>
        <w:spacing w:before="200" w:after="200"/>
        <w:rPr>
          <w:szCs w:val="24"/>
          <w:lang w:val="en-GB"/>
        </w:rPr>
      </w:pPr>
      <w:r>
        <w:rPr>
          <w:noProof/>
          <w:szCs w:val="24"/>
          <w:lang w:val="en-IN" w:eastAsia="en-IN"/>
        </w:rPr>
        <w:drawing>
          <wp:inline distT="0" distB="0" distL="0" distR="0" wp14:anchorId="5955C2DF" wp14:editId="468853FF">
            <wp:extent cx="5731510" cy="3223895"/>
            <wp:effectExtent l="0" t="0" r="2540" b="0"/>
            <wp:docPr id="855358191" name="Picture 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358191" name="Picture 5" descr="A close-up of a documen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D7C6B2B" w14:textId="77777777" w:rsidR="00A20065" w:rsidRDefault="00A20065" w:rsidP="00A20065">
      <w:pPr>
        <w:spacing w:before="200" w:after="200"/>
        <w:rPr>
          <w:szCs w:val="24"/>
          <w:lang w:val="en-GB"/>
        </w:rPr>
      </w:pPr>
      <w:r>
        <w:rPr>
          <w:szCs w:val="24"/>
          <w:lang w:val="en-GB"/>
        </w:rPr>
        <w:t xml:space="preserve">Often employees or staff in the housekeeping department need to move different types of machines such as vacuum cleaners more manually. During the time of moving the heavy machines from one place to another place, the staff of the housekeeping team often face issues of strain and sprain hazards. The potential hazards may lead to repetitive stress injuries including carpal tunnel syndrome, </w:t>
      </w:r>
      <w:proofErr w:type="gramStart"/>
      <w:r>
        <w:rPr>
          <w:szCs w:val="24"/>
          <w:lang w:val="en-GB"/>
        </w:rPr>
        <w:t>tendonitis</w:t>
      </w:r>
      <w:proofErr w:type="gramEnd"/>
      <w:r>
        <w:rPr>
          <w:szCs w:val="24"/>
          <w:lang w:val="en-GB"/>
        </w:rPr>
        <w:t xml:space="preserve"> and back pains (Hamid </w:t>
      </w:r>
      <w:r>
        <w:rPr>
          <w:i/>
          <w:szCs w:val="24"/>
          <w:lang w:val="en-GB"/>
        </w:rPr>
        <w:t>et al.</w:t>
      </w:r>
      <w:r>
        <w:rPr>
          <w:szCs w:val="24"/>
          <w:lang w:val="en-GB"/>
        </w:rPr>
        <w:t xml:space="preserve">, 2020). Eventually, it may become a barrier to continuing their respective jobs properly with proper efficiency and effectiveness. </w:t>
      </w:r>
    </w:p>
    <w:p w14:paraId="59284B81" w14:textId="77777777" w:rsidR="00A20065" w:rsidRDefault="00A20065" w:rsidP="00A20065">
      <w:pPr>
        <w:pStyle w:val="Heading2"/>
        <w:rPr>
          <w:rFonts w:eastAsia="Arial"/>
          <w:lang w:val="en-GB"/>
        </w:rPr>
      </w:pPr>
      <w:bookmarkStart w:id="14" w:name="_vfaakrtso44l"/>
      <w:bookmarkStart w:id="15" w:name="_Toc158752487"/>
      <w:bookmarkEnd w:id="14"/>
      <w:r>
        <w:rPr>
          <w:rFonts w:eastAsia="Arial"/>
          <w:lang w:val="en-GB"/>
        </w:rPr>
        <w:lastRenderedPageBreak/>
        <w:t>Session 7: Mitigation of Strain and Sprain Hazards</w:t>
      </w:r>
      <w:bookmarkEnd w:id="15"/>
    </w:p>
    <w:p w14:paraId="79E56981" w14:textId="147E18A2" w:rsidR="00A20065" w:rsidRDefault="00A20065" w:rsidP="00A20065">
      <w:pPr>
        <w:spacing w:before="200" w:after="200"/>
        <w:jc w:val="center"/>
        <w:rPr>
          <w:szCs w:val="24"/>
          <w:lang w:val="en-GB"/>
        </w:rPr>
      </w:pPr>
      <w:r>
        <w:rPr>
          <w:noProof/>
          <w:szCs w:val="24"/>
          <w:lang w:val="en-IN" w:eastAsia="en-IN"/>
        </w:rPr>
        <w:drawing>
          <wp:inline distT="0" distB="0" distL="0" distR="0" wp14:anchorId="4A21C8BE" wp14:editId="705C0022">
            <wp:extent cx="5731510" cy="3223895"/>
            <wp:effectExtent l="0" t="0" r="2540" b="0"/>
            <wp:docPr id="875406724" name="Picture 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406724" name="Picture 4" descr="A close-up of a documen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10D6B4D" w14:textId="77777777" w:rsidR="00A20065" w:rsidRDefault="00A20065" w:rsidP="00A20065">
      <w:pPr>
        <w:spacing w:before="200" w:after="200"/>
        <w:rPr>
          <w:b/>
          <w:szCs w:val="24"/>
          <w:lang w:val="en-GB"/>
        </w:rPr>
      </w:pPr>
      <w:r>
        <w:rPr>
          <w:szCs w:val="24"/>
          <w:lang w:val="en-GB"/>
        </w:rPr>
        <w:t xml:space="preserve">Concerning the issues related to Strain and Sprain Hazards the organisational manager of the firm needs to be focused on providing facilities to the workers to avoid such movement of heavy machines manually. Along with this, professional practitioners also need to be focused on adopting advanced technologies for moving the machines easily. The entire process will help to prevent the potential hazard at the workplace and provide a healthy safe work environment to the employees effectively (Dennerlein </w:t>
      </w:r>
      <w:r>
        <w:rPr>
          <w:i/>
          <w:szCs w:val="24"/>
          <w:lang w:val="en-GB"/>
        </w:rPr>
        <w:t>et al.</w:t>
      </w:r>
      <w:r>
        <w:rPr>
          <w:szCs w:val="24"/>
          <w:lang w:val="en-GB"/>
        </w:rPr>
        <w:t xml:space="preserve">, 2020). Further, the staff of the department also need to be focused on enhancing the ability to use the technologies properly and avoid risk in the future. </w:t>
      </w:r>
    </w:p>
    <w:p w14:paraId="2ADA697A" w14:textId="77777777" w:rsidR="00A20065" w:rsidRDefault="00A20065" w:rsidP="00A20065">
      <w:pPr>
        <w:pStyle w:val="Heading2"/>
        <w:rPr>
          <w:rFonts w:eastAsia="Arial"/>
          <w:lang w:val="en-GB"/>
        </w:rPr>
      </w:pPr>
      <w:bookmarkStart w:id="16" w:name="_zcaqu5oz9mkc"/>
      <w:bookmarkStart w:id="17" w:name="_Toc158752488"/>
      <w:bookmarkEnd w:id="16"/>
      <w:r>
        <w:rPr>
          <w:rFonts w:eastAsia="Arial"/>
          <w:lang w:val="en-GB"/>
        </w:rPr>
        <w:lastRenderedPageBreak/>
        <w:t>Session 8: Precautions, Procedures and Equipment</w:t>
      </w:r>
      <w:bookmarkEnd w:id="17"/>
      <w:r>
        <w:rPr>
          <w:rFonts w:eastAsia="Arial"/>
          <w:lang w:val="en-GB"/>
        </w:rPr>
        <w:t xml:space="preserve"> </w:t>
      </w:r>
    </w:p>
    <w:p w14:paraId="180D3494" w14:textId="7721A9FF" w:rsidR="00A20065" w:rsidRDefault="00A20065" w:rsidP="00A20065">
      <w:pPr>
        <w:spacing w:before="200" w:after="200"/>
        <w:jc w:val="center"/>
        <w:rPr>
          <w:szCs w:val="24"/>
          <w:lang w:val="en-GB"/>
        </w:rPr>
      </w:pPr>
      <w:r>
        <w:rPr>
          <w:noProof/>
          <w:szCs w:val="24"/>
          <w:lang w:val="en-IN" w:eastAsia="en-IN"/>
        </w:rPr>
        <w:drawing>
          <wp:inline distT="0" distB="0" distL="0" distR="0" wp14:anchorId="0D1EF1CD" wp14:editId="56BEF74A">
            <wp:extent cx="5731510" cy="3223895"/>
            <wp:effectExtent l="0" t="0" r="2540" b="0"/>
            <wp:docPr id="1700123921" name="Picture 3" descr="A blue and white sig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123921" name="Picture 3" descr="A blue and white sign with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DA6E1A4" w14:textId="77777777" w:rsidR="00A20065" w:rsidRDefault="00A20065" w:rsidP="00A20065">
      <w:pPr>
        <w:spacing w:before="200" w:after="200"/>
        <w:rPr>
          <w:szCs w:val="24"/>
          <w:lang w:val="en-GB"/>
        </w:rPr>
      </w:pPr>
      <w:r>
        <w:rPr>
          <w:szCs w:val="24"/>
          <w:lang w:val="en-GB"/>
        </w:rPr>
        <w:t xml:space="preserve">Maintaining precaution is one of the key aspects of managerial practice in a hotel organisation. In this case, cleaning up spills, ventilating rooms before cleaning, using floor safety signs, safety persuasion during cleaning, avoiding cross contaminations and more are the key precautions in housekeeping practices (Wenning and Vieyra, 2020). Concerning key precautions, the staff members need to be focused on planned procedures that include wiping and disinfecting, making beds, cleaning bathrooms, removing rubbish, cleaning the floor and more. Eventually, using proper technologies, </w:t>
      </w:r>
      <w:proofErr w:type="gramStart"/>
      <w:r>
        <w:rPr>
          <w:szCs w:val="24"/>
          <w:lang w:val="en-GB"/>
        </w:rPr>
        <w:t>equipment</w:t>
      </w:r>
      <w:proofErr w:type="gramEnd"/>
      <w:r>
        <w:rPr>
          <w:szCs w:val="24"/>
          <w:lang w:val="en-GB"/>
        </w:rPr>
        <w:t xml:space="preserve"> and tools the staff need to accomplish all the tasks of cleaning appropriately and ensure guests a clean and better internal environment. </w:t>
      </w:r>
    </w:p>
    <w:p w14:paraId="162B1C2F" w14:textId="77777777" w:rsidR="00A20065" w:rsidRDefault="00A20065" w:rsidP="00A20065">
      <w:pPr>
        <w:pStyle w:val="Heading2"/>
        <w:rPr>
          <w:rFonts w:eastAsia="Arial"/>
          <w:lang w:val="en-GB"/>
        </w:rPr>
      </w:pPr>
      <w:bookmarkStart w:id="18" w:name="_j0apb41z6lde"/>
      <w:bookmarkStart w:id="19" w:name="_Toc158752489"/>
      <w:bookmarkEnd w:id="18"/>
      <w:r>
        <w:rPr>
          <w:rFonts w:eastAsia="Arial"/>
          <w:lang w:val="en-GB"/>
        </w:rPr>
        <w:lastRenderedPageBreak/>
        <w:t>Session 9: Hazards in room maintenance and mitigations</w:t>
      </w:r>
      <w:bookmarkEnd w:id="19"/>
    </w:p>
    <w:p w14:paraId="0EE4F51E" w14:textId="63D91897" w:rsidR="00A20065" w:rsidRDefault="00A20065" w:rsidP="00A20065">
      <w:pPr>
        <w:spacing w:before="200" w:after="200"/>
        <w:jc w:val="center"/>
        <w:rPr>
          <w:szCs w:val="24"/>
          <w:lang w:val="en-GB"/>
        </w:rPr>
      </w:pPr>
      <w:r>
        <w:rPr>
          <w:noProof/>
          <w:szCs w:val="24"/>
          <w:lang w:val="en-IN" w:eastAsia="en-IN"/>
        </w:rPr>
        <w:drawing>
          <wp:inline distT="0" distB="0" distL="0" distR="0" wp14:anchorId="772EF19A" wp14:editId="54A89E98">
            <wp:extent cx="5731510" cy="3223895"/>
            <wp:effectExtent l="0" t="0" r="2540" b="0"/>
            <wp:docPr id="1623865758"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65758" name="Picture 2" descr="A close-up of a sig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09C42AA" w14:textId="77777777" w:rsidR="00A20065" w:rsidRDefault="00A20065" w:rsidP="00A20065">
      <w:pPr>
        <w:spacing w:before="200" w:after="200"/>
        <w:rPr>
          <w:szCs w:val="24"/>
          <w:lang w:val="en-GB"/>
        </w:rPr>
      </w:pPr>
      <w:r>
        <w:rPr>
          <w:szCs w:val="24"/>
          <w:lang w:val="en-GB"/>
        </w:rPr>
        <w:t>Staff also face severe hazards during the time of room maintenance that also need to be mitigated adequately by using appropriate techniques. Incorrect flooring is one of the major hazards in room maintenance and using floor-safe signs and use of the right product including mops and liquids chemicals can be mitigated (Burke, 2021). Further, maintaining a gap between the mask and the face will help prevent the hazards of an uncovered face during cleaning and avoid chemical exposure. Eventually, proper use of open-backed cabinets over the uncovered electronic socket will help to mitigate the hazard of uncovered electronic sockets and ensure a safe work environment.</w:t>
      </w:r>
    </w:p>
    <w:p w14:paraId="05B6212B" w14:textId="77777777" w:rsidR="00A20065" w:rsidRDefault="00A20065" w:rsidP="00A20065">
      <w:pPr>
        <w:pStyle w:val="Heading2"/>
        <w:rPr>
          <w:rFonts w:eastAsia="Arial"/>
          <w:lang w:val="en-GB"/>
        </w:rPr>
      </w:pPr>
      <w:bookmarkStart w:id="20" w:name="_8sd1l8q4v466"/>
      <w:bookmarkStart w:id="21" w:name="_Toc158752490"/>
      <w:bookmarkEnd w:id="20"/>
      <w:r>
        <w:rPr>
          <w:rFonts w:eastAsia="Arial"/>
          <w:lang w:val="en-GB"/>
        </w:rPr>
        <w:lastRenderedPageBreak/>
        <w:t>Conclusion</w:t>
      </w:r>
      <w:bookmarkEnd w:id="21"/>
    </w:p>
    <w:p w14:paraId="372324F2" w14:textId="405AED44" w:rsidR="00A20065" w:rsidRDefault="00A20065" w:rsidP="00A20065">
      <w:pPr>
        <w:spacing w:before="200" w:after="200"/>
        <w:jc w:val="center"/>
        <w:rPr>
          <w:szCs w:val="24"/>
          <w:lang w:val="en-GB"/>
        </w:rPr>
      </w:pPr>
      <w:r>
        <w:rPr>
          <w:noProof/>
          <w:szCs w:val="24"/>
          <w:lang w:val="en-IN" w:eastAsia="en-IN"/>
        </w:rPr>
        <w:drawing>
          <wp:inline distT="0" distB="0" distL="0" distR="0" wp14:anchorId="5EF7A09F" wp14:editId="03070BC3">
            <wp:extent cx="5731510" cy="3223895"/>
            <wp:effectExtent l="0" t="0" r="2540" b="0"/>
            <wp:docPr id="322484760"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84760" name="Picture 1" descr="A close-up of a pap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A4D3156" w14:textId="77777777" w:rsidR="00A20065" w:rsidRDefault="00A20065" w:rsidP="00A20065">
      <w:pPr>
        <w:spacing w:before="200" w:after="200"/>
        <w:rPr>
          <w:b/>
          <w:szCs w:val="24"/>
          <w:lang w:val="en-GB"/>
        </w:rPr>
      </w:pPr>
      <w:r>
        <w:rPr>
          <w:szCs w:val="24"/>
          <w:lang w:val="en-GB"/>
        </w:rPr>
        <w:t xml:space="preserve">The entire study described the key details of the potential hazards in housekeeping practice in the hotel industry. In this case, it can be concluded that the team in the housekeeping department needs to be focused on maintaining all the precautions, </w:t>
      </w:r>
      <w:proofErr w:type="gramStart"/>
      <w:r>
        <w:rPr>
          <w:szCs w:val="24"/>
          <w:lang w:val="en-GB"/>
        </w:rPr>
        <w:t>procedures</w:t>
      </w:r>
      <w:proofErr w:type="gramEnd"/>
      <w:r>
        <w:rPr>
          <w:szCs w:val="24"/>
          <w:lang w:val="en-GB"/>
        </w:rPr>
        <w:t xml:space="preserve"> and equipment properly to avoid potential hazards in the workplace. Further, by using appropriate floor safety signs, open-backed cabinets, advanced technologies and more the staff will be able to mitigate the potential hazards in housekeeping services. Eventually it will help to enhance professional skills in hotel management practices and bring career development opportunities for future growth. </w:t>
      </w:r>
    </w:p>
    <w:p w14:paraId="5E6A8D87" w14:textId="77777777" w:rsidR="00A20065" w:rsidRDefault="00A20065" w:rsidP="00A20065">
      <w:pPr>
        <w:spacing w:before="200" w:after="200"/>
        <w:rPr>
          <w:b/>
          <w:szCs w:val="24"/>
          <w:lang w:val="en-GB"/>
        </w:rPr>
      </w:pPr>
      <w:r>
        <w:rPr>
          <w:lang w:val="en-GB"/>
        </w:rPr>
        <w:br w:type="page"/>
      </w:r>
    </w:p>
    <w:p w14:paraId="38C4535A" w14:textId="77777777" w:rsidR="00A20065" w:rsidRDefault="00A20065" w:rsidP="00A20065">
      <w:pPr>
        <w:pStyle w:val="Heading1"/>
        <w:rPr>
          <w:rFonts w:eastAsia="Arial"/>
          <w:lang w:val="en-GB"/>
        </w:rPr>
      </w:pPr>
      <w:bookmarkStart w:id="22" w:name="_kk3tdkmytrrv"/>
      <w:bookmarkStart w:id="23" w:name="_Toc158752491"/>
      <w:bookmarkEnd w:id="22"/>
      <w:r>
        <w:rPr>
          <w:rFonts w:eastAsia="Arial"/>
          <w:lang w:val="en-GB"/>
        </w:rPr>
        <w:lastRenderedPageBreak/>
        <w:t>Reference list</w:t>
      </w:r>
      <w:bookmarkEnd w:id="23"/>
      <w:r>
        <w:rPr>
          <w:rFonts w:eastAsia="Arial"/>
          <w:lang w:val="en-GB"/>
        </w:rPr>
        <w:t xml:space="preserve"> </w:t>
      </w:r>
    </w:p>
    <w:p w14:paraId="5EBE7F55" w14:textId="77777777" w:rsidR="00A20065" w:rsidRDefault="00A20065" w:rsidP="00A20065">
      <w:pPr>
        <w:spacing w:before="200" w:after="200"/>
        <w:rPr>
          <w:szCs w:val="24"/>
          <w:lang w:val="en-GB"/>
        </w:rPr>
      </w:pPr>
      <w:r>
        <w:rPr>
          <w:szCs w:val="24"/>
          <w:lang w:val="en-GB"/>
        </w:rPr>
        <w:t xml:space="preserve">Bridger, E. 2018. </w:t>
      </w:r>
      <w:r>
        <w:rPr>
          <w:i/>
          <w:szCs w:val="24"/>
          <w:lang w:val="en-GB"/>
        </w:rPr>
        <w:t>Employee engagement: a practical introduction.</w:t>
      </w:r>
      <w:r>
        <w:rPr>
          <w:szCs w:val="24"/>
          <w:lang w:val="en-GB"/>
        </w:rPr>
        <w:t xml:space="preserve"> 2nd ed. HR Fundamentals. London: CIPD and Kogan Page. </w:t>
      </w:r>
    </w:p>
    <w:p w14:paraId="4D27BF56" w14:textId="77777777" w:rsidR="00A20065" w:rsidRDefault="00A20065" w:rsidP="00A20065">
      <w:pPr>
        <w:spacing w:before="200" w:after="200"/>
        <w:rPr>
          <w:szCs w:val="24"/>
          <w:highlight w:val="white"/>
          <w:lang w:val="en-GB"/>
        </w:rPr>
      </w:pPr>
      <w:r>
        <w:rPr>
          <w:szCs w:val="24"/>
          <w:highlight w:val="white"/>
          <w:lang w:val="en-GB"/>
        </w:rPr>
        <w:t xml:space="preserve">Burke, J.L., 2021. </w:t>
      </w:r>
      <w:r>
        <w:rPr>
          <w:i/>
          <w:szCs w:val="24"/>
          <w:highlight w:val="white"/>
          <w:lang w:val="en-GB"/>
        </w:rPr>
        <w:t>In the Moon of Red Ponies: A Novel</w:t>
      </w:r>
      <w:r>
        <w:rPr>
          <w:szCs w:val="24"/>
          <w:highlight w:val="white"/>
          <w:lang w:val="en-GB"/>
        </w:rPr>
        <w:t>. Simon and Schuster.</w:t>
      </w:r>
    </w:p>
    <w:p w14:paraId="08E42FD2" w14:textId="77777777" w:rsidR="00A20065" w:rsidRDefault="00A20065" w:rsidP="00A20065">
      <w:pPr>
        <w:spacing w:before="200" w:after="200"/>
        <w:rPr>
          <w:szCs w:val="24"/>
          <w:lang w:val="en-GB"/>
        </w:rPr>
      </w:pPr>
      <w:r>
        <w:rPr>
          <w:szCs w:val="24"/>
          <w:lang w:val="en-GB"/>
        </w:rPr>
        <w:t xml:space="preserve">Cottrell, S. 2019. </w:t>
      </w:r>
      <w:r>
        <w:rPr>
          <w:i/>
          <w:szCs w:val="24"/>
          <w:lang w:val="en-GB"/>
        </w:rPr>
        <w:t>The Study Skills Handbook.</w:t>
      </w:r>
      <w:r>
        <w:rPr>
          <w:szCs w:val="24"/>
          <w:lang w:val="en-GB"/>
        </w:rPr>
        <w:t xml:space="preserve"> 5th ed. London: Red Globe Press.</w:t>
      </w:r>
    </w:p>
    <w:p w14:paraId="350B3C25" w14:textId="77777777" w:rsidR="00A20065" w:rsidRDefault="00A20065" w:rsidP="00A20065">
      <w:pPr>
        <w:spacing w:before="200" w:after="200"/>
        <w:rPr>
          <w:szCs w:val="24"/>
          <w:highlight w:val="white"/>
          <w:lang w:val="en-GB"/>
        </w:rPr>
      </w:pPr>
      <w:r>
        <w:rPr>
          <w:szCs w:val="24"/>
          <w:highlight w:val="white"/>
          <w:lang w:val="en-GB"/>
        </w:rPr>
        <w:t xml:space="preserve">Dennerlein, J.T., Burke, L., Sabbath, E.L., Williams, J.A., Peters, S.E., Wallace, L., </w:t>
      </w:r>
      <w:proofErr w:type="spellStart"/>
      <w:r>
        <w:rPr>
          <w:szCs w:val="24"/>
          <w:highlight w:val="white"/>
          <w:lang w:val="en-GB"/>
        </w:rPr>
        <w:t>Karapanos</w:t>
      </w:r>
      <w:proofErr w:type="spellEnd"/>
      <w:r>
        <w:rPr>
          <w:szCs w:val="24"/>
          <w:highlight w:val="white"/>
          <w:lang w:val="en-GB"/>
        </w:rPr>
        <w:t xml:space="preserve">, M. and Sorensen, G., 2020. An integrative total worker health framework for keeping workers safe and healthy during the COVID-19 pandemic. </w:t>
      </w:r>
      <w:r>
        <w:rPr>
          <w:i/>
          <w:szCs w:val="24"/>
          <w:highlight w:val="white"/>
          <w:lang w:val="en-GB"/>
        </w:rPr>
        <w:t>Human factors</w:t>
      </w:r>
      <w:r>
        <w:rPr>
          <w:szCs w:val="24"/>
          <w:highlight w:val="white"/>
          <w:lang w:val="en-GB"/>
        </w:rPr>
        <w:t xml:space="preserve">, </w:t>
      </w:r>
      <w:r>
        <w:rPr>
          <w:i/>
          <w:szCs w:val="24"/>
          <w:highlight w:val="white"/>
          <w:lang w:val="en-GB"/>
        </w:rPr>
        <w:t>62</w:t>
      </w:r>
      <w:r>
        <w:rPr>
          <w:szCs w:val="24"/>
          <w:highlight w:val="white"/>
          <w:lang w:val="en-GB"/>
        </w:rPr>
        <w:t>(5), pp.689-696.</w:t>
      </w:r>
    </w:p>
    <w:p w14:paraId="0B0F1B68" w14:textId="77777777" w:rsidR="00A20065" w:rsidRDefault="00A20065" w:rsidP="00A20065">
      <w:pPr>
        <w:spacing w:before="200" w:after="200"/>
        <w:rPr>
          <w:szCs w:val="24"/>
          <w:lang w:val="en-GB"/>
        </w:rPr>
      </w:pPr>
      <w:r>
        <w:rPr>
          <w:szCs w:val="24"/>
          <w:lang w:val="en-GB"/>
        </w:rPr>
        <w:t>Ferdinand, N. and Kitchin, P. 2017.</w:t>
      </w:r>
      <w:r>
        <w:rPr>
          <w:i/>
          <w:szCs w:val="24"/>
          <w:lang w:val="en-GB"/>
        </w:rPr>
        <w:t xml:space="preserve"> Events Management - An International Approach.</w:t>
      </w:r>
      <w:r>
        <w:rPr>
          <w:szCs w:val="24"/>
          <w:lang w:val="en-GB"/>
        </w:rPr>
        <w:t xml:space="preserve"> 2nd ed. London: SAGE Publications Ltd.</w:t>
      </w:r>
    </w:p>
    <w:p w14:paraId="5D9B0E97" w14:textId="77777777" w:rsidR="00A20065" w:rsidRDefault="00A20065" w:rsidP="00A20065">
      <w:pPr>
        <w:spacing w:before="200" w:after="200"/>
        <w:rPr>
          <w:szCs w:val="24"/>
          <w:highlight w:val="white"/>
          <w:lang w:val="en-GB"/>
        </w:rPr>
      </w:pPr>
      <w:r>
        <w:rPr>
          <w:szCs w:val="24"/>
          <w:highlight w:val="white"/>
          <w:lang w:val="en-GB"/>
        </w:rPr>
        <w:t xml:space="preserve">Gupta, S., Chatterjee, S., Malviya, A. and Chanda, A., 2022. Traction performance of common formal footwear on slippery surfaces. </w:t>
      </w:r>
      <w:r>
        <w:rPr>
          <w:i/>
          <w:szCs w:val="24"/>
          <w:highlight w:val="white"/>
          <w:lang w:val="en-GB"/>
        </w:rPr>
        <w:t>Surfaces</w:t>
      </w:r>
      <w:r>
        <w:rPr>
          <w:szCs w:val="24"/>
          <w:highlight w:val="white"/>
          <w:lang w:val="en-GB"/>
        </w:rPr>
        <w:t xml:space="preserve">, </w:t>
      </w:r>
      <w:r>
        <w:rPr>
          <w:i/>
          <w:szCs w:val="24"/>
          <w:highlight w:val="white"/>
          <w:lang w:val="en-GB"/>
        </w:rPr>
        <w:t>5</w:t>
      </w:r>
      <w:r>
        <w:rPr>
          <w:szCs w:val="24"/>
          <w:highlight w:val="white"/>
          <w:lang w:val="en-GB"/>
        </w:rPr>
        <w:t>(4), pp.489-503.</w:t>
      </w:r>
    </w:p>
    <w:p w14:paraId="208B9E55" w14:textId="77777777" w:rsidR="00A20065" w:rsidRDefault="00A20065" w:rsidP="00A20065">
      <w:pPr>
        <w:spacing w:before="200" w:after="200"/>
        <w:rPr>
          <w:szCs w:val="24"/>
          <w:highlight w:val="white"/>
          <w:lang w:val="en-GB"/>
        </w:rPr>
      </w:pPr>
      <w:r>
        <w:rPr>
          <w:szCs w:val="24"/>
          <w:highlight w:val="white"/>
          <w:lang w:val="en-GB"/>
        </w:rPr>
        <w:t xml:space="preserve">Hamid, A., Rahman, Z.F., </w:t>
      </w:r>
      <w:proofErr w:type="spellStart"/>
      <w:r>
        <w:rPr>
          <w:szCs w:val="24"/>
          <w:highlight w:val="white"/>
          <w:lang w:val="en-GB"/>
        </w:rPr>
        <w:t>Suherdin</w:t>
      </w:r>
      <w:proofErr w:type="spellEnd"/>
      <w:r>
        <w:rPr>
          <w:szCs w:val="24"/>
          <w:highlight w:val="white"/>
          <w:lang w:val="en-GB"/>
        </w:rPr>
        <w:t xml:space="preserve">, S., </w:t>
      </w:r>
      <w:proofErr w:type="spellStart"/>
      <w:r>
        <w:rPr>
          <w:szCs w:val="24"/>
          <w:highlight w:val="white"/>
          <w:lang w:val="en-GB"/>
        </w:rPr>
        <w:t>Widati</w:t>
      </w:r>
      <w:proofErr w:type="spellEnd"/>
      <w:r>
        <w:rPr>
          <w:szCs w:val="24"/>
          <w:highlight w:val="white"/>
          <w:lang w:val="en-GB"/>
        </w:rPr>
        <w:t xml:space="preserve">, S. and </w:t>
      </w:r>
      <w:proofErr w:type="spellStart"/>
      <w:r>
        <w:rPr>
          <w:szCs w:val="24"/>
          <w:highlight w:val="white"/>
          <w:lang w:val="en-GB"/>
        </w:rPr>
        <w:t>Wahyudiono</w:t>
      </w:r>
      <w:proofErr w:type="spellEnd"/>
      <w:r>
        <w:rPr>
          <w:szCs w:val="24"/>
          <w:highlight w:val="white"/>
          <w:lang w:val="en-GB"/>
        </w:rPr>
        <w:t xml:space="preserve">, Y.D.A., 2020. Factors related to carpal tunnel syndrome (CTS) complaints on employees in the Bank BNI Branch of Palu. </w:t>
      </w:r>
      <w:proofErr w:type="spellStart"/>
      <w:r>
        <w:rPr>
          <w:i/>
          <w:szCs w:val="24"/>
          <w:highlight w:val="white"/>
          <w:lang w:val="en-GB"/>
        </w:rPr>
        <w:t>Jurnal</w:t>
      </w:r>
      <w:proofErr w:type="spellEnd"/>
      <w:r>
        <w:rPr>
          <w:i/>
          <w:szCs w:val="24"/>
          <w:highlight w:val="white"/>
          <w:lang w:val="en-GB"/>
        </w:rPr>
        <w:t xml:space="preserve"> </w:t>
      </w:r>
      <w:proofErr w:type="spellStart"/>
      <w:r>
        <w:rPr>
          <w:i/>
          <w:szCs w:val="24"/>
          <w:highlight w:val="white"/>
          <w:lang w:val="en-GB"/>
        </w:rPr>
        <w:t>Ilmu</w:t>
      </w:r>
      <w:proofErr w:type="spellEnd"/>
      <w:r>
        <w:rPr>
          <w:i/>
          <w:szCs w:val="24"/>
          <w:highlight w:val="white"/>
          <w:lang w:val="en-GB"/>
        </w:rPr>
        <w:t xml:space="preserve"> Kesehatan Masyarakat</w:t>
      </w:r>
      <w:r>
        <w:rPr>
          <w:szCs w:val="24"/>
          <w:highlight w:val="white"/>
          <w:lang w:val="en-GB"/>
        </w:rPr>
        <w:t xml:space="preserve">, </w:t>
      </w:r>
      <w:r>
        <w:rPr>
          <w:i/>
          <w:szCs w:val="24"/>
          <w:highlight w:val="white"/>
          <w:lang w:val="en-GB"/>
        </w:rPr>
        <w:t>11</w:t>
      </w:r>
      <w:r>
        <w:rPr>
          <w:szCs w:val="24"/>
          <w:highlight w:val="white"/>
          <w:lang w:val="en-GB"/>
        </w:rPr>
        <w:t>(01), pp.63-74.</w:t>
      </w:r>
    </w:p>
    <w:p w14:paraId="2745F6CD" w14:textId="77777777" w:rsidR="00A20065" w:rsidRDefault="00A20065" w:rsidP="00A20065">
      <w:pPr>
        <w:spacing w:before="200" w:after="200"/>
        <w:rPr>
          <w:szCs w:val="24"/>
          <w:highlight w:val="white"/>
          <w:lang w:val="en-GB"/>
        </w:rPr>
      </w:pPr>
      <w:r>
        <w:rPr>
          <w:szCs w:val="24"/>
          <w:highlight w:val="white"/>
          <w:lang w:val="en-GB"/>
        </w:rPr>
        <w:t xml:space="preserve">Hollis, M., 2021. Damp, its causes and the implication in leasehold property. </w:t>
      </w:r>
      <w:r>
        <w:rPr>
          <w:i/>
          <w:szCs w:val="24"/>
          <w:highlight w:val="white"/>
          <w:lang w:val="en-GB"/>
        </w:rPr>
        <w:t>Journal of Building Survey, Appraisal &amp; Valuation</w:t>
      </w:r>
      <w:r>
        <w:rPr>
          <w:szCs w:val="24"/>
          <w:highlight w:val="white"/>
          <w:lang w:val="en-GB"/>
        </w:rPr>
        <w:t xml:space="preserve">, </w:t>
      </w:r>
      <w:r>
        <w:rPr>
          <w:i/>
          <w:szCs w:val="24"/>
          <w:highlight w:val="white"/>
          <w:lang w:val="en-GB"/>
        </w:rPr>
        <w:t>10</w:t>
      </w:r>
      <w:r>
        <w:rPr>
          <w:szCs w:val="24"/>
          <w:highlight w:val="white"/>
          <w:lang w:val="en-GB"/>
        </w:rPr>
        <w:t>(2), pp.102-131.</w:t>
      </w:r>
    </w:p>
    <w:p w14:paraId="4219DABC" w14:textId="77777777" w:rsidR="00A20065" w:rsidRDefault="00A20065" w:rsidP="00A20065">
      <w:pPr>
        <w:spacing w:before="200" w:after="200"/>
        <w:rPr>
          <w:szCs w:val="24"/>
          <w:highlight w:val="white"/>
          <w:lang w:val="en-GB"/>
        </w:rPr>
      </w:pPr>
      <w:r>
        <w:rPr>
          <w:szCs w:val="24"/>
          <w:highlight w:val="white"/>
          <w:lang w:val="en-GB"/>
        </w:rPr>
        <w:t xml:space="preserve">Jackson, D. and </w:t>
      </w:r>
      <w:proofErr w:type="spellStart"/>
      <w:r>
        <w:rPr>
          <w:szCs w:val="24"/>
          <w:highlight w:val="white"/>
          <w:lang w:val="en-GB"/>
        </w:rPr>
        <w:t>Bridgstock</w:t>
      </w:r>
      <w:proofErr w:type="spellEnd"/>
      <w:r>
        <w:rPr>
          <w:szCs w:val="24"/>
          <w:highlight w:val="white"/>
          <w:lang w:val="en-GB"/>
        </w:rPr>
        <w:t xml:space="preserve">, R., 2021. What </w:t>
      </w:r>
      <w:proofErr w:type="gramStart"/>
      <w:r>
        <w:rPr>
          <w:szCs w:val="24"/>
          <w:highlight w:val="white"/>
          <w:lang w:val="en-GB"/>
        </w:rPr>
        <w:t>actually works</w:t>
      </w:r>
      <w:proofErr w:type="gramEnd"/>
      <w:r>
        <w:rPr>
          <w:szCs w:val="24"/>
          <w:highlight w:val="white"/>
          <w:lang w:val="en-GB"/>
        </w:rPr>
        <w:t xml:space="preserve"> to enhance graduate employability? The relative value of curricular, co-curricular, and extra-curricular learning and paid work. </w:t>
      </w:r>
      <w:r>
        <w:rPr>
          <w:i/>
          <w:szCs w:val="24"/>
          <w:highlight w:val="white"/>
          <w:lang w:val="en-GB"/>
        </w:rPr>
        <w:t>Higher Education</w:t>
      </w:r>
      <w:r>
        <w:rPr>
          <w:szCs w:val="24"/>
          <w:highlight w:val="white"/>
          <w:lang w:val="en-GB"/>
        </w:rPr>
        <w:t xml:space="preserve">, </w:t>
      </w:r>
      <w:r>
        <w:rPr>
          <w:i/>
          <w:szCs w:val="24"/>
          <w:highlight w:val="white"/>
          <w:lang w:val="en-GB"/>
        </w:rPr>
        <w:t>81</w:t>
      </w:r>
      <w:r>
        <w:rPr>
          <w:szCs w:val="24"/>
          <w:highlight w:val="white"/>
          <w:lang w:val="en-GB"/>
        </w:rPr>
        <w:t>(4), pp.723-739.</w:t>
      </w:r>
    </w:p>
    <w:p w14:paraId="74E923FA" w14:textId="77777777" w:rsidR="00A20065" w:rsidRDefault="00A20065" w:rsidP="00A20065">
      <w:pPr>
        <w:spacing w:before="200" w:after="200"/>
        <w:rPr>
          <w:szCs w:val="24"/>
          <w:lang w:val="en-GB"/>
        </w:rPr>
      </w:pPr>
      <w:r>
        <w:rPr>
          <w:szCs w:val="24"/>
          <w:lang w:val="en-GB"/>
        </w:rPr>
        <w:t xml:space="preserve">Jones, T. 2010. </w:t>
      </w:r>
      <w:r>
        <w:rPr>
          <w:i/>
          <w:szCs w:val="24"/>
          <w:lang w:val="en-GB"/>
        </w:rPr>
        <w:t>Professional Management Housekeeping Operations</w:t>
      </w:r>
      <w:r>
        <w:rPr>
          <w:szCs w:val="24"/>
          <w:lang w:val="en-GB"/>
        </w:rPr>
        <w:t xml:space="preserve">. London: Wiley. </w:t>
      </w:r>
    </w:p>
    <w:p w14:paraId="2F162B2D" w14:textId="77777777" w:rsidR="00A20065" w:rsidRDefault="00A20065" w:rsidP="00A20065">
      <w:pPr>
        <w:spacing w:before="200" w:after="200"/>
        <w:rPr>
          <w:szCs w:val="24"/>
          <w:highlight w:val="white"/>
          <w:lang w:val="en-GB"/>
        </w:rPr>
      </w:pPr>
      <w:proofErr w:type="spellStart"/>
      <w:r>
        <w:rPr>
          <w:szCs w:val="24"/>
          <w:highlight w:val="white"/>
          <w:lang w:val="en-GB"/>
        </w:rPr>
        <w:t>Kwiotkowska</w:t>
      </w:r>
      <w:proofErr w:type="spellEnd"/>
      <w:r>
        <w:rPr>
          <w:szCs w:val="24"/>
          <w:highlight w:val="white"/>
          <w:lang w:val="en-GB"/>
        </w:rPr>
        <w:t xml:space="preserve">, A., Wolniak, R., Gajdzik, B. and </w:t>
      </w:r>
      <w:proofErr w:type="spellStart"/>
      <w:r>
        <w:rPr>
          <w:szCs w:val="24"/>
          <w:highlight w:val="white"/>
          <w:lang w:val="en-GB"/>
        </w:rPr>
        <w:t>Gębczyńska</w:t>
      </w:r>
      <w:proofErr w:type="spellEnd"/>
      <w:r>
        <w:rPr>
          <w:szCs w:val="24"/>
          <w:highlight w:val="white"/>
          <w:lang w:val="en-GB"/>
        </w:rPr>
        <w:t xml:space="preserve">, M., 2022. Configurational paths of leadership competency shortages and 4.0 leadership effectiveness: an fs/QCA study. </w:t>
      </w:r>
      <w:r>
        <w:rPr>
          <w:i/>
          <w:szCs w:val="24"/>
          <w:highlight w:val="white"/>
          <w:lang w:val="en-GB"/>
        </w:rPr>
        <w:t>Sustainability</w:t>
      </w:r>
      <w:r>
        <w:rPr>
          <w:szCs w:val="24"/>
          <w:highlight w:val="white"/>
          <w:lang w:val="en-GB"/>
        </w:rPr>
        <w:t xml:space="preserve">, </w:t>
      </w:r>
      <w:r>
        <w:rPr>
          <w:i/>
          <w:szCs w:val="24"/>
          <w:highlight w:val="white"/>
          <w:lang w:val="en-GB"/>
        </w:rPr>
        <w:t>14</w:t>
      </w:r>
      <w:r>
        <w:rPr>
          <w:szCs w:val="24"/>
          <w:highlight w:val="white"/>
          <w:lang w:val="en-GB"/>
        </w:rPr>
        <w:t>(5), p.2795.</w:t>
      </w:r>
    </w:p>
    <w:p w14:paraId="008332D8" w14:textId="77777777" w:rsidR="00A20065" w:rsidRDefault="00A20065" w:rsidP="00A20065">
      <w:pPr>
        <w:spacing w:before="200" w:after="200"/>
        <w:rPr>
          <w:szCs w:val="24"/>
          <w:highlight w:val="white"/>
          <w:lang w:val="en-GB"/>
        </w:rPr>
      </w:pPr>
      <w:r>
        <w:rPr>
          <w:szCs w:val="24"/>
          <w:highlight w:val="white"/>
          <w:lang w:val="en-GB"/>
        </w:rPr>
        <w:t xml:space="preserve">Larsson, J. and Larsson, L., 2020. Integration, </w:t>
      </w:r>
      <w:proofErr w:type="gramStart"/>
      <w:r>
        <w:rPr>
          <w:szCs w:val="24"/>
          <w:highlight w:val="white"/>
          <w:lang w:val="en-GB"/>
        </w:rPr>
        <w:t>application</w:t>
      </w:r>
      <w:proofErr w:type="gramEnd"/>
      <w:r>
        <w:rPr>
          <w:szCs w:val="24"/>
          <w:highlight w:val="white"/>
          <w:lang w:val="en-GB"/>
        </w:rPr>
        <w:t xml:space="preserve"> and importance of collaboration in sustainable project management. </w:t>
      </w:r>
      <w:r>
        <w:rPr>
          <w:i/>
          <w:szCs w:val="24"/>
          <w:highlight w:val="white"/>
          <w:lang w:val="en-GB"/>
        </w:rPr>
        <w:t>Sustainability</w:t>
      </w:r>
      <w:r>
        <w:rPr>
          <w:szCs w:val="24"/>
          <w:highlight w:val="white"/>
          <w:lang w:val="en-GB"/>
        </w:rPr>
        <w:t xml:space="preserve">, </w:t>
      </w:r>
      <w:r>
        <w:rPr>
          <w:i/>
          <w:szCs w:val="24"/>
          <w:highlight w:val="white"/>
          <w:lang w:val="en-GB"/>
        </w:rPr>
        <w:t>12</w:t>
      </w:r>
      <w:r>
        <w:rPr>
          <w:szCs w:val="24"/>
          <w:highlight w:val="white"/>
          <w:lang w:val="en-GB"/>
        </w:rPr>
        <w:t>(2), p.585.</w:t>
      </w:r>
    </w:p>
    <w:p w14:paraId="4442459C" w14:textId="77777777" w:rsidR="00A20065" w:rsidRDefault="00A20065" w:rsidP="00A20065">
      <w:pPr>
        <w:spacing w:before="200" w:after="200"/>
        <w:rPr>
          <w:szCs w:val="24"/>
          <w:highlight w:val="white"/>
          <w:lang w:val="en-GB"/>
        </w:rPr>
      </w:pPr>
      <w:r>
        <w:rPr>
          <w:szCs w:val="24"/>
          <w:highlight w:val="white"/>
          <w:lang w:val="en-GB"/>
        </w:rPr>
        <w:lastRenderedPageBreak/>
        <w:t>Leiter, M. P. and Bakker, A. B. 2010.</w:t>
      </w:r>
      <w:r>
        <w:rPr>
          <w:i/>
          <w:szCs w:val="24"/>
          <w:highlight w:val="white"/>
          <w:lang w:val="en-GB"/>
        </w:rPr>
        <w:t xml:space="preserve"> Work </w:t>
      </w:r>
      <w:proofErr w:type="gramStart"/>
      <w:r>
        <w:rPr>
          <w:i/>
          <w:szCs w:val="24"/>
          <w:highlight w:val="white"/>
          <w:lang w:val="en-GB"/>
        </w:rPr>
        <w:t>Engagement :</w:t>
      </w:r>
      <w:proofErr w:type="gramEnd"/>
      <w:r>
        <w:rPr>
          <w:i/>
          <w:szCs w:val="24"/>
          <w:highlight w:val="white"/>
          <w:lang w:val="en-GB"/>
        </w:rPr>
        <w:t xml:space="preserve"> A Handbook of Essential Theory and Research. </w:t>
      </w:r>
      <w:r>
        <w:rPr>
          <w:szCs w:val="24"/>
          <w:highlight w:val="white"/>
          <w:lang w:val="en-GB"/>
        </w:rPr>
        <w:t>Hove [England]: Psychology Press.</w:t>
      </w:r>
    </w:p>
    <w:p w14:paraId="3D7553E8" w14:textId="77777777" w:rsidR="00A20065" w:rsidRDefault="00A20065" w:rsidP="00A20065">
      <w:pPr>
        <w:spacing w:before="200" w:after="200"/>
        <w:rPr>
          <w:szCs w:val="24"/>
          <w:highlight w:val="white"/>
          <w:lang w:val="en-GB"/>
        </w:rPr>
      </w:pPr>
      <w:r>
        <w:rPr>
          <w:szCs w:val="24"/>
          <w:highlight w:val="white"/>
          <w:lang w:val="en-GB"/>
        </w:rPr>
        <w:t xml:space="preserve">Lu, Z., Liu, Z., Correa, G.J. and Karydis, K., 2020, October. Motion planning for collision-resilient mobile robots in obstacle-cluttered unknown environments with risk reward trade-offs. In </w:t>
      </w:r>
      <w:r>
        <w:rPr>
          <w:i/>
          <w:szCs w:val="24"/>
          <w:highlight w:val="white"/>
          <w:lang w:val="en-GB"/>
        </w:rPr>
        <w:t>2020 IEEE/RSJ International Conference on Intelligent Robots and Systems (IROS)</w:t>
      </w:r>
      <w:r>
        <w:rPr>
          <w:szCs w:val="24"/>
          <w:highlight w:val="white"/>
          <w:lang w:val="en-GB"/>
        </w:rPr>
        <w:t xml:space="preserve"> (pp. 7064-7070). IEEE.</w:t>
      </w:r>
    </w:p>
    <w:p w14:paraId="5920AF3D" w14:textId="77777777" w:rsidR="00A20065" w:rsidRDefault="00A20065" w:rsidP="00A20065">
      <w:pPr>
        <w:spacing w:before="200" w:after="200"/>
        <w:rPr>
          <w:szCs w:val="24"/>
          <w:lang w:val="en-GB"/>
        </w:rPr>
      </w:pPr>
      <w:r>
        <w:rPr>
          <w:szCs w:val="24"/>
          <w:lang w:val="en-GB"/>
        </w:rPr>
        <w:t xml:space="preserve">Mullins, L. and </w:t>
      </w:r>
      <w:proofErr w:type="spellStart"/>
      <w:r>
        <w:rPr>
          <w:szCs w:val="24"/>
          <w:lang w:val="en-GB"/>
        </w:rPr>
        <w:t>Dossor</w:t>
      </w:r>
      <w:proofErr w:type="spellEnd"/>
      <w:r>
        <w:rPr>
          <w:szCs w:val="24"/>
          <w:lang w:val="en-GB"/>
        </w:rPr>
        <w:t xml:space="preserve">, P. 2013. </w:t>
      </w:r>
      <w:r>
        <w:rPr>
          <w:i/>
          <w:szCs w:val="24"/>
          <w:lang w:val="en-GB"/>
        </w:rPr>
        <w:t>Hospitality Management and Organisational Behaviour.</w:t>
      </w:r>
      <w:r>
        <w:rPr>
          <w:szCs w:val="24"/>
          <w:lang w:val="en-GB"/>
        </w:rPr>
        <w:t xml:space="preserve"> 5th ed. Harlow: Pearson. </w:t>
      </w:r>
    </w:p>
    <w:p w14:paraId="55EFADB2" w14:textId="77777777" w:rsidR="00A20065" w:rsidRDefault="00A20065" w:rsidP="00A20065">
      <w:pPr>
        <w:spacing w:before="200" w:after="200"/>
        <w:rPr>
          <w:szCs w:val="24"/>
          <w:highlight w:val="white"/>
          <w:lang w:val="en-GB"/>
        </w:rPr>
      </w:pPr>
      <w:r>
        <w:rPr>
          <w:szCs w:val="24"/>
          <w:highlight w:val="white"/>
          <w:lang w:val="en-GB"/>
        </w:rPr>
        <w:t xml:space="preserve">Ng, P.M., Chan, J.K., Wut, T.M., Lo, M.F. and Szeto, I., 2021. What makes better career opportunities for young graduates? Examining acquired employability skills in higher education institutions. </w:t>
      </w:r>
      <w:r>
        <w:rPr>
          <w:i/>
          <w:szCs w:val="24"/>
          <w:highlight w:val="white"/>
          <w:lang w:val="en-GB"/>
        </w:rPr>
        <w:t>Education+ Training</w:t>
      </w:r>
      <w:r>
        <w:rPr>
          <w:szCs w:val="24"/>
          <w:highlight w:val="white"/>
          <w:lang w:val="en-GB"/>
        </w:rPr>
        <w:t xml:space="preserve">, </w:t>
      </w:r>
      <w:r>
        <w:rPr>
          <w:i/>
          <w:szCs w:val="24"/>
          <w:highlight w:val="white"/>
          <w:lang w:val="en-GB"/>
        </w:rPr>
        <w:t>63</w:t>
      </w:r>
      <w:r>
        <w:rPr>
          <w:szCs w:val="24"/>
          <w:highlight w:val="white"/>
          <w:lang w:val="en-GB"/>
        </w:rPr>
        <w:t>(6), pp.852-871.</w:t>
      </w:r>
    </w:p>
    <w:p w14:paraId="66E76D23" w14:textId="77777777" w:rsidR="00A20065" w:rsidRDefault="00A20065" w:rsidP="00A20065">
      <w:pPr>
        <w:spacing w:before="200" w:after="200"/>
        <w:rPr>
          <w:szCs w:val="24"/>
          <w:lang w:val="en-GB"/>
        </w:rPr>
      </w:pPr>
      <w:r>
        <w:rPr>
          <w:szCs w:val="24"/>
          <w:lang w:val="en-GB"/>
        </w:rPr>
        <w:t>Quick, L. 2020. Managing Events. Real Challenges, Real Outcomes. London: SAGE Publications Ltd.</w:t>
      </w:r>
    </w:p>
    <w:p w14:paraId="5752D1FF" w14:textId="77777777" w:rsidR="00A20065" w:rsidRDefault="00A20065" w:rsidP="00A20065">
      <w:pPr>
        <w:spacing w:before="200" w:after="200"/>
        <w:rPr>
          <w:szCs w:val="24"/>
          <w:highlight w:val="white"/>
          <w:lang w:val="en-GB"/>
        </w:rPr>
      </w:pPr>
      <w:r>
        <w:rPr>
          <w:szCs w:val="24"/>
          <w:highlight w:val="white"/>
          <w:lang w:val="en-GB"/>
        </w:rPr>
        <w:t xml:space="preserve">Rai, N.K., Ashok, A. and </w:t>
      </w:r>
      <w:proofErr w:type="spellStart"/>
      <w:r>
        <w:rPr>
          <w:szCs w:val="24"/>
          <w:highlight w:val="white"/>
          <w:lang w:val="en-GB"/>
        </w:rPr>
        <w:t>Akondi</w:t>
      </w:r>
      <w:proofErr w:type="spellEnd"/>
      <w:r>
        <w:rPr>
          <w:szCs w:val="24"/>
          <w:highlight w:val="white"/>
          <w:lang w:val="en-GB"/>
        </w:rPr>
        <w:t xml:space="preserve">, B.R., 2020. Consequences of chemical impact of disinfectants: safe preventive measures against COVID-19. </w:t>
      </w:r>
      <w:r>
        <w:rPr>
          <w:i/>
          <w:szCs w:val="24"/>
          <w:highlight w:val="white"/>
          <w:lang w:val="en-GB"/>
        </w:rPr>
        <w:t>Critical reviews in toxicology</w:t>
      </w:r>
      <w:r>
        <w:rPr>
          <w:szCs w:val="24"/>
          <w:highlight w:val="white"/>
          <w:lang w:val="en-GB"/>
        </w:rPr>
        <w:t xml:space="preserve">, </w:t>
      </w:r>
      <w:r>
        <w:rPr>
          <w:i/>
          <w:szCs w:val="24"/>
          <w:highlight w:val="white"/>
          <w:lang w:val="en-GB"/>
        </w:rPr>
        <w:t>50</w:t>
      </w:r>
      <w:r>
        <w:rPr>
          <w:szCs w:val="24"/>
          <w:highlight w:val="white"/>
          <w:lang w:val="en-GB"/>
        </w:rPr>
        <w:t>(6), pp.513-520.</w:t>
      </w:r>
    </w:p>
    <w:p w14:paraId="1F4F0E43" w14:textId="77777777" w:rsidR="00A20065" w:rsidRDefault="00A20065" w:rsidP="00A20065">
      <w:pPr>
        <w:spacing w:before="200" w:after="200"/>
        <w:rPr>
          <w:b/>
          <w:szCs w:val="24"/>
          <w:lang w:val="en-GB"/>
        </w:rPr>
      </w:pPr>
      <w:r>
        <w:rPr>
          <w:szCs w:val="24"/>
          <w:highlight w:val="white"/>
          <w:lang w:val="en-GB"/>
        </w:rPr>
        <w:t xml:space="preserve">Sharma, N., Chaudhary, N. and Singh, V. 2019. </w:t>
      </w:r>
      <w:r>
        <w:rPr>
          <w:i/>
          <w:szCs w:val="24"/>
          <w:highlight w:val="white"/>
          <w:lang w:val="en-GB"/>
        </w:rPr>
        <w:t xml:space="preserve">Management Techniques </w:t>
      </w:r>
      <w:proofErr w:type="gramStart"/>
      <w:r>
        <w:rPr>
          <w:i/>
          <w:szCs w:val="24"/>
          <w:highlight w:val="white"/>
          <w:lang w:val="en-GB"/>
        </w:rPr>
        <w:t>For</w:t>
      </w:r>
      <w:proofErr w:type="gramEnd"/>
      <w:r>
        <w:rPr>
          <w:i/>
          <w:szCs w:val="24"/>
          <w:highlight w:val="white"/>
          <w:lang w:val="en-GB"/>
        </w:rPr>
        <w:t xml:space="preserve"> Employee Engagement In Contemporary Organizations</w:t>
      </w:r>
      <w:r>
        <w:rPr>
          <w:szCs w:val="24"/>
          <w:highlight w:val="white"/>
          <w:lang w:val="en-GB"/>
        </w:rPr>
        <w:t>. Hershey, Pennsylvania: IGI Global.</w:t>
      </w:r>
    </w:p>
    <w:p w14:paraId="36E2E606" w14:textId="77777777" w:rsidR="00A20065" w:rsidRDefault="00A20065" w:rsidP="00A20065">
      <w:pPr>
        <w:spacing w:before="200" w:after="200"/>
        <w:rPr>
          <w:szCs w:val="24"/>
          <w:highlight w:val="white"/>
          <w:lang w:val="en-GB"/>
        </w:rPr>
      </w:pPr>
      <w:r>
        <w:rPr>
          <w:szCs w:val="24"/>
          <w:highlight w:val="white"/>
          <w:lang w:val="en-GB"/>
        </w:rPr>
        <w:t xml:space="preserve">Wang, N., Ren, S., Liu, Y., Yang, M., Wang, J. and Huisingh, D., 2020. An active preventive maintenance approach of complex equipment based on a novel product-service system operation mode. </w:t>
      </w:r>
      <w:r>
        <w:rPr>
          <w:i/>
          <w:szCs w:val="24"/>
          <w:highlight w:val="white"/>
          <w:lang w:val="en-GB"/>
        </w:rPr>
        <w:t>Journal of Cleaner Production</w:t>
      </w:r>
      <w:r>
        <w:rPr>
          <w:szCs w:val="24"/>
          <w:highlight w:val="white"/>
          <w:lang w:val="en-GB"/>
        </w:rPr>
        <w:t xml:space="preserve">, </w:t>
      </w:r>
      <w:r>
        <w:rPr>
          <w:i/>
          <w:szCs w:val="24"/>
          <w:highlight w:val="white"/>
          <w:lang w:val="en-GB"/>
        </w:rPr>
        <w:t>277</w:t>
      </w:r>
      <w:r>
        <w:rPr>
          <w:szCs w:val="24"/>
          <w:highlight w:val="white"/>
          <w:lang w:val="en-GB"/>
        </w:rPr>
        <w:t>, p.123365.</w:t>
      </w:r>
    </w:p>
    <w:p w14:paraId="399F4B2C" w14:textId="77777777" w:rsidR="00A20065" w:rsidRDefault="00A20065" w:rsidP="00A20065">
      <w:pPr>
        <w:spacing w:before="200" w:after="200"/>
        <w:rPr>
          <w:szCs w:val="24"/>
          <w:highlight w:val="white"/>
          <w:lang w:val="en-GB"/>
        </w:rPr>
      </w:pPr>
      <w:r>
        <w:rPr>
          <w:szCs w:val="24"/>
          <w:highlight w:val="white"/>
          <w:lang w:val="en-GB"/>
        </w:rPr>
        <w:t xml:space="preserve">Wenning, C.J. and Vieyra, R.E., 2020. </w:t>
      </w:r>
      <w:r>
        <w:rPr>
          <w:i/>
          <w:szCs w:val="24"/>
          <w:highlight w:val="white"/>
          <w:lang w:val="en-GB"/>
        </w:rPr>
        <w:t>Teaching High School Physics: Managing the Physics Classroom</w:t>
      </w:r>
      <w:r>
        <w:rPr>
          <w:szCs w:val="24"/>
          <w:highlight w:val="white"/>
          <w:lang w:val="en-GB"/>
        </w:rPr>
        <w:t>. AIP Publishing LLC.</w:t>
      </w:r>
    </w:p>
    <w:p w14:paraId="7951A0D8" w14:textId="77777777" w:rsidR="00031074" w:rsidRDefault="00031074"/>
    <w:sectPr w:rsidR="000310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065"/>
    <w:rsid w:val="00031074"/>
    <w:rsid w:val="00485198"/>
    <w:rsid w:val="00731554"/>
    <w:rsid w:val="00A200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5552F"/>
  <w15:chartTrackingRefBased/>
  <w15:docId w15:val="{B9A35385-A3F9-4FF5-96B7-6E91BDE26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065"/>
    <w:pPr>
      <w:spacing w:after="0" w:line="360" w:lineRule="auto"/>
      <w:jc w:val="both"/>
    </w:pPr>
    <w:rPr>
      <w:rFonts w:ascii="Arial" w:eastAsia="Arial" w:hAnsi="Arial" w:cs="Arial"/>
      <w:color w:val="000000" w:themeColor="text1"/>
      <w:sz w:val="24"/>
      <w:lang w:val="en-US"/>
    </w:rPr>
  </w:style>
  <w:style w:type="paragraph" w:styleId="Heading1">
    <w:name w:val="heading 1"/>
    <w:basedOn w:val="Normal"/>
    <w:next w:val="Normal"/>
    <w:link w:val="Heading1Char"/>
    <w:qFormat/>
    <w:rsid w:val="00A20065"/>
    <w:pPr>
      <w:keepNext/>
      <w:keepLines/>
      <w:spacing w:before="200" w:after="200"/>
      <w:outlineLvl w:val="0"/>
    </w:pPr>
    <w:rPr>
      <w:rFonts w:eastAsia="Times New Roman"/>
      <w:b/>
      <w:szCs w:val="24"/>
    </w:rPr>
  </w:style>
  <w:style w:type="paragraph" w:styleId="Heading2">
    <w:name w:val="heading 2"/>
    <w:basedOn w:val="Normal"/>
    <w:next w:val="Normal"/>
    <w:link w:val="Heading2Char"/>
    <w:semiHidden/>
    <w:unhideWhenUsed/>
    <w:qFormat/>
    <w:rsid w:val="00A20065"/>
    <w:pPr>
      <w:keepNext/>
      <w:keepLines/>
      <w:spacing w:before="200" w:after="200"/>
      <w:outlineLvl w:val="1"/>
    </w:pPr>
    <w:rPr>
      <w:rFonts w:eastAsia="Times New Roman"/>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20065"/>
    <w:rPr>
      <w:rFonts w:ascii="Arial" w:eastAsia="Times New Roman" w:hAnsi="Arial" w:cs="Arial"/>
      <w:b/>
      <w:color w:val="000000" w:themeColor="text1"/>
      <w:sz w:val="24"/>
      <w:szCs w:val="24"/>
      <w:lang w:val="en-US"/>
    </w:rPr>
  </w:style>
  <w:style w:type="character" w:customStyle="1" w:styleId="Heading2Char">
    <w:name w:val="Heading 2 Char"/>
    <w:basedOn w:val="DefaultParagraphFont"/>
    <w:link w:val="Heading2"/>
    <w:semiHidden/>
    <w:rsid w:val="00A20065"/>
    <w:rPr>
      <w:rFonts w:ascii="Arial" w:eastAsia="Times New Roman" w:hAnsi="Arial" w:cs="Arial"/>
      <w:b/>
      <w:color w:val="000000" w:themeColor="text1"/>
      <w:sz w:val="24"/>
      <w:szCs w:val="24"/>
      <w:lang w:val="en-US"/>
    </w:rPr>
  </w:style>
  <w:style w:type="character" w:styleId="Hyperlink">
    <w:name w:val="Hyperlink"/>
    <w:basedOn w:val="DefaultParagraphFont"/>
    <w:uiPriority w:val="99"/>
    <w:semiHidden/>
    <w:unhideWhenUsed/>
    <w:rsid w:val="00A20065"/>
    <w:rPr>
      <w:color w:val="0563C1" w:themeColor="hyperlink"/>
      <w:u w:val="single"/>
    </w:rPr>
  </w:style>
  <w:style w:type="paragraph" w:styleId="TOC1">
    <w:name w:val="toc 1"/>
    <w:basedOn w:val="Normal"/>
    <w:next w:val="Normal"/>
    <w:autoRedefine/>
    <w:uiPriority w:val="39"/>
    <w:unhideWhenUsed/>
    <w:rsid w:val="00A20065"/>
    <w:pPr>
      <w:spacing w:after="100"/>
    </w:pPr>
  </w:style>
  <w:style w:type="paragraph" w:styleId="TOC2">
    <w:name w:val="toc 2"/>
    <w:basedOn w:val="Normal"/>
    <w:next w:val="Normal"/>
    <w:autoRedefine/>
    <w:uiPriority w:val="39"/>
    <w:unhideWhenUsed/>
    <w:rsid w:val="00A20065"/>
    <w:pPr>
      <w:spacing w:after="100"/>
      <w:ind w:left="220"/>
    </w:pPr>
  </w:style>
  <w:style w:type="paragraph" w:styleId="TOCHeading">
    <w:name w:val="TOC Heading"/>
    <w:basedOn w:val="Heading1"/>
    <w:next w:val="Normal"/>
    <w:uiPriority w:val="39"/>
    <w:semiHidden/>
    <w:unhideWhenUsed/>
    <w:qFormat/>
    <w:rsid w:val="00A20065"/>
    <w:pPr>
      <w:spacing w:before="240" w:after="0" w:line="256" w:lineRule="auto"/>
      <w:jc w:val="left"/>
      <w:outlineLvl w:val="9"/>
    </w:pPr>
    <w:rPr>
      <w:rFonts w:asciiTheme="majorHAnsi" w:eastAsiaTheme="majorEastAsia" w:hAnsiTheme="majorHAnsi" w:cstheme="majorBidi"/>
      <w:b w:val="0"/>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20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sv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sv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1593</Words>
  <Characters>9083</Characters>
  <Application>Microsoft Office Word</Application>
  <DocSecurity>0</DocSecurity>
  <Lines>75</Lines>
  <Paragraphs>21</Paragraphs>
  <ScaleCrop>false</ScaleCrop>
  <Company/>
  <LinksUpToDate>false</LinksUpToDate>
  <CharactersWithSpaces>10655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Modrzejewska</dc:creator>
  <cp:keywords/>
  <dc:description/>
  <cp:lastModifiedBy>Klaudia Modrzejewska</cp:lastModifiedBy>
  <cp:revision>1</cp:revision>
  <dcterms:created xsi:type="dcterms:W3CDTF">2024-02-22T19:34:00Z</dcterms:created>
  <dcterms:modified xsi:type="dcterms:W3CDTF">2024-02-22T19:42:00Z</dcterms:modified>
</cp:coreProperties>
</file>