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4CC486" w14:textId="24D2CA76" w:rsidR="00972D06" w:rsidRDefault="00AB1861" w:rsidP="00F1352A">
      <w:pPr>
        <w:pStyle w:val="p1"/>
        <w:spacing w:before="0" w:beforeAutospacing="0" w:after="0" w:afterAutospacing="0" w:line="360" w:lineRule="auto"/>
        <w:jc w:val="both"/>
        <w:rPr>
          <w:rStyle w:val="s1"/>
          <w:rFonts w:ascii="Arial" w:hAnsi="Arial" w:cs="Arial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45ADC4F2" wp14:editId="36694B9C">
                <wp:simplePos x="0" y="0"/>
                <wp:positionH relativeFrom="page">
                  <wp:posOffset>914400</wp:posOffset>
                </wp:positionH>
                <wp:positionV relativeFrom="margin">
                  <wp:posOffset>0</wp:posOffset>
                </wp:positionV>
                <wp:extent cx="5943600" cy="914400"/>
                <wp:effectExtent l="0" t="0" r="0" b="3810"/>
                <wp:wrapNone/>
                <wp:docPr id="62" name="Text Box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3600" cy="914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2C7FCE" w:themeColor="text2" w:themeTint="9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79719276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7CB54DC5" w14:textId="07EA4B17" w:rsidR="00AB1861" w:rsidRPr="00A461F9" w:rsidRDefault="007704BF" w:rsidP="00AB1861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56"/>
                                    <w:szCs w:val="56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56"/>
                                    <w:szCs w:val="56"/>
                                  </w:rPr>
                                  <w:t>bmhp6027 – EMPOWERING THE OLDER PERSON</w:t>
                                </w:r>
                              </w:p>
                            </w:sdtContent>
                          </w:sdt>
                          <w:p w14:paraId="527589B5" w14:textId="7AA12BE9" w:rsidR="00AB1861" w:rsidRDefault="00FD43FE" w:rsidP="00AB1861">
                            <w:pPr>
                              <w:pStyle w:val="NoSpacing"/>
                              <w:spacing w:before="120"/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</w:pPr>
                            <w:sdt>
                              <w:sdtPr>
                                <w:rPr>
                                  <w:color w:val="156082" w:themeColor="accent1"/>
                                  <w:sz w:val="32"/>
                                  <w:szCs w:val="32"/>
                                </w:rPr>
                                <w:alias w:val="Subtitle"/>
                                <w:tag w:val=""/>
                                <w:id w:val="2021743002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Content>
                                <w:r w:rsidR="004A131E">
                                  <w:rPr>
                                    <w:color w:val="156082" w:themeColor="accent1"/>
                                    <w:sz w:val="32"/>
                                    <w:szCs w:val="32"/>
                                  </w:rPr>
                                  <w:t>COMPONENT 2 – Debate References</w:t>
                                </w:r>
                              </w:sdtContent>
                            </w:sdt>
                          </w:p>
                          <w:p w14:paraId="0230CA70" w14:textId="77777777" w:rsidR="00AB1861" w:rsidRPr="00A461F9" w:rsidRDefault="00AB1861" w:rsidP="00AB1861">
                            <w:pPr>
                              <w:rPr>
                                <w:rFonts w:asciiTheme="minorBidi" w:hAnsiTheme="minorBidi"/>
                                <w:sz w:val="28"/>
                                <w:szCs w:val="28"/>
                              </w:rPr>
                            </w:pPr>
                            <w:r w:rsidRPr="00A461F9">
                              <w:rPr>
                                <w:rFonts w:asciiTheme="minorBidi" w:hAnsiTheme="minorBidi"/>
                                <w:sz w:val="28"/>
                                <w:szCs w:val="28"/>
                              </w:rPr>
                              <w:t>Sana Ahmed 2314455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76500</wp14:pctWidth>
                </wp14:sizeRelH>
              </wp:anchor>
            </w:drawing>
          </mc:Choice>
          <mc:Fallback>
            <w:pict>
              <v:shapetype w14:anchorId="45ADC4F2" id="_x0000_t202" coordsize="21600,21600" o:spt="202" path="m,l,21600r21600,l21600,xe">
                <v:stroke joinstyle="miter"/>
                <v:path gradientshapeok="t" o:connecttype="rect"/>
              </v:shapetype>
              <v:shape id="Text Box 66" o:spid="_x0000_s1026" type="#_x0000_t202" style="position:absolute;left:0;text-align:left;margin-left:1in;margin-top:0;width:468pt;height:1in;z-index:251658242;visibility:visible;mso-wrap-style:square;mso-width-percent:765;mso-wrap-distance-left:9pt;mso-wrap-distance-top:0;mso-wrap-distance-right:9pt;mso-wrap-distance-bottom:0;mso-position-horizontal:absolute;mso-position-horizontal-relative:page;mso-position-vertical:absolute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9vv6gd4AAAAJAQAADwAAAGRycy9kb3du&#10;cmV2LnhtbEyPQUsDMRCF70L/QxjBy2ITSyll3Wyxag8epLQqeEw342ZxM1k3abv11zsFQS/DPN7w&#10;5nvFYvCtOGAfm0AabsYKBFIVbEO1hteX1fUcREyGrGkDoYYTRliUo4vC5DYcaYOHbaoFh1DMjQaX&#10;UpdLGSuH3sRx6JDY+wi9N4llX0vbmyOH+1ZOlJpJbxriD850eO+w+tzuvYbQPJ7e1vY5m6yy7Ovh&#10;qd58L9+d1leXw90tiIRD+juGMz6jQ8lMu7AnG0XLejrlLkkDz7Ot5oq33a8hy0L+b1D+AA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Pb7+oHeAAAACQEAAA8AAAAAAAAAAAAAAAAAwAQA&#10;AGRycy9kb3ducmV2LnhtbFBLBQYAAAAABAAEAPMAAADLBQAAAAA=&#10;" filled="f" stroked="f" strokeweight=".5pt">
                <v:textbox style="mso-fit-shape-to-text:t">
                  <w:txbxContent>
                    <w:sdt>
                      <w:sdtPr>
                        <w:rPr>
                          <w:rFonts w:asciiTheme="majorHAnsi" w:eastAsiaTheme="majorEastAsia" w:hAnsiTheme="majorHAnsi" w:cstheme="majorBidi"/>
                          <w:caps/>
                          <w:color w:val="2C7FCE" w:themeColor="text2" w:themeTint="99"/>
                          <w:sz w:val="56"/>
                          <w:szCs w:val="56"/>
                        </w:rPr>
                        <w:alias w:val="Title"/>
                        <w:tag w:val=""/>
                        <w:id w:val="797192764"/>
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<w:text/>
                      </w:sdtPr>
                      <w:sdtContent>
                        <w:p w14:paraId="7CB54DC5" w14:textId="07EA4B17" w:rsidR="00AB1861" w:rsidRPr="00A461F9" w:rsidRDefault="007704BF" w:rsidP="00AB1861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56"/>
                              <w:szCs w:val="56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56"/>
                              <w:szCs w:val="56"/>
                            </w:rPr>
                            <w:t>bmhp6027 – EMPOWERING THE OLDER PERSON</w:t>
                          </w:r>
                        </w:p>
                      </w:sdtContent>
                    </w:sdt>
                    <w:p w14:paraId="527589B5" w14:textId="7AA12BE9" w:rsidR="00AB1861" w:rsidRDefault="00FD43FE" w:rsidP="00AB1861">
                      <w:pPr>
                        <w:pStyle w:val="NoSpacing"/>
                        <w:spacing w:before="120"/>
                        <w:rPr>
                          <w:color w:val="156082" w:themeColor="accent1"/>
                          <w:sz w:val="36"/>
                          <w:szCs w:val="36"/>
                        </w:rPr>
                      </w:pPr>
                      <w:sdt>
                        <w:sdtPr>
                          <w:rPr>
                            <w:color w:val="156082" w:themeColor="accent1"/>
                            <w:sz w:val="32"/>
                            <w:szCs w:val="32"/>
                          </w:rPr>
                          <w:alias w:val="Subtitle"/>
                          <w:tag w:val=""/>
                          <w:id w:val="2021743002"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Content>
                          <w:r w:rsidR="004A131E">
                            <w:rPr>
                              <w:color w:val="156082" w:themeColor="accent1"/>
                              <w:sz w:val="32"/>
                              <w:szCs w:val="32"/>
                            </w:rPr>
                            <w:t>COMPONENT 2 – Debate References</w:t>
                          </w:r>
                        </w:sdtContent>
                      </w:sdt>
                    </w:p>
                    <w:p w14:paraId="0230CA70" w14:textId="77777777" w:rsidR="00AB1861" w:rsidRPr="00A461F9" w:rsidRDefault="00AB1861" w:rsidP="00AB1861">
                      <w:pPr>
                        <w:rPr>
                          <w:rFonts w:asciiTheme="minorBidi" w:hAnsiTheme="minorBidi"/>
                          <w:sz w:val="28"/>
                          <w:szCs w:val="28"/>
                        </w:rPr>
                      </w:pPr>
                      <w:r w:rsidRPr="00A461F9">
                        <w:rPr>
                          <w:rFonts w:asciiTheme="minorBidi" w:hAnsiTheme="minorBidi"/>
                          <w:sz w:val="28"/>
                          <w:szCs w:val="28"/>
                        </w:rPr>
                        <w:t>Sana Ahmed 2314455</w:t>
                      </w:r>
                    </w:p>
                  </w:txbxContent>
                </v:textbox>
                <w10:wrap anchorx="page" anchory="margin"/>
              </v:shape>
            </w:pict>
          </mc:Fallback>
        </mc:AlternateContent>
      </w:r>
    </w:p>
    <w:p w14:paraId="617DC854" w14:textId="77777777" w:rsidR="00972D06" w:rsidRDefault="00972D06" w:rsidP="00F1352A">
      <w:pPr>
        <w:pStyle w:val="p1"/>
        <w:spacing w:before="0" w:beforeAutospacing="0" w:after="0" w:afterAutospacing="0" w:line="360" w:lineRule="auto"/>
        <w:jc w:val="both"/>
        <w:rPr>
          <w:rStyle w:val="s1"/>
          <w:rFonts w:ascii="Arial" w:hAnsi="Arial" w:cs="Arial"/>
          <w:sz w:val="22"/>
          <w:szCs w:val="22"/>
        </w:rPr>
      </w:pPr>
    </w:p>
    <w:p w14:paraId="5BFD3A3C" w14:textId="77777777" w:rsidR="00972D06" w:rsidRDefault="00972D06" w:rsidP="00F1352A">
      <w:pPr>
        <w:pStyle w:val="p1"/>
        <w:spacing w:before="0" w:beforeAutospacing="0" w:after="0" w:afterAutospacing="0" w:line="360" w:lineRule="auto"/>
        <w:jc w:val="both"/>
        <w:rPr>
          <w:rStyle w:val="s1"/>
          <w:rFonts w:ascii="Arial" w:hAnsi="Arial" w:cs="Arial"/>
          <w:sz w:val="22"/>
          <w:szCs w:val="22"/>
        </w:rPr>
      </w:pPr>
    </w:p>
    <w:p w14:paraId="273D9A60" w14:textId="77777777" w:rsidR="00972D06" w:rsidRDefault="00972D06" w:rsidP="00F1352A">
      <w:pPr>
        <w:pStyle w:val="p1"/>
        <w:spacing w:before="0" w:beforeAutospacing="0" w:after="0" w:afterAutospacing="0" w:line="360" w:lineRule="auto"/>
        <w:jc w:val="both"/>
        <w:rPr>
          <w:rStyle w:val="s1"/>
          <w:rFonts w:ascii="Arial" w:hAnsi="Arial" w:cs="Arial"/>
          <w:sz w:val="22"/>
          <w:szCs w:val="22"/>
        </w:rPr>
      </w:pPr>
    </w:p>
    <w:p w14:paraId="2C2DB4E0" w14:textId="77777777" w:rsidR="00972D06" w:rsidRDefault="00972D06" w:rsidP="00F1352A">
      <w:pPr>
        <w:pStyle w:val="p1"/>
        <w:spacing w:before="0" w:beforeAutospacing="0" w:after="0" w:afterAutospacing="0" w:line="360" w:lineRule="auto"/>
        <w:jc w:val="both"/>
        <w:rPr>
          <w:rStyle w:val="s1"/>
          <w:rFonts w:ascii="Arial" w:hAnsi="Arial" w:cs="Arial"/>
          <w:sz w:val="22"/>
          <w:szCs w:val="22"/>
        </w:rPr>
      </w:pPr>
    </w:p>
    <w:p w14:paraId="13CEE561" w14:textId="2CA04B7F" w:rsidR="00972D06" w:rsidRDefault="00972D06" w:rsidP="12885BF6">
      <w:pPr>
        <w:pStyle w:val="p1"/>
        <w:spacing w:before="0" w:beforeAutospacing="0" w:after="0" w:afterAutospacing="0" w:line="360" w:lineRule="auto"/>
        <w:jc w:val="both"/>
        <w:rPr>
          <w:rStyle w:val="s1"/>
          <w:rFonts w:ascii="Arial" w:hAnsi="Arial" w:cs="Arial"/>
          <w:sz w:val="22"/>
          <w:szCs w:val="22"/>
        </w:rPr>
      </w:pPr>
    </w:p>
    <w:p w14:paraId="27D68760" w14:textId="0629FE84" w:rsidR="00972D06" w:rsidRDefault="00972D06" w:rsidP="00F1352A">
      <w:pPr>
        <w:pStyle w:val="p1"/>
        <w:spacing w:before="0" w:beforeAutospacing="0" w:after="0" w:afterAutospacing="0" w:line="360" w:lineRule="auto"/>
        <w:jc w:val="both"/>
        <w:rPr>
          <w:rStyle w:val="s1"/>
          <w:rFonts w:ascii="Arial" w:hAnsi="Arial" w:cs="Arial"/>
          <w:sz w:val="22"/>
          <w:szCs w:val="22"/>
        </w:rPr>
      </w:pPr>
    </w:p>
    <w:p w14:paraId="6063A7EA" w14:textId="124FE1A0" w:rsidR="00972D06" w:rsidRDefault="00972D06" w:rsidP="00F1352A">
      <w:pPr>
        <w:pStyle w:val="p1"/>
        <w:spacing w:before="0" w:beforeAutospacing="0" w:after="0" w:afterAutospacing="0" w:line="360" w:lineRule="auto"/>
        <w:jc w:val="both"/>
        <w:rPr>
          <w:rStyle w:val="s1"/>
          <w:rFonts w:ascii="Arial" w:hAnsi="Arial" w:cs="Arial"/>
          <w:sz w:val="22"/>
          <w:szCs w:val="22"/>
        </w:rPr>
      </w:pPr>
    </w:p>
    <w:p w14:paraId="72FFAA4F" w14:textId="61037545" w:rsidR="00972D06" w:rsidRDefault="00972D06" w:rsidP="00F1352A">
      <w:pPr>
        <w:pStyle w:val="p1"/>
        <w:spacing w:before="0" w:beforeAutospacing="0" w:after="0" w:afterAutospacing="0" w:line="360" w:lineRule="auto"/>
        <w:jc w:val="both"/>
        <w:rPr>
          <w:rStyle w:val="s1"/>
          <w:rFonts w:ascii="Arial" w:hAnsi="Arial" w:cs="Arial"/>
          <w:sz w:val="22"/>
          <w:szCs w:val="22"/>
        </w:rPr>
      </w:pPr>
    </w:p>
    <w:p w14:paraId="2FF89303" w14:textId="207888BC" w:rsidR="00505532" w:rsidRPr="00505532" w:rsidRDefault="00505532" w:rsidP="00505532">
      <w:pPr>
        <w:rPr>
          <w:rFonts w:eastAsiaTheme="minorHAnsi"/>
          <w:lang w:eastAsia="en-US"/>
        </w:rPr>
      </w:pPr>
      <w:r w:rsidRPr="00505532">
        <w:rPr>
          <w:rFonts w:eastAsiaTheme="minorHAnsi"/>
          <w:noProof/>
          <w:color w:val="156082" w:themeColor="accent1"/>
          <w:sz w:val="36"/>
          <w:szCs w:val="36"/>
          <w:lang w:eastAsia="en-US"/>
        </w:rPr>
        <mc:AlternateContent>
          <mc:Choice Requires="wpg">
            <w:drawing>
              <wp:anchor distT="0" distB="0" distL="114300" distR="114300" simplePos="0" relativeHeight="251658241" behindDoc="1" locked="0" layoutInCell="1" allowOverlap="1" wp14:anchorId="7C2DBA7D" wp14:editId="4B2244C6">
                <wp:simplePos x="0" y="0"/>
                <mc:AlternateContent>
                  <mc:Choice Requires="wp14">
                    <wp:positionH relativeFrom="page">
                      <wp14:pctPosHOffset>22000</wp14:pctPosHOffset>
                    </wp:positionH>
                  </mc:Choice>
                  <mc:Fallback>
                    <wp:positionH relativeFrom="page">
                      <wp:posOffset>1663065</wp:posOffset>
                    </wp:positionH>
                  </mc:Fallback>
                </mc:AlternateContent>
                <mc:AlternateContent>
                  <mc:Choice Requires="wp14">
                    <wp:positionV relativeFrom="page">
                      <wp14:pctPosVOffset>30000</wp14:pctPosVOffset>
                    </wp:positionV>
                  </mc:Choice>
                  <mc:Fallback>
                    <wp:positionV relativeFrom="page">
                      <wp:posOffset>3207385</wp:posOffset>
                    </wp:positionV>
                  </mc:Fallback>
                </mc:AlternateContent>
                <wp:extent cx="5494369" cy="5696712"/>
                <wp:effectExtent l="0" t="0" r="0" b="3175"/>
                <wp:wrapNone/>
                <wp:docPr id="63" name="Group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 noChangeAspect="1"/>
                      </wpg:cNvGrpSpPr>
                      <wpg:grpSpPr>
                        <a:xfrm>
                          <a:off x="0" y="0"/>
                          <a:ext cx="5494369" cy="5696712"/>
                          <a:chOff x="0" y="0"/>
                          <a:chExt cx="4329113" cy="4491038"/>
                        </a:xfr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</wpg:grpSpPr>
                      <wps:wsp>
                        <wps:cNvPr id="64" name="Freeform 64"/>
                        <wps:cNvSpPr>
                          <a:spLocks/>
                        </wps:cNvSpPr>
                        <wps:spPr bwMode="auto">
                          <a:xfrm>
                            <a:off x="1501775" y="0"/>
                            <a:ext cx="2827338" cy="2835275"/>
                          </a:xfrm>
                          <a:custGeom>
                            <a:avLst/>
                            <a:gdLst>
                              <a:gd name="T0" fmla="*/ 4 w 1781"/>
                              <a:gd name="T1" fmla="*/ 1786 h 1786"/>
                              <a:gd name="T2" fmla="*/ 0 w 1781"/>
                              <a:gd name="T3" fmla="*/ 1782 h 1786"/>
                              <a:gd name="T4" fmla="*/ 1776 w 1781"/>
                              <a:gd name="T5" fmla="*/ 0 h 1786"/>
                              <a:gd name="T6" fmla="*/ 1781 w 1781"/>
                              <a:gd name="T7" fmla="*/ 5 h 1786"/>
                              <a:gd name="T8" fmla="*/ 4 w 1781"/>
                              <a:gd name="T9" fmla="*/ 1786 h 178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1781" h="1786">
                                <a:moveTo>
                                  <a:pt x="4" y="1786"/>
                                </a:moveTo>
                                <a:lnTo>
                                  <a:pt x="0" y="1782"/>
                                </a:lnTo>
                                <a:lnTo>
                                  <a:pt x="1776" y="0"/>
                                </a:lnTo>
                                <a:lnTo>
                                  <a:pt x="1781" y="5"/>
                                </a:lnTo>
                                <a:lnTo>
                                  <a:pt x="4" y="178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5" name="Freeform 65"/>
                        <wps:cNvSpPr>
                          <a:spLocks/>
                        </wps:cNvSpPr>
                        <wps:spPr bwMode="auto">
                          <a:xfrm>
                            <a:off x="782637" y="227013"/>
                            <a:ext cx="3546475" cy="3546475"/>
                          </a:xfrm>
                          <a:custGeom>
                            <a:avLst/>
                            <a:gdLst>
                              <a:gd name="T0" fmla="*/ 5 w 2234"/>
                              <a:gd name="T1" fmla="*/ 2234 h 2234"/>
                              <a:gd name="T2" fmla="*/ 0 w 2234"/>
                              <a:gd name="T3" fmla="*/ 2229 h 2234"/>
                              <a:gd name="T4" fmla="*/ 2229 w 2234"/>
                              <a:gd name="T5" fmla="*/ 0 h 2234"/>
                              <a:gd name="T6" fmla="*/ 2234 w 2234"/>
                              <a:gd name="T7" fmla="*/ 5 h 2234"/>
                              <a:gd name="T8" fmla="*/ 5 w 2234"/>
                              <a:gd name="T9" fmla="*/ 2234 h 223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2234" h="2234">
                                <a:moveTo>
                                  <a:pt x="5" y="2234"/>
                                </a:moveTo>
                                <a:lnTo>
                                  <a:pt x="0" y="2229"/>
                                </a:lnTo>
                                <a:lnTo>
                                  <a:pt x="2229" y="0"/>
                                </a:lnTo>
                                <a:lnTo>
                                  <a:pt x="2234" y="5"/>
                                </a:lnTo>
                                <a:lnTo>
                                  <a:pt x="5" y="2234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6" name="Freeform 66"/>
                        <wps:cNvSpPr>
                          <a:spLocks/>
                        </wps:cNvSpPr>
                        <wps:spPr bwMode="auto">
                          <a:xfrm>
                            <a:off x="841375" y="109538"/>
                            <a:ext cx="3487738" cy="3487738"/>
                          </a:xfrm>
                          <a:custGeom>
                            <a:avLst/>
                            <a:gdLst>
                              <a:gd name="T0" fmla="*/ 9 w 2197"/>
                              <a:gd name="T1" fmla="*/ 2197 h 2197"/>
                              <a:gd name="T2" fmla="*/ 0 w 2197"/>
                              <a:gd name="T3" fmla="*/ 2193 h 2197"/>
                              <a:gd name="T4" fmla="*/ 2188 w 2197"/>
                              <a:gd name="T5" fmla="*/ 0 h 2197"/>
                              <a:gd name="T6" fmla="*/ 2197 w 2197"/>
                              <a:gd name="T7" fmla="*/ 10 h 2197"/>
                              <a:gd name="T8" fmla="*/ 9 w 2197"/>
                              <a:gd name="T9" fmla="*/ 2197 h 219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2197" h="2197">
                                <a:moveTo>
                                  <a:pt x="9" y="2197"/>
                                </a:moveTo>
                                <a:lnTo>
                                  <a:pt x="0" y="2193"/>
                                </a:lnTo>
                                <a:lnTo>
                                  <a:pt x="2188" y="0"/>
                                </a:lnTo>
                                <a:lnTo>
                                  <a:pt x="2197" y="10"/>
                                </a:lnTo>
                                <a:lnTo>
                                  <a:pt x="9" y="219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7" name="Freeform 67"/>
                        <wps:cNvSpPr>
                          <a:spLocks/>
                        </wps:cNvSpPr>
                        <wps:spPr bwMode="auto">
                          <a:xfrm>
                            <a:off x="1216025" y="498475"/>
                            <a:ext cx="3113088" cy="3121025"/>
                          </a:xfrm>
                          <a:custGeom>
                            <a:avLst/>
                            <a:gdLst>
                              <a:gd name="T0" fmla="*/ 9 w 1961"/>
                              <a:gd name="T1" fmla="*/ 1966 h 1966"/>
                              <a:gd name="T2" fmla="*/ 0 w 1961"/>
                              <a:gd name="T3" fmla="*/ 1957 h 1966"/>
                              <a:gd name="T4" fmla="*/ 1952 w 1961"/>
                              <a:gd name="T5" fmla="*/ 0 h 1966"/>
                              <a:gd name="T6" fmla="*/ 1961 w 1961"/>
                              <a:gd name="T7" fmla="*/ 9 h 1966"/>
                              <a:gd name="T8" fmla="*/ 9 w 1961"/>
                              <a:gd name="T9" fmla="*/ 1966 h 196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1961" h="1966">
                                <a:moveTo>
                                  <a:pt x="9" y="1966"/>
                                </a:moveTo>
                                <a:lnTo>
                                  <a:pt x="0" y="1957"/>
                                </a:lnTo>
                                <a:lnTo>
                                  <a:pt x="1952" y="0"/>
                                </a:lnTo>
                                <a:lnTo>
                                  <a:pt x="1961" y="9"/>
                                </a:lnTo>
                                <a:lnTo>
                                  <a:pt x="9" y="1966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8" name="Freeform 68"/>
                        <wps:cNvSpPr>
                          <a:spLocks/>
                        </wps:cNvSpPr>
                        <wps:spPr bwMode="auto">
                          <a:xfrm>
                            <a:off x="0" y="153988"/>
                            <a:ext cx="4329113" cy="4337050"/>
                          </a:xfrm>
                          <a:custGeom>
                            <a:avLst/>
                            <a:gdLst>
                              <a:gd name="T0" fmla="*/ 0 w 2727"/>
                              <a:gd name="T1" fmla="*/ 2732 h 2732"/>
                              <a:gd name="T2" fmla="*/ 0 w 2727"/>
                              <a:gd name="T3" fmla="*/ 2728 h 2732"/>
                              <a:gd name="T4" fmla="*/ 2722 w 2727"/>
                              <a:gd name="T5" fmla="*/ 0 h 2732"/>
                              <a:gd name="T6" fmla="*/ 2727 w 2727"/>
                              <a:gd name="T7" fmla="*/ 5 h 2732"/>
                              <a:gd name="T8" fmla="*/ 0 w 2727"/>
                              <a:gd name="T9" fmla="*/ 2732 h 27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2727" h="2732">
                                <a:moveTo>
                                  <a:pt x="0" y="2732"/>
                                </a:moveTo>
                                <a:lnTo>
                                  <a:pt x="0" y="2728"/>
                                </a:lnTo>
                                <a:lnTo>
                                  <a:pt x="2722" y="0"/>
                                </a:lnTo>
                                <a:lnTo>
                                  <a:pt x="2727" y="5"/>
                                </a:lnTo>
                                <a:lnTo>
                                  <a:pt x="0" y="27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wgp>
                  </a:graphicData>
                </a:graphic>
                <wp14:sizeRelH relativeFrom="page">
                  <wp14:pctWidth>70600</wp14:pctWidth>
                </wp14:sizeRelH>
                <wp14:sizeRelV relativeFrom="page">
                  <wp14:pctHeight>56600</wp14:pctHeight>
                </wp14:sizeRelV>
              </wp:anchor>
            </w:drawing>
          </mc:Choice>
          <mc:Fallback xmlns:arto="http://schemas.microsoft.com/office/word/2006/arto" xmlns:a14="http://schemas.microsoft.com/office/drawing/2010/main" xmlns:a="http://schemas.openxmlformats.org/drawingml/2006/main">
            <w:pict>
              <v:group id="Group 2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spid="_x0000_s1026" w14:anchorId="1A5E4CA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">
                <o:lock v:ext="edit" aspectratio="t"/>
                <v:shape id="Freeform 64" style="position:absolute;left:15017;width:28274;height:28352;visibility:visible;mso-wrap-style:square;v-text-anchor:top" coordsize="1781,1786" o:spid="_x0000_s1027" fillcolor="#2c7fce [1951]" stroked="f" path="m4,1786l,1782,1776,r5,5l4,178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">
                  <v:path arrowok="t" o:connecttype="custom" o:connectlocs="6350,2835275;0,2828925;2819400,0;2827338,7938;6350,2835275" o:connectangles="0,0,0,0,0"/>
                </v:shape>
                <v:shape id="Freeform 65" style="position:absolute;left:7826;top:2270;width:35465;height:35464;visibility:visible;mso-wrap-style:square;v-text-anchor:top" coordsize="2234,2234" o:spid="_x0000_s1028" filled="f" stroked="f" path="m5,2234l,2229,2229,r5,5l5,2234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>
                  <v:path arrowok="t" o:connecttype="custom" o:connectlocs="7938,3546475;0,3538538;3538538,0;3546475,7938;7938,3546475" o:connectangles="0,0,0,0,0"/>
                </v:shape>
                <v:shape id="Freeform 66" style="position:absolute;left:8413;top:1095;width:34878;height:34877;visibility:visible;mso-wrap-style:square;v-text-anchor:top" coordsize="2197,2197" o:spid="_x0000_s1029" fillcolor="#2c7fce [1951]" stroked="f" path="m9,2197l,2193,2188,r9,10l9,2197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">
                  <v:path arrowok="t" o:connecttype="custom" o:connectlocs="14288,3487738;0,3481388;3473450,0;3487738,15875;14288,3487738" o:connectangles="0,0,0,0,0"/>
                </v:shape>
                <v:shape id="Freeform 67" style="position:absolute;left:12160;top:4984;width:31131;height:31211;visibility:visible;mso-wrap-style:square;v-text-anchor:top" coordsize="1961,1966" o:spid="_x0000_s1030" filled="f" stroked="f" path="m9,1966l,1957,1952,r9,9l9,196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>
                  <v:path arrowok="t" o:connecttype="custom" o:connectlocs="14288,3121025;0,3106738;3098800,0;3113088,14288;14288,3121025" o:connectangles="0,0,0,0,0"/>
                </v:shape>
                <v:shape id="Freeform 68" style="position:absolute;top:1539;width:43291;height:43371;visibility:visible;mso-wrap-style:square;v-text-anchor:top" coordsize="2727,2732" o:spid="_x0000_s1031" fillcolor="#2c7fce [1951]" stroked="f" path="m,2732r,-4l2722,r5,5l,2732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">
                  <v:path arrowok="t" o:connecttype="custom" o:connectlocs="0,4337050;0,4330700;4321175,0;4329113,7938;0,4337050" o:connectangles="0,0,0,0,0"/>
                </v:shape>
                <w10:wrap anchorx="page" anchory="page"/>
              </v:group>
            </w:pict>
          </mc:Fallback>
        </mc:AlternateContent>
      </w:r>
      <w:r w:rsidRPr="00505532">
        <w:rPr>
          <w:rFonts w:eastAsiaTheme="minorHAnsi"/>
          <w:noProof/>
          <w:lang w:eastAsia="en-US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3AC1186" wp14:editId="3751B827">
                <wp:simplePos x="0" y="0"/>
                <wp:positionH relativeFrom="page">
                  <wp:align>center</wp:align>
                </wp:positionH>
                <wp:positionV relativeFrom="margin">
                  <wp:align>bottom</wp:align>
                </wp:positionV>
                <wp:extent cx="5943600" cy="374904"/>
                <wp:effectExtent l="0" t="0" r="7620" b="6985"/>
                <wp:wrapNone/>
                <wp:docPr id="69" name="Text Box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3600" cy="37490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078D7AC" w14:textId="11EF2C32" w:rsidR="00505532" w:rsidRDefault="00FD43FE">
                            <w:pPr>
                              <w:pStyle w:val="NoSpacing"/>
                              <w:jc w:val="right"/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</w:pPr>
                            <w:sdt>
                              <w:sdtP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alias w:val="School"/>
                                <w:tag w:val="School"/>
                                <w:id w:val="1850680582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3C5FC3"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Lecturer: Dr Kennedy Oboh</w:t>
                                </w:r>
                                <w:r w:rsidR="00C15D14"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wemu</w:t>
                                </w:r>
                              </w:sdtContent>
                            </w:sdt>
                          </w:p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Course"/>
                              <w:tag w:val="Course"/>
                              <w:id w:val="1717703537"/>
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<w:text/>
                            </w:sdtPr>
                            <w:sdtContent>
                              <w:p w14:paraId="16F6D613" w14:textId="53CF6C56" w:rsidR="00505532" w:rsidRDefault="00C15D14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Sunday 15th March 2026</w:t>
                                </w:r>
                              </w:p>
                            </w:sdtContent>
                          </w:sdt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76500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AC1186" id="Text Box 73" o:spid="_x0000_s1027" type="#_x0000_t202" style="position:absolute;margin-left:0;margin-top:0;width:468pt;height:29.5pt;z-index:251658240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<v:textbox style="mso-fit-shape-to-text:t" inset="0,0,0,0">
                  <w:txbxContent>
                    <w:p w14:paraId="6078D7AC" w14:textId="11EF2C32" w:rsidR="00505532" w:rsidRDefault="00FD43FE">
                      <w:pPr>
                        <w:pStyle w:val="NoSpacing"/>
                        <w:jc w:val="right"/>
                        <w:rPr>
                          <w:color w:val="156082" w:themeColor="accent1"/>
                          <w:sz w:val="36"/>
                          <w:szCs w:val="36"/>
                        </w:rPr>
                      </w:pPr>
                      <w:sdt>
                        <w:sdtPr>
                          <w:rPr>
                            <w:color w:val="156082" w:themeColor="accent1"/>
                            <w:sz w:val="36"/>
                            <w:szCs w:val="36"/>
                          </w:rPr>
                          <w:alias w:val="School"/>
                          <w:tag w:val="School"/>
                          <w:id w:val="1850680582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 w:rsidR="003C5FC3"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>Lecturer: Dr Kennedy Oboh</w:t>
                          </w:r>
                          <w:r w:rsidR="00C15D14"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>wemu</w:t>
                          </w:r>
                        </w:sdtContent>
                      </w:sdt>
                    </w:p>
                    <w:sdt>
                      <w:sdtPr>
                        <w:rPr>
                          <w:color w:val="156082" w:themeColor="accent1"/>
                          <w:sz w:val="36"/>
                          <w:szCs w:val="36"/>
                        </w:rPr>
                        <w:alias w:val="Course"/>
                        <w:tag w:val="Course"/>
                        <w:id w:val="1717703537"/>
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<w:text/>
                      </w:sdtPr>
                      <w:sdtContent>
                        <w:p w14:paraId="16F6D613" w14:textId="53CF6C56" w:rsidR="00505532" w:rsidRDefault="00C15D14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>Sunday 15th March 2026</w:t>
                          </w:r>
                        </w:p>
                      </w:sdtContent>
                    </w:sdt>
                  </w:txbxContent>
                </v:textbox>
                <w10:wrap anchorx="page" anchory="margin"/>
              </v:shape>
            </w:pict>
          </mc:Fallback>
        </mc:AlternateContent>
      </w:r>
    </w:p>
    <w:p w14:paraId="17C020B1" w14:textId="25D0A4CF" w:rsidR="00AC186F" w:rsidRPr="00AC186F" w:rsidRDefault="00505532" w:rsidP="00AC186F">
      <w:pPr>
        <w:rPr>
          <w:rFonts w:eastAsiaTheme="minorHAnsi"/>
          <w:lang w:eastAsia="en-US"/>
        </w:rPr>
      </w:pPr>
      <w:r w:rsidRPr="00505532">
        <w:rPr>
          <w:rFonts w:eastAsiaTheme="minorHAnsi"/>
          <w:lang w:eastAsia="en-US"/>
        </w:rPr>
        <w:br w:type="page"/>
      </w:r>
    </w:p>
    <w:p w14:paraId="40B2DD26" w14:textId="77777777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Ajluni, V. (2023).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Respecting autonomy: Prioritizing patient-centered care and decision-making capacity for stronger doctor–patient relationships.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Journal of Family Medicine and Primary Care</w:t>
      </w:r>
      <w:r w:rsidRPr="00AC186F">
        <w:rPr>
          <w:rStyle w:val="s2"/>
          <w:rFonts w:asciiTheme="minorBidi" w:hAnsiTheme="minorBidi" w:cstheme="minorBidi"/>
          <w:i/>
          <w:iCs/>
          <w:sz w:val="22"/>
          <w:szCs w:val="22"/>
        </w:rPr>
        <w:t>,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12(8), pp.1752–1753. DOI: </w:t>
      </w:r>
      <w:hyperlink r:id="rId5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https://doi.org/10.4103/jfmpc.jfmpc_712_23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</w:p>
    <w:p w14:paraId="3AEBB163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</w:p>
    <w:p w14:paraId="28DAD326" w14:textId="77777777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Andersson, M., Nordin, A., Fredholm, A. and Engström, Å. (2023).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The four domains of the person-centred practice framework from the perspective of critical care nurses in intensive care units during a pandemic.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Intensive and Critical Care Nursing</w:t>
      </w:r>
      <w:r w:rsidRPr="00AC186F">
        <w:rPr>
          <w:rStyle w:val="s2"/>
          <w:rFonts w:asciiTheme="minorBidi" w:hAnsiTheme="minorBidi" w:cstheme="minorBidi"/>
          <w:i/>
          <w:iCs/>
          <w:sz w:val="22"/>
          <w:szCs w:val="22"/>
        </w:rPr>
        <w:t>,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78(78), pp.103449–103449. DOI: </w:t>
      </w:r>
      <w:hyperlink r:id="rId6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https://doi.org/10.1016/j.iccn.2023.103449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</w:p>
    <w:p w14:paraId="613D5B8B" w14:textId="5E61211F" w:rsidR="00AC186F" w:rsidRPr="00AC186F" w:rsidRDefault="00D10802" w:rsidP="006A7EC4">
      <w:pPr>
        <w:pStyle w:val="p1"/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D10802">
        <w:rPr>
          <w:rFonts w:asciiTheme="minorBidi" w:hAnsiTheme="minorBidi" w:cstheme="minorBidi"/>
          <w:sz w:val="22"/>
          <w:szCs w:val="22"/>
        </w:rPr>
        <w:t>Babazadeh, T., Soheila Ranjbaran, Pourrazavi, S., Khalil Maleki Chollou, Akbar Nadi and Erfan Saeedi Tazekand (2025). Self-efficacy, self-esteem, and happiness in older adults: A cross-sectional study. </w:t>
      </w:r>
      <w:r w:rsidRPr="00D10802">
        <w:rPr>
          <w:rFonts w:asciiTheme="minorBidi" w:hAnsiTheme="minorBidi" w:cstheme="minorBidi"/>
          <w:i/>
          <w:iCs/>
          <w:sz w:val="22"/>
          <w:szCs w:val="22"/>
        </w:rPr>
        <w:t>PLoS ONE</w:t>
      </w:r>
      <w:r w:rsidRPr="00D10802">
        <w:rPr>
          <w:rFonts w:asciiTheme="minorBidi" w:hAnsiTheme="minorBidi" w:cstheme="minorBidi"/>
          <w:sz w:val="22"/>
          <w:szCs w:val="22"/>
        </w:rPr>
        <w:t xml:space="preserve">, 20(3), pp.e0319269–e0319269. </w:t>
      </w:r>
      <w:r w:rsidR="006A7EC4">
        <w:rPr>
          <w:rFonts w:asciiTheme="minorBidi" w:hAnsiTheme="minorBidi" w:cstheme="minorBidi"/>
          <w:sz w:val="22"/>
          <w:szCs w:val="22"/>
        </w:rPr>
        <w:t xml:space="preserve">DOI: </w:t>
      </w:r>
      <w:hyperlink r:id="rId7" w:history="1">
        <w:r w:rsidR="006A7EC4" w:rsidRPr="00D10802">
          <w:rPr>
            <w:rStyle w:val="Hyperlink"/>
            <w:rFonts w:asciiTheme="minorBidi" w:hAnsiTheme="minorBidi" w:cstheme="minorBidi"/>
            <w:sz w:val="22"/>
            <w:szCs w:val="22"/>
          </w:rPr>
          <w:t>https://doi.org/10.1371/journal.pone.0319269</w:t>
        </w:r>
      </w:hyperlink>
      <w:r w:rsidRPr="00D10802">
        <w:rPr>
          <w:rFonts w:asciiTheme="minorBidi" w:hAnsiTheme="minorBidi" w:cstheme="minorBidi"/>
          <w:sz w:val="22"/>
          <w:szCs w:val="22"/>
        </w:rPr>
        <w:t>.</w:t>
      </w:r>
      <w:r w:rsidR="006A7EC4">
        <w:rPr>
          <w:rFonts w:asciiTheme="minorBidi" w:hAnsiTheme="minorBidi" w:cstheme="minorBidi"/>
          <w:sz w:val="22"/>
          <w:szCs w:val="22"/>
        </w:rPr>
        <w:t xml:space="preserve">  </w:t>
      </w:r>
    </w:p>
    <w:p w14:paraId="6DE31233" w14:textId="77777777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Coulter, A., Entwistle, V.A., Eccles, A., Ryan, S., Shepperd, S. and Perera, R. (2015).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Personalised care planning for adults with chronic or long-term health conditions.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Cochrane Database of Systematic Reviews</w:t>
      </w:r>
      <w:r w:rsidRPr="00AC186F">
        <w:rPr>
          <w:rStyle w:val="s2"/>
          <w:rFonts w:asciiTheme="minorBidi" w:hAnsiTheme="minorBidi" w:cstheme="minorBidi"/>
          <w:i/>
          <w:iCs/>
          <w:sz w:val="22"/>
          <w:szCs w:val="22"/>
        </w:rPr>
        <w:t xml:space="preserve">, 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3(3). DOI: </w:t>
      </w:r>
      <w:hyperlink r:id="rId8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https://doi.org/10.1002/14651858.cd010523.pub2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</w:p>
    <w:p w14:paraId="04F7AAB4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</w:p>
    <w:p w14:paraId="3B3E0D9D" w14:textId="77777777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Expósito</w:t>
      </w:r>
      <w:r w:rsidRPr="00AC186F">
        <w:rPr>
          <w:rStyle w:val="s1"/>
          <w:rFonts w:ascii="Cambria Math" w:hAnsi="Cambria Math" w:cs="Cambria Math"/>
          <w:sz w:val="22"/>
          <w:szCs w:val="22"/>
        </w:rPr>
        <w:t>‐</w:t>
      </w:r>
      <w:r w:rsidRPr="00AC186F">
        <w:rPr>
          <w:rStyle w:val="s1"/>
          <w:rFonts w:asciiTheme="minorBidi" w:hAnsiTheme="minorBidi" w:cstheme="minorBidi"/>
          <w:sz w:val="22"/>
          <w:szCs w:val="22"/>
        </w:rPr>
        <w:t>Jiménez, A., Alcaide</w:t>
      </w:r>
      <w:r w:rsidRPr="00AC186F">
        <w:rPr>
          <w:rStyle w:val="s1"/>
          <w:rFonts w:ascii="Cambria Math" w:hAnsi="Cambria Math" w:cs="Cambria Math"/>
          <w:sz w:val="22"/>
          <w:szCs w:val="22"/>
        </w:rPr>
        <w:t>‐</w:t>
      </w:r>
      <w:r w:rsidRPr="00AC186F">
        <w:rPr>
          <w:rStyle w:val="s1"/>
          <w:rFonts w:asciiTheme="minorBidi" w:hAnsiTheme="minorBidi" w:cstheme="minorBidi"/>
          <w:sz w:val="22"/>
          <w:szCs w:val="22"/>
        </w:rPr>
        <w:t>Leyva, J.M., Rocío, del and Martínez</w:t>
      </w:r>
      <w:r w:rsidRPr="00AC186F">
        <w:rPr>
          <w:rStyle w:val="s1"/>
          <w:rFonts w:ascii="Cambria Math" w:hAnsi="Cambria Math" w:cs="Cambria Math"/>
          <w:sz w:val="22"/>
          <w:szCs w:val="22"/>
        </w:rPr>
        <w:t>‐</w:t>
      </w:r>
      <w:r w:rsidRPr="00AC186F">
        <w:rPr>
          <w:rStyle w:val="s1"/>
          <w:rFonts w:asciiTheme="minorBidi" w:hAnsiTheme="minorBidi" w:cstheme="minorBidi"/>
          <w:sz w:val="22"/>
          <w:szCs w:val="22"/>
        </w:rPr>
        <w:t>Angulo, P. (2024).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Health communication and shared decision</w:t>
      </w:r>
      <w:r w:rsidRPr="00AC186F">
        <w:rPr>
          <w:rStyle w:val="s2"/>
          <w:rFonts w:ascii="Cambria Math" w:hAnsi="Cambria Math" w:cs="Cambria Math"/>
          <w:sz w:val="22"/>
          <w:szCs w:val="22"/>
        </w:rPr>
        <w:t>‐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making between nurses and older adults in community setting: An integrative review.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Journal of Clinical Nursing</w:t>
      </w:r>
      <w:r w:rsidRPr="00AC186F">
        <w:rPr>
          <w:rStyle w:val="s2"/>
          <w:rFonts w:asciiTheme="minorBidi" w:hAnsiTheme="minorBidi" w:cstheme="minorBidi"/>
          <w:i/>
          <w:iCs/>
          <w:sz w:val="22"/>
          <w:szCs w:val="22"/>
        </w:rPr>
        <w:t>,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33(8). DOI: </w:t>
      </w:r>
      <w:hyperlink r:id="rId9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https://doi.org/10.1111/jocn.17152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</w:p>
    <w:p w14:paraId="73AB2E93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</w:p>
    <w:p w14:paraId="569D06D7" w14:textId="77777777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Jorgensen, K., Lerbaek, B., Frederiksen, J., Watson, E. and Karlsson, B. (2024).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Patient participation in mental health care – perspectives of healthcare professionals and patients: A scoping review.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Issues in Mental Health Nursing</w:t>
      </w:r>
      <w:r w:rsidRPr="00AC186F">
        <w:rPr>
          <w:rStyle w:val="s2"/>
          <w:rFonts w:asciiTheme="minorBidi" w:hAnsiTheme="minorBidi" w:cstheme="minorBidi"/>
          <w:i/>
          <w:iCs/>
          <w:sz w:val="22"/>
          <w:szCs w:val="22"/>
        </w:rPr>
        <w:t xml:space="preserve">, 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45(8), pp.1–17. DOI: </w:t>
      </w:r>
      <w:hyperlink r:id="rId10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https://doi.org/10.1080/01612840.2024.2358931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</w:p>
    <w:p w14:paraId="2A22E4A6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</w:p>
    <w:p w14:paraId="611C58E5" w14:textId="6B9F81DE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Kumar, A.A., Kamath, A., Ashok, L., Kamath, V.G. and Sekaran, V.C. (2025).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Shared decision-making among older adults with multimorbidity in Kerala’s primary care: a qualitative study using the socio-ecological model.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Frontiers in Public Health</w:t>
      </w:r>
      <w:r w:rsidRPr="00AC186F">
        <w:rPr>
          <w:rStyle w:val="s2"/>
          <w:rFonts w:asciiTheme="minorBidi" w:hAnsiTheme="minorBidi" w:cstheme="minorBidi"/>
          <w:i/>
          <w:iCs/>
          <w:sz w:val="22"/>
          <w:szCs w:val="22"/>
        </w:rPr>
        <w:t>,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13. DOI: </w:t>
      </w:r>
      <w:hyperlink r:id="rId11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https://doi.org/10.3389/fpubh.2025.1665368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  <w:r w:rsidR="00B20C35">
        <w:rPr>
          <w:rStyle w:val="s2"/>
          <w:rFonts w:asciiTheme="minorBidi" w:hAnsiTheme="minorBidi" w:cstheme="minorBidi"/>
          <w:sz w:val="22"/>
          <w:szCs w:val="22"/>
        </w:rPr>
        <w:t>/</w:t>
      </w:r>
    </w:p>
    <w:p w14:paraId="036426E7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</w:p>
    <w:p w14:paraId="178B2D86" w14:textId="77777777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Lee, K.G., Gagliardi, A.R., Lofters, A.K., Pinto, A.D. and Maunder, R.G. (2025).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Shared decision-making, the working alliance, and patient-centered care: A simultaneous concept analysis and review of the literature.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Patient Education and Counseling</w:t>
      </w:r>
      <w:r w:rsidRPr="00AC186F">
        <w:rPr>
          <w:rStyle w:val="s2"/>
          <w:rFonts w:asciiTheme="minorBidi" w:hAnsiTheme="minorBidi" w:cstheme="minorBidi"/>
          <w:i/>
          <w:iCs/>
          <w:sz w:val="22"/>
          <w:szCs w:val="22"/>
        </w:rPr>
        <w:t>,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pp.109316–109316. DOI: </w:t>
      </w:r>
      <w:hyperlink r:id="rId12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https://doi.org/10.1016/j.pec.2025.109316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</w:p>
    <w:p w14:paraId="7771FB4C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</w:p>
    <w:p w14:paraId="43ACBCB9" w14:textId="152DAB09" w:rsidR="00AC186F" w:rsidRPr="00AC186F" w:rsidRDefault="00AC186F" w:rsidP="12885BF6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12885BF6">
        <w:rPr>
          <w:rStyle w:val="s1"/>
          <w:rFonts w:asciiTheme="minorBidi" w:hAnsiTheme="minorBidi" w:cstheme="minorBidi"/>
          <w:sz w:val="22"/>
          <w:szCs w:val="22"/>
        </w:rPr>
        <w:t>Lewis, J. and Holm, S. (2022).</w:t>
      </w:r>
      <w:r w:rsidRPr="12885BF6">
        <w:rPr>
          <w:rStyle w:val="s2"/>
          <w:rFonts w:asciiTheme="minorBidi" w:hAnsiTheme="minorBidi" w:cstheme="minorBidi"/>
          <w:sz w:val="22"/>
          <w:szCs w:val="22"/>
        </w:rPr>
        <w:t xml:space="preserve"> Patient autonomy, clinical decision making, and the phenomenological reduction. </w:t>
      </w:r>
      <w:r w:rsidRPr="12885BF6">
        <w:rPr>
          <w:rStyle w:val="s3"/>
          <w:rFonts w:asciiTheme="minorBidi" w:hAnsiTheme="minorBidi" w:cstheme="minorBidi"/>
          <w:i/>
          <w:iCs/>
          <w:sz w:val="22"/>
          <w:szCs w:val="22"/>
        </w:rPr>
        <w:t>Medicine, Health Care and Philosophy</w:t>
      </w:r>
      <w:r w:rsidRPr="12885BF6">
        <w:rPr>
          <w:rStyle w:val="s2"/>
          <w:rFonts w:asciiTheme="minorBidi" w:hAnsiTheme="minorBidi" w:cstheme="minorBidi"/>
          <w:sz w:val="22"/>
          <w:szCs w:val="22"/>
        </w:rPr>
        <w:t xml:space="preserve">, 25(4), pp.615–627. DOI: </w:t>
      </w:r>
      <w:hyperlink r:id="rId13">
        <w:r w:rsidRPr="12885BF6">
          <w:rPr>
            <w:rStyle w:val="Hyperlink"/>
            <w:rFonts w:asciiTheme="minorBidi" w:hAnsiTheme="minorBidi" w:cstheme="minorBidi"/>
            <w:sz w:val="22"/>
            <w:szCs w:val="22"/>
          </w:rPr>
          <w:t>https://doi.org/10.1007/s11019-022-10102-2</w:t>
        </w:r>
      </w:hyperlink>
      <w:r w:rsidRPr="12885BF6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</w:p>
    <w:p w14:paraId="365EA533" w14:textId="4A4A2E3B" w:rsidR="12885BF6" w:rsidRDefault="12885BF6" w:rsidP="12885BF6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</w:p>
    <w:p w14:paraId="2469DEDA" w14:textId="77777777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Lorber, M., Mlinar Reljić, N., McCormack, B. and Kmetec, S. (2025).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Person-centred care in association with psychological well-being of older adults.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Healthcare</w:t>
      </w:r>
      <w:r w:rsidRPr="00AC186F">
        <w:rPr>
          <w:rStyle w:val="s2"/>
          <w:rFonts w:asciiTheme="minorBidi" w:hAnsiTheme="minorBidi" w:cstheme="minorBidi"/>
          <w:i/>
          <w:iCs/>
          <w:sz w:val="22"/>
          <w:szCs w:val="22"/>
        </w:rPr>
        <w:t>,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13(12), p.1379. DOI: </w:t>
      </w:r>
      <w:hyperlink r:id="rId14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https://doi.org/10.3390/healthcare13121379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</w:p>
    <w:p w14:paraId="72990AE2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</w:p>
    <w:p w14:paraId="0C970726" w14:textId="77777777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Marriott</w:t>
      </w:r>
      <w:r w:rsidRPr="00AC186F">
        <w:rPr>
          <w:rStyle w:val="s1"/>
          <w:rFonts w:ascii="Cambria Math" w:hAnsi="Cambria Math" w:cs="Cambria Math"/>
          <w:sz w:val="22"/>
          <w:szCs w:val="22"/>
        </w:rPr>
        <w:t>‐</w:t>
      </w:r>
      <w:r w:rsidRPr="00AC186F">
        <w:rPr>
          <w:rStyle w:val="s1"/>
          <w:rFonts w:asciiTheme="minorBidi" w:hAnsiTheme="minorBidi" w:cstheme="minorBidi"/>
          <w:sz w:val="22"/>
          <w:szCs w:val="22"/>
        </w:rPr>
        <w:t>Statham, K., Dickson, C.A.W. and Hardiman, M. (2022).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Sharing decision</w:t>
      </w:r>
      <w:r w:rsidRPr="00AC186F">
        <w:rPr>
          <w:rStyle w:val="s2"/>
          <w:rFonts w:ascii="Cambria Math" w:hAnsi="Cambria Math" w:cs="Cambria Math"/>
          <w:sz w:val="22"/>
          <w:szCs w:val="22"/>
        </w:rPr>
        <w:t>‐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making between the older person and the nurse: A scoping review.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International Journal of Older People Nursing</w:t>
      </w:r>
      <w:r w:rsidRPr="00AC186F">
        <w:rPr>
          <w:rStyle w:val="s2"/>
          <w:rFonts w:asciiTheme="minorBidi" w:hAnsiTheme="minorBidi" w:cstheme="minorBidi"/>
          <w:i/>
          <w:iCs/>
          <w:sz w:val="22"/>
          <w:szCs w:val="22"/>
        </w:rPr>
        <w:t xml:space="preserve">, 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18(1). DOI: </w:t>
      </w:r>
      <w:hyperlink r:id="rId15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https://doi.org/10.1111/opn.12507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</w:p>
    <w:p w14:paraId="5AD7D684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</w:p>
    <w:p w14:paraId="18F9E7E4" w14:textId="77777777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Martínez-Angulo, P., Rich-Ruiz, M., Ventura-Puertos, P.E. and López-Quero, S. (2023).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Integrating shared decision-making, expressing preferences and active participation of older adults in primary care nursing: a systematic review of qualitative studies and qualitative meta-synthesis.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BMJ Open</w:t>
      </w:r>
      <w:r w:rsidRPr="00AC186F">
        <w:rPr>
          <w:rStyle w:val="s2"/>
          <w:rFonts w:asciiTheme="minorBidi" w:hAnsiTheme="minorBidi" w:cstheme="minorBidi"/>
          <w:i/>
          <w:iCs/>
          <w:sz w:val="22"/>
          <w:szCs w:val="22"/>
        </w:rPr>
        <w:t>,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13(6), p.e071549. DOI: </w:t>
      </w:r>
      <w:hyperlink r:id="rId16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https://doi.org/10.1136/bmjopen-2022-071549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</w:p>
    <w:p w14:paraId="253576DA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</w:p>
    <w:p w14:paraId="4641DA50" w14:textId="77777777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McCance, T. and McCormack, B. (2025).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The person-centred nursing framework: A mid-range theory for nursing practice.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Journal of Research in Nursing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, 30(1), pp.47–60. DOI: </w:t>
      </w:r>
      <w:hyperlink r:id="rId17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https://doi.org/10.1177/17449871241281428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</w:p>
    <w:p w14:paraId="6FE6E191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</w:p>
    <w:p w14:paraId="676109A6" w14:textId="77777777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Mousazadeh, N., Babaieasl, F., Bagherian, S. and Mivehchi, S. (2025).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The spectrum of person-centered care: from luxury to necessity: a descriptive qualitative study.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BMC Nursing</w:t>
      </w:r>
      <w:r w:rsidRPr="00AC186F">
        <w:rPr>
          <w:rStyle w:val="s2"/>
          <w:rFonts w:asciiTheme="minorBidi" w:hAnsiTheme="minorBidi" w:cstheme="minorBidi"/>
          <w:i/>
          <w:iCs/>
          <w:sz w:val="22"/>
          <w:szCs w:val="22"/>
        </w:rPr>
        <w:t>,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24(1). DOI: </w:t>
      </w:r>
      <w:hyperlink r:id="rId18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https://doi.org/10.1186/s12912-025-03737-y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</w:p>
    <w:p w14:paraId="4CE00F17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</w:p>
    <w:p w14:paraId="10BC164D" w14:textId="77777777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National Institute for Health and Care Excellence (2025).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About shared decision making.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Available at: </w:t>
      </w:r>
      <w:hyperlink r:id="rId19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https://www.nice.org.uk/what-nice-does/our-guidance/about-nice-guidelines/about-shared-decision-making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 (Accessed: 1 March 2026).</w:t>
      </w:r>
    </w:p>
    <w:p w14:paraId="53271442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</w:p>
    <w:p w14:paraId="1AB03827" w14:textId="77777777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Švab, I. and Cerovečki, V. (2024).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Person-centred care, a core concept of family medicine.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European Journal of General Practice</w:t>
      </w:r>
      <w:r w:rsidRPr="00AC186F">
        <w:rPr>
          <w:rStyle w:val="s2"/>
          <w:rFonts w:asciiTheme="minorBidi" w:hAnsiTheme="minorBidi" w:cstheme="minorBidi"/>
          <w:i/>
          <w:iCs/>
          <w:sz w:val="22"/>
          <w:szCs w:val="22"/>
        </w:rPr>
        <w:t>,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30(1), pp.1–5. DOI: </w:t>
      </w:r>
      <w:hyperlink r:id="rId20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https://doi.org/10.1080/13814788.2024.2393860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</w:p>
    <w:p w14:paraId="62E99558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</w:p>
    <w:p w14:paraId="75670223" w14:textId="77777777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Varkey, B. (2021).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Principles of clinical ethics and their application to practice.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Medical Principles and Practice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, 30(1), pp.17–28. DOI: </w:t>
      </w:r>
      <w:hyperlink r:id="rId21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https://doi.org/10.1159/000509119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</w:p>
    <w:p w14:paraId="1C0FCE53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</w:p>
    <w:p w14:paraId="0BC9EDFB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Warner, B.E., Wells, M., Vindrola-Padros, C. and Brett, S.J. (2024).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Shared decision-making with older people on treatment escalation planning for acute deterioration in the emergency medical setting: a qualitative study of clinicians’ perspectives (STREAMS-C).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Age and Ageing</w:t>
      </w:r>
      <w:r w:rsidRPr="00AC186F">
        <w:rPr>
          <w:rStyle w:val="s2"/>
          <w:rFonts w:asciiTheme="minorBidi" w:hAnsiTheme="minorBidi" w:cstheme="minorBidi"/>
          <w:i/>
          <w:iCs/>
          <w:sz w:val="22"/>
          <w:szCs w:val="22"/>
        </w:rPr>
        <w:t>,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53(9). DOI: </w:t>
      </w:r>
      <w:hyperlink r:id="rId22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https://doi.org/10.1093/ageing/afae204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</w:p>
    <w:p w14:paraId="5CBB73FF" w14:textId="77777777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World Health Organization. (2015).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</w:t>
      </w:r>
      <w:r w:rsidRPr="00AC186F">
        <w:rPr>
          <w:rStyle w:val="s3"/>
          <w:rFonts w:asciiTheme="minorBidi" w:hAnsiTheme="minorBidi" w:cstheme="minorBidi"/>
          <w:sz w:val="22"/>
          <w:szCs w:val="22"/>
        </w:rPr>
        <w:t>World report on ageing and health.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Available at: </w:t>
      </w:r>
      <w:hyperlink r:id="rId23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https://www.afro.who.int/sites/default/files/2017-06/9789240694811_eng.pdf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(Accessed: 1 March 2026).</w:t>
      </w:r>
    </w:p>
    <w:p w14:paraId="17AEDC5B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</w:p>
    <w:p w14:paraId="1E5DF839" w14:textId="77777777" w:rsid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Style w:val="s2"/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World Health Organization. (2024).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Ageing and health</w:t>
      </w:r>
      <w:r w:rsidRPr="00AC186F">
        <w:rPr>
          <w:rStyle w:val="s3"/>
          <w:rFonts w:asciiTheme="minorBidi" w:hAnsiTheme="minorBidi" w:cstheme="minorBidi"/>
          <w:sz w:val="22"/>
          <w:szCs w:val="22"/>
        </w:rPr>
        <w:t>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Available at: </w:t>
      </w:r>
      <w:hyperlink r:id="rId24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https://www.who.int/news-room/fact-sheets/detail/ageing-and-health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 (Accessed: 1 March 2026).</w:t>
      </w:r>
    </w:p>
    <w:p w14:paraId="33A896DD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</w:p>
    <w:p w14:paraId="16085C7B" w14:textId="77777777" w:rsidR="00AC186F" w:rsidRPr="00AC186F" w:rsidRDefault="00AC186F" w:rsidP="00AC186F">
      <w:pPr>
        <w:pStyle w:val="p1"/>
        <w:spacing w:before="0" w:beforeAutospacing="0" w:after="0" w:afterAutospacing="0"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AC186F">
        <w:rPr>
          <w:rStyle w:val="s1"/>
          <w:rFonts w:asciiTheme="minorBidi" w:hAnsiTheme="minorBidi" w:cstheme="minorBidi"/>
          <w:sz w:val="22"/>
          <w:szCs w:val="22"/>
        </w:rPr>
        <w:t>Wulfse-Huisman, S., Oostra, D., Veldhuizen, J., Bleijenberg, N., Buurman-van Es, B. and Pel-Littel, R. (2025).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 Person-centered shared decision-making in district nursing care on interventions to support independence in older adults with multiple chronic conditions: a video observation study. </w:t>
      </w:r>
      <w:r w:rsidRPr="00AC186F">
        <w:rPr>
          <w:rStyle w:val="s3"/>
          <w:rFonts w:asciiTheme="minorBidi" w:hAnsiTheme="minorBidi" w:cstheme="minorBidi"/>
          <w:i/>
          <w:iCs/>
          <w:sz w:val="22"/>
          <w:szCs w:val="22"/>
        </w:rPr>
        <w:t>BMC Nursing</w:t>
      </w:r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, 24(1). DOI: </w:t>
      </w:r>
      <w:hyperlink r:id="rId25" w:history="1">
        <w:r w:rsidRPr="00AC186F">
          <w:rPr>
            <w:rStyle w:val="Hyperlink"/>
            <w:rFonts w:asciiTheme="minorBidi" w:hAnsiTheme="minorBidi" w:cstheme="minorBidi"/>
            <w:sz w:val="22"/>
            <w:szCs w:val="22"/>
          </w:rPr>
          <w:t>https://doi.org/10.1186/s12912-025-03778-3</w:t>
        </w:r>
      </w:hyperlink>
      <w:r w:rsidRPr="00AC186F">
        <w:rPr>
          <w:rStyle w:val="s2"/>
          <w:rFonts w:asciiTheme="minorBidi" w:hAnsiTheme="minorBidi" w:cstheme="minorBidi"/>
          <w:sz w:val="22"/>
          <w:szCs w:val="22"/>
        </w:rPr>
        <w:t xml:space="preserve">. </w:t>
      </w:r>
    </w:p>
    <w:p w14:paraId="7C42DCB2" w14:textId="77777777" w:rsidR="00C4361F" w:rsidRPr="00F1352A" w:rsidRDefault="00C4361F" w:rsidP="00F1352A">
      <w:pPr>
        <w:spacing w:after="0" w:line="360" w:lineRule="auto"/>
        <w:jc w:val="both"/>
        <w:rPr>
          <w:rFonts w:ascii="Arial" w:hAnsi="Arial" w:cs="Arial"/>
          <w:sz w:val="22"/>
          <w:szCs w:val="22"/>
        </w:rPr>
      </w:pPr>
    </w:p>
    <w:sectPr w:rsidR="00C4361F" w:rsidRPr="00F135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361F"/>
    <w:rsid w:val="00075BFC"/>
    <w:rsid w:val="00080B13"/>
    <w:rsid w:val="000B5DEB"/>
    <w:rsid w:val="000B7A28"/>
    <w:rsid w:val="001227F1"/>
    <w:rsid w:val="00254C55"/>
    <w:rsid w:val="00284E15"/>
    <w:rsid w:val="002B3911"/>
    <w:rsid w:val="002B4947"/>
    <w:rsid w:val="002D03B8"/>
    <w:rsid w:val="002D488A"/>
    <w:rsid w:val="002E3C50"/>
    <w:rsid w:val="003023D5"/>
    <w:rsid w:val="00304455"/>
    <w:rsid w:val="0030609C"/>
    <w:rsid w:val="003238A8"/>
    <w:rsid w:val="003300F4"/>
    <w:rsid w:val="00353F0A"/>
    <w:rsid w:val="003C5FC3"/>
    <w:rsid w:val="003D77DC"/>
    <w:rsid w:val="00445AB4"/>
    <w:rsid w:val="0046044D"/>
    <w:rsid w:val="004A131E"/>
    <w:rsid w:val="00505532"/>
    <w:rsid w:val="005723C2"/>
    <w:rsid w:val="005901DB"/>
    <w:rsid w:val="005942A8"/>
    <w:rsid w:val="005C4724"/>
    <w:rsid w:val="005E47F4"/>
    <w:rsid w:val="006A7EC4"/>
    <w:rsid w:val="006E25AF"/>
    <w:rsid w:val="007224BC"/>
    <w:rsid w:val="007704BF"/>
    <w:rsid w:val="007E410E"/>
    <w:rsid w:val="0080031E"/>
    <w:rsid w:val="00850AA4"/>
    <w:rsid w:val="008631A5"/>
    <w:rsid w:val="00866BA9"/>
    <w:rsid w:val="008F7AC5"/>
    <w:rsid w:val="009133EE"/>
    <w:rsid w:val="00931514"/>
    <w:rsid w:val="00972D06"/>
    <w:rsid w:val="009A056F"/>
    <w:rsid w:val="009B492F"/>
    <w:rsid w:val="00A23A1E"/>
    <w:rsid w:val="00A61203"/>
    <w:rsid w:val="00AB1861"/>
    <w:rsid w:val="00AC186F"/>
    <w:rsid w:val="00AF29D4"/>
    <w:rsid w:val="00B20C35"/>
    <w:rsid w:val="00B80824"/>
    <w:rsid w:val="00BB5CD2"/>
    <w:rsid w:val="00BC518E"/>
    <w:rsid w:val="00BC78D2"/>
    <w:rsid w:val="00C15D14"/>
    <w:rsid w:val="00C4361F"/>
    <w:rsid w:val="00C506CC"/>
    <w:rsid w:val="00C5137E"/>
    <w:rsid w:val="00CA6656"/>
    <w:rsid w:val="00CC5D0B"/>
    <w:rsid w:val="00D10802"/>
    <w:rsid w:val="00D522F7"/>
    <w:rsid w:val="00D740A6"/>
    <w:rsid w:val="00D96B80"/>
    <w:rsid w:val="00DA7291"/>
    <w:rsid w:val="00DD308B"/>
    <w:rsid w:val="00DD70CB"/>
    <w:rsid w:val="00DE73B8"/>
    <w:rsid w:val="00E05975"/>
    <w:rsid w:val="00E142C0"/>
    <w:rsid w:val="00E23F62"/>
    <w:rsid w:val="00E67A23"/>
    <w:rsid w:val="00EB7CA3"/>
    <w:rsid w:val="00F1352A"/>
    <w:rsid w:val="00F5361B"/>
    <w:rsid w:val="00F738A9"/>
    <w:rsid w:val="00F944AC"/>
    <w:rsid w:val="00FB00E9"/>
    <w:rsid w:val="00FB0A45"/>
    <w:rsid w:val="00FD43FE"/>
    <w:rsid w:val="00FD58BB"/>
    <w:rsid w:val="12885BF6"/>
    <w:rsid w:val="17A541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A85C4C"/>
  <w15:chartTrackingRefBased/>
  <w15:docId w15:val="{1BB1F526-D670-4AB5-92EF-4ECC2965D0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36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36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36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36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36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36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36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36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36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36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36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36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36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36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36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36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36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36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36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36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36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36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36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36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36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36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36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36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361F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C4361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C4361F"/>
  </w:style>
  <w:style w:type="character" w:customStyle="1" w:styleId="s2">
    <w:name w:val="s2"/>
    <w:basedOn w:val="DefaultParagraphFont"/>
    <w:rsid w:val="00C4361F"/>
  </w:style>
  <w:style w:type="paragraph" w:customStyle="1" w:styleId="p2">
    <w:name w:val="p2"/>
    <w:basedOn w:val="Normal"/>
    <w:rsid w:val="00C4361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styleId="NormalWeb">
    <w:name w:val="Normal (Web)"/>
    <w:basedOn w:val="Normal"/>
    <w:uiPriority w:val="99"/>
    <w:unhideWhenUsed/>
    <w:rsid w:val="00BC78D2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BC78D2"/>
  </w:style>
  <w:style w:type="character" w:styleId="Hyperlink">
    <w:name w:val="Hyperlink"/>
    <w:basedOn w:val="DefaultParagraphFont"/>
    <w:uiPriority w:val="99"/>
    <w:unhideWhenUsed/>
    <w:rsid w:val="00850AA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0AA4"/>
    <w:rPr>
      <w:color w:val="605E5C"/>
      <w:shd w:val="clear" w:color="auto" w:fill="E1DFDD"/>
    </w:rPr>
  </w:style>
  <w:style w:type="character" w:customStyle="1" w:styleId="s3">
    <w:name w:val="s3"/>
    <w:basedOn w:val="DefaultParagraphFont"/>
    <w:rsid w:val="00DA7291"/>
  </w:style>
  <w:style w:type="paragraph" w:styleId="NoSpacing">
    <w:name w:val="No Spacing"/>
    <w:link w:val="NoSpacingChar"/>
    <w:uiPriority w:val="1"/>
    <w:qFormat/>
    <w:rsid w:val="005723C2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723C2"/>
    <w:rPr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2/14651858.cd010523.pub2" TargetMode="External"/><Relationship Id="rId13" Type="http://schemas.openxmlformats.org/officeDocument/2006/relationships/hyperlink" Target="https://doi.org/10.1007/s11019-022-10102-2" TargetMode="External"/><Relationship Id="rId18" Type="http://schemas.openxmlformats.org/officeDocument/2006/relationships/hyperlink" Target="https://doi.org/10.1186/s12912-025-03737-y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doi.org/10.1159/000509119" TargetMode="External"/><Relationship Id="rId7" Type="http://schemas.openxmlformats.org/officeDocument/2006/relationships/hyperlink" Target="https://doi.org/10.1371/journal.pone.0319269" TargetMode="External"/><Relationship Id="rId12" Type="http://schemas.openxmlformats.org/officeDocument/2006/relationships/hyperlink" Target="https://doi.org/10.1016/j.pec.2025.109316" TargetMode="External"/><Relationship Id="rId17" Type="http://schemas.openxmlformats.org/officeDocument/2006/relationships/hyperlink" Target="https://doi.org/10.1177/17449871241281428" TargetMode="External"/><Relationship Id="rId25" Type="http://schemas.openxmlformats.org/officeDocument/2006/relationships/hyperlink" Target="https://doi.org/10.1186/s12912-025-03778-3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136/bmjopen-2022-071549" TargetMode="External"/><Relationship Id="rId20" Type="http://schemas.openxmlformats.org/officeDocument/2006/relationships/hyperlink" Target="https://doi.org/10.1080/13814788.2024.2393860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oi.org/10.1016/j.iccn.2023.103449" TargetMode="External"/><Relationship Id="rId11" Type="http://schemas.openxmlformats.org/officeDocument/2006/relationships/hyperlink" Target="https://doi.org/10.3389/fpubh.2025.1665368" TargetMode="External"/><Relationship Id="rId24" Type="http://schemas.openxmlformats.org/officeDocument/2006/relationships/hyperlink" Target="https://www.who.int/news-room/fact-sheets/detail/ageing-and-health" TargetMode="External"/><Relationship Id="rId5" Type="http://schemas.openxmlformats.org/officeDocument/2006/relationships/hyperlink" Target="https://doi.org/10.4103/jfmpc.jfmpc_712_23" TargetMode="External"/><Relationship Id="rId15" Type="http://schemas.openxmlformats.org/officeDocument/2006/relationships/hyperlink" Target="https://doi.org/10.1111/opn.12507" TargetMode="External"/><Relationship Id="rId23" Type="http://schemas.openxmlformats.org/officeDocument/2006/relationships/hyperlink" Target="https://www.afro.who.int/sites/default/files/2017-06/9789240694811_eng.pdf" TargetMode="External"/><Relationship Id="rId10" Type="http://schemas.openxmlformats.org/officeDocument/2006/relationships/hyperlink" Target="https://doi.org/10.1080/01612840.2024.2358931" TargetMode="External"/><Relationship Id="rId19" Type="http://schemas.openxmlformats.org/officeDocument/2006/relationships/hyperlink" Target="https://www.nice.org.uk/what-nice-does/our-guidance/about-nice-guidelines/about-shared-decision-mak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11/jocn.17152" TargetMode="External"/><Relationship Id="rId14" Type="http://schemas.openxmlformats.org/officeDocument/2006/relationships/hyperlink" Target="https://doi.org/10.3390/healthcare13121379" TargetMode="External"/><Relationship Id="rId22" Type="http://schemas.openxmlformats.org/officeDocument/2006/relationships/hyperlink" Target="https://doi.org/10.1093/ageing/afae204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1023</Words>
  <Characters>5837</Characters>
  <Application>Microsoft Office Word</Application>
  <DocSecurity>4</DocSecurity>
  <Lines>48</Lines>
  <Paragraphs>13</Paragraphs>
  <ScaleCrop>false</ScaleCrop>
  <Company>Lecturer: Dr Kennedy Obohwemu</Company>
  <LinksUpToDate>false</LinksUpToDate>
  <CharactersWithSpaces>6847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bmhp6027 – EMPOWERING THE OLDER PERSON</dc:title>
  <dc:subject>COMPONENT 2 – Debate References</dc:subject>
  <dc:creator>Sana Ahmed (2314455)</dc:creator>
  <cp:keywords/>
  <dc:description/>
  <cp:lastModifiedBy>Nighat Muneer (2313183)</cp:lastModifiedBy>
  <cp:revision>13</cp:revision>
  <dcterms:created xsi:type="dcterms:W3CDTF">2026-03-11T23:17:00Z</dcterms:created>
  <dcterms:modified xsi:type="dcterms:W3CDTF">2026-03-14T12:12:00Z</dcterms:modified>
  <cp:category>Sunday 15th March 2026</cp:category>
</cp:coreProperties>
</file>