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Elitsa Ivanova </w:t>
      </w:r>
    </w:p>
    <w:p w:rsidR="00000000" w:rsidDel="00000000" w:rsidP="00000000" w:rsidRDefault="00000000" w:rsidRPr="00000000" w14:paraId="00000002">
      <w:pPr>
        <w:rPr/>
      </w:pPr>
      <w:r w:rsidDel="00000000" w:rsidR="00000000" w:rsidRPr="00000000">
        <w:rPr>
          <w:b w:val="1"/>
          <w:rtl w:val="0"/>
        </w:rPr>
        <w:t xml:space="preserve">Student ID:</w:t>
      </w:r>
      <w:r w:rsidDel="00000000" w:rsidR="00000000" w:rsidRPr="00000000">
        <w:rPr>
          <w:rtl w:val="0"/>
        </w:rPr>
        <w:t xml:space="preserve">2123375</w:t>
      </w:r>
    </w:p>
    <w:p w:rsidR="00000000" w:rsidDel="00000000" w:rsidP="00000000" w:rsidRDefault="00000000" w:rsidRPr="00000000" w14:paraId="00000003">
      <w:pPr>
        <w:rPr/>
      </w:pPr>
      <w:r w:rsidDel="00000000" w:rsidR="00000000" w:rsidRPr="00000000">
        <w:rPr>
          <w:b w:val="1"/>
          <w:rtl w:val="0"/>
        </w:rPr>
        <w:t xml:space="preserve">Module code:</w:t>
      </w:r>
      <w:r w:rsidDel="00000000" w:rsidR="00000000" w:rsidRPr="00000000">
        <w:rPr>
          <w:rtl w:val="0"/>
        </w:rPr>
        <w:t xml:space="preserve">LCBB4003</w:t>
      </w:r>
    </w:p>
    <w:p w:rsidR="00000000" w:rsidDel="00000000" w:rsidP="00000000" w:rsidRDefault="00000000" w:rsidRPr="00000000" w14:paraId="00000004">
      <w:pPr>
        <w:rPr/>
      </w:pPr>
      <w:r w:rsidDel="00000000" w:rsidR="00000000" w:rsidRPr="00000000">
        <w:rPr>
          <w:b w:val="1"/>
          <w:rtl w:val="0"/>
        </w:rPr>
        <w:t xml:space="preserve">Module lecturer</w:t>
      </w:r>
      <w:r w:rsidDel="00000000" w:rsidR="00000000" w:rsidRPr="00000000">
        <w:rPr>
          <w:rtl w:val="0"/>
        </w:rPr>
        <w:t xml:space="preserve">:Aparna Venkatesan </w:t>
      </w:r>
    </w:p>
    <w:p w:rsidR="00000000" w:rsidDel="00000000" w:rsidP="00000000" w:rsidRDefault="00000000" w:rsidRPr="00000000" w14:paraId="00000005">
      <w:pPr>
        <w:rPr>
          <w:b w:val="1"/>
          <w:i w:val="1"/>
        </w:rPr>
      </w:pPr>
      <w:r w:rsidDel="00000000" w:rsidR="00000000" w:rsidRPr="00000000">
        <w:rPr>
          <w:b w:val="1"/>
          <w:rtl w:val="0"/>
        </w:rPr>
        <w:t xml:space="preserve">Essay on organisational and culture  structure of</w:t>
      </w:r>
      <w:r w:rsidDel="00000000" w:rsidR="00000000" w:rsidRPr="00000000">
        <w:rPr>
          <w:rtl w:val="0"/>
        </w:rPr>
        <w:t xml:space="preserve"> </w:t>
      </w:r>
      <w:r w:rsidDel="00000000" w:rsidR="00000000" w:rsidRPr="00000000">
        <w:rPr>
          <w:b w:val="1"/>
          <w:i w:val="1"/>
          <w:rtl w:val="0"/>
        </w:rPr>
        <w:t xml:space="preserve">Tesco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480" w:line="480" w:lineRule="auto"/>
        <w:ind w:left="0" w:right="0" w:firstLine="0"/>
        <w:jc w:val="both"/>
        <w:rPr>
          <w:rFonts w:ascii="Times New Roman" w:cs="Times New Roman" w:eastAsia="Times New Roman" w:hAnsi="Times New Roman"/>
          <w:b w:val="1"/>
          <w:i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f5496"/>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structure, organisational culture and performance</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Factors affecting employees’ behaviours</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24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F">
          <w:pPr>
            <w:spacing w:after="240" w:line="48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spacing w:after="240" w:line="360" w:lineRule="auto"/>
        <w:jc w:val="both"/>
        <w:rPr>
          <w:rFonts w:ascii="Times New Roman" w:cs="Times New Roman" w:eastAsia="Times New Roman" w:hAnsi="Times New Roman"/>
          <w:b w:val="1"/>
          <w:sz w:val="28"/>
          <w:szCs w:val="28"/>
        </w:rPr>
      </w:pPr>
      <w:bookmarkStart w:colFirst="0" w:colLast="0" w:name="_heading=h.gjdgxs" w:id="0"/>
      <w:bookmarkEnd w:id="0"/>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14:paraId="0000003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is the largest grocery chain in UK, holding a market share of 26.9%, as of mid-2022 (Kanban, 2022). The organisation is considered as one of the best in the industry and a benchmark for good practices given its dominant position and established brand.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 Grocery chains market share 2022</w:t>
      </w:r>
    </w:p>
    <w:p w:rsidR="00000000" w:rsidDel="00000000" w:rsidP="00000000" w:rsidRDefault="00000000" w:rsidRPr="00000000" w14:paraId="0000003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510" cy="3632751"/>
            <wp:effectExtent b="0" l="0" r="0" t="0"/>
            <wp:docPr descr="A picture containing graphical user interface&#10;&#10;Description automatically generated" id="12" name="image3.png"/>
            <a:graphic>
              <a:graphicData uri="http://schemas.openxmlformats.org/drawingml/2006/picture">
                <pic:pic>
                  <pic:nvPicPr>
                    <pic:cNvPr descr="A picture containing graphical user interface&#10;&#10;Description automatically generated" id="0" name="image3.png"/>
                    <pic:cNvPicPr preferRelativeResize="0"/>
                  </pic:nvPicPr>
                  <pic:blipFill>
                    <a:blip r:embed="rId7"/>
                    <a:srcRect b="0" l="0" r="0" t="0"/>
                    <a:stretch>
                      <a:fillRect/>
                    </a:stretch>
                  </pic:blipFill>
                  <pic:spPr>
                    <a:xfrm>
                      <a:off x="0" y="0"/>
                      <a:ext cx="5731510" cy="3632751"/>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Kanban (2022)</w:t>
      </w:r>
    </w:p>
    <w:p w:rsidR="00000000" w:rsidDel="00000000" w:rsidP="00000000" w:rsidRDefault="00000000" w:rsidRPr="00000000" w14:paraId="0000003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Analysts claim that there are many factors contributing to Tesco’s success and sustainable competitive advantage over rivals. The current report focuses on exploring the role of organisational structure and culture as two of the main determinants of performance. The importance of different influences on employee behaviour is also assessed accordingly. Considering the rivalry and dynamism of the market, these factors are essential to be evaluated, as they are perceived to form the foundation of competitiveness capabilities of the company. </w:t>
      </w:r>
    </w:p>
    <w:p w:rsidR="00000000" w:rsidDel="00000000" w:rsidP="00000000" w:rsidRDefault="00000000" w:rsidRPr="00000000" w14:paraId="00000037">
      <w:pPr>
        <w:pStyle w:val="Heading1"/>
        <w:spacing w:after="240" w:line="360" w:lineRule="auto"/>
        <w:jc w:val="both"/>
        <w:rPr>
          <w:rFonts w:ascii="Times New Roman" w:cs="Times New Roman" w:eastAsia="Times New Roman" w:hAnsi="Times New Roman"/>
          <w:b w:val="1"/>
          <w:sz w:val="28"/>
          <w:szCs w:val="28"/>
        </w:rPr>
      </w:pPr>
      <w:bookmarkStart w:colFirst="0" w:colLast="0" w:name="_heading=h.30j0zll" w:id="1"/>
      <w:bookmarkEnd w:id="1"/>
      <w:r w:rsidDel="00000000" w:rsidR="00000000" w:rsidRPr="00000000">
        <w:rPr>
          <w:rFonts w:ascii="Times New Roman" w:cs="Times New Roman" w:eastAsia="Times New Roman" w:hAnsi="Times New Roman"/>
          <w:b w:val="1"/>
          <w:sz w:val="28"/>
          <w:szCs w:val="28"/>
          <w:rtl w:val="0"/>
        </w:rPr>
        <w:t xml:space="preserve">Organisational structure, organisational culture and performance</w:t>
      </w:r>
    </w:p>
    <w:p w:rsidR="00000000" w:rsidDel="00000000" w:rsidP="00000000" w:rsidRDefault="00000000" w:rsidRPr="00000000" w14:paraId="0000003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structure is defined as the chart representing the architecture of business competence, leadership, talent, functional relationships and arrangements (Tran and Tian, 2013). Organisational structures define some of the most important features of companies, such as span of responsibilities, individual and departmental roles, hierarchical levels of subordination, as well as mechanisms for integration and decision-making (Tran and Tian, 2013). Through developing the organisational structure of entities, owners define the limits and boundaries between different units within the company with the aim to contribute to its more effective performance (Tran and Tian, 2013). </w:t>
      </w:r>
    </w:p>
    <w:p w:rsidR="00000000" w:rsidDel="00000000" w:rsidP="00000000" w:rsidRDefault="00000000" w:rsidRPr="00000000" w14:paraId="0000003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factors which can influence the decision regarding the most optimal structure given the existing business context, size, nature of operations, industry and decision-making patters. These are often driven by internal features, such as the number of functional departments, as well as external influences, including competition, customer interaction needs, nature of industry operations and processes and others (Ahmady et al., 2016; Cooks-Campbell, 2022). </w:t>
      </w:r>
    </w:p>
    <w:p w:rsidR="00000000" w:rsidDel="00000000" w:rsidP="00000000" w:rsidRDefault="00000000" w:rsidRPr="00000000" w14:paraId="0000003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several main types of organisational structures which are identified by scholars. Their design is influenced by factors like level of work specialisation, chain of command, span of control, level of (de)centralisation and formalisation of operations (Olmstead, 2022). Chain of command is associated with the system of passing orders/instructions and providing feedback/reports in return. It shows the power and influence of different individuals within the organisation and helps establishing direction of reporting and subordination. Span of control, on the other hand shows the number of direct subordinates managed by a supervisor (Olmstead, 2022). </w:t>
      </w:r>
    </w:p>
    <w:p w:rsidR="00000000" w:rsidDel="00000000" w:rsidP="00000000" w:rsidRDefault="00000000" w:rsidRPr="00000000" w14:paraId="0000003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Functional organisational structure divides employees and units within a company based on work specialisation and the role of different departments for company’s performance (Olmstead, 2022). It represents a top-down decision-making process where managers/directors of different functional units report to upper management (Olmstead, 2022). </w:t>
      </w:r>
    </w:p>
    <w:p w:rsidR="00000000" w:rsidDel="00000000" w:rsidP="00000000" w:rsidRDefault="00000000" w:rsidRPr="00000000" w14:paraId="0000003C">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2 – Functional structure</w:t>
      </w:r>
    </w:p>
    <w:p w:rsidR="00000000" w:rsidDel="00000000" w:rsidP="00000000" w:rsidRDefault="00000000" w:rsidRPr="00000000" w14:paraId="0000003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88516" cy="1919243"/>
            <wp:effectExtent b="0" l="0" r="0" t="0"/>
            <wp:docPr descr="Timeline&#10;&#10;Description automatically generated with medium confidence" id="14" name="image8.png"/>
            <a:graphic>
              <a:graphicData uri="http://schemas.openxmlformats.org/drawingml/2006/picture">
                <pic:pic>
                  <pic:nvPicPr>
                    <pic:cNvPr descr="Timeline&#10;&#10;Description automatically generated with medium confidence" id="0" name="image8.png"/>
                    <pic:cNvPicPr preferRelativeResize="0"/>
                  </pic:nvPicPr>
                  <pic:blipFill>
                    <a:blip r:embed="rId8"/>
                    <a:srcRect b="0" l="0" r="0" t="0"/>
                    <a:stretch>
                      <a:fillRect/>
                    </a:stretch>
                  </pic:blipFill>
                  <pic:spPr>
                    <a:xfrm>
                      <a:off x="0" y="0"/>
                      <a:ext cx="5788516" cy="1919243"/>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Olmstead (2022)</w:t>
      </w:r>
    </w:p>
    <w:p w:rsidR="00000000" w:rsidDel="00000000" w:rsidP="00000000" w:rsidRDefault="00000000" w:rsidRPr="00000000" w14:paraId="0000004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Divisional organisational structure divides employees on the basis of the production of different items or based on different geographical regions operated by the company.  This structure shows focus placed on different divisions of the company and functional units are organised under each of them (Olmstead, 2022).</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3 – Divisional structure</w:t>
      </w:r>
    </w:p>
    <w:p w:rsidR="00000000" w:rsidDel="00000000" w:rsidP="00000000" w:rsidRDefault="00000000" w:rsidRPr="00000000" w14:paraId="0000004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445710" cy="4328576"/>
            <wp:effectExtent b="0" l="0" r="0" t="0"/>
            <wp:docPr descr="A picture containing graphical user interface&#10;&#10;Description automatically generated" id="13" name="image6.png"/>
            <a:graphic>
              <a:graphicData uri="http://schemas.openxmlformats.org/drawingml/2006/picture">
                <pic:pic>
                  <pic:nvPicPr>
                    <pic:cNvPr descr="A picture containing graphical user interface&#10;&#10;Description automatically generated" id="0" name="image6.png"/>
                    <pic:cNvPicPr preferRelativeResize="0"/>
                  </pic:nvPicPr>
                  <pic:blipFill>
                    <a:blip r:embed="rId9"/>
                    <a:srcRect b="0" l="0" r="0" t="0"/>
                    <a:stretch>
                      <a:fillRect/>
                    </a:stretch>
                  </pic:blipFill>
                  <pic:spPr>
                    <a:xfrm>
                      <a:off x="0" y="0"/>
                      <a:ext cx="5445710" cy="4328576"/>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Olmstead (2022)</w:t>
      </w:r>
    </w:p>
    <w:p w:rsidR="00000000" w:rsidDel="00000000" w:rsidP="00000000" w:rsidRDefault="00000000" w:rsidRPr="00000000" w14:paraId="0000004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Matrix organisational structure is a combined approach which allows team members to report to several managers at once (Olmstead, 2022). Under this structure, projects and tasks are considered to be completed faster but it is more complicated and needs effective communication and clear organisation of tasks and reporting in order to be successful.</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4 – Matrix structure</w:t>
      </w:r>
    </w:p>
    <w:p w:rsidR="00000000" w:rsidDel="00000000" w:rsidP="00000000" w:rsidRDefault="00000000" w:rsidRPr="00000000" w14:paraId="0000004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510" cy="2623654"/>
            <wp:effectExtent b="0" l="0" r="0" t="0"/>
            <wp:docPr descr="Diagram&#10;&#10;Description automatically generated with medium confidence" id="16" name="image7.png"/>
            <a:graphic>
              <a:graphicData uri="http://schemas.openxmlformats.org/drawingml/2006/picture">
                <pic:pic>
                  <pic:nvPicPr>
                    <pic:cNvPr descr="Diagram&#10;&#10;Description automatically generated with medium confidence" id="0" name="image7.png"/>
                    <pic:cNvPicPr preferRelativeResize="0"/>
                  </pic:nvPicPr>
                  <pic:blipFill>
                    <a:blip r:embed="rId10"/>
                    <a:srcRect b="0" l="0" r="0" t="0"/>
                    <a:stretch>
                      <a:fillRect/>
                    </a:stretch>
                  </pic:blipFill>
                  <pic:spPr>
                    <a:xfrm>
                      <a:off x="0" y="0"/>
                      <a:ext cx="5731510" cy="2623654"/>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Olmstead (2022)</w:t>
      </w:r>
    </w:p>
    <w:p w:rsidR="00000000" w:rsidDel="00000000" w:rsidP="00000000" w:rsidRDefault="00000000" w:rsidRPr="00000000" w14:paraId="0000004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case of Tesco, it can be stated that the governance structure of the company is functional. As stated in its annual report, the structure consists of Board of directors on the top and four board committees, responsible for various activities, including audit, corporate responsibility, nominations and governance, as well as remuneration (Tesco, 2022). </w:t>
      </w:r>
    </w:p>
    <w:p w:rsidR="00000000" w:rsidDel="00000000" w:rsidP="00000000" w:rsidRDefault="00000000" w:rsidRPr="00000000" w14:paraId="0000004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regard to organisational structure, it can be considered to be divisional, as the company operates in several regions and each of them has some power locally but reports to upper management at headquarters. </w:t>
      </w:r>
    </w:p>
    <w:p w:rsidR="00000000" w:rsidDel="00000000" w:rsidP="00000000" w:rsidRDefault="00000000" w:rsidRPr="00000000" w14:paraId="0000004B">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5 – Tesco governance structure</w:t>
      </w:r>
    </w:p>
    <w:p w:rsidR="00000000" w:rsidDel="00000000" w:rsidP="00000000" w:rsidRDefault="00000000" w:rsidRPr="00000000" w14:paraId="0000005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614099" cy="6994297"/>
            <wp:effectExtent b="0" l="0" r="0" t="0"/>
            <wp:docPr descr="Table&#10;&#10;Description automatically generated" id="15" name="image4.png"/>
            <a:graphic>
              <a:graphicData uri="http://schemas.openxmlformats.org/drawingml/2006/picture">
                <pic:pic>
                  <pic:nvPicPr>
                    <pic:cNvPr descr="Table&#10;&#10;Description automatically generated" id="0" name="image4.png"/>
                    <pic:cNvPicPr preferRelativeResize="0"/>
                  </pic:nvPicPr>
                  <pic:blipFill>
                    <a:blip r:embed="rId11"/>
                    <a:srcRect b="0" l="0" r="0" t="0"/>
                    <a:stretch>
                      <a:fillRect/>
                    </a:stretch>
                  </pic:blipFill>
                  <pic:spPr>
                    <a:xfrm>
                      <a:off x="0" y="0"/>
                      <a:ext cx="5614099" cy="6994297"/>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Tesco (2022)</w:t>
      </w:r>
    </w:p>
    <w:p w:rsidR="00000000" w:rsidDel="00000000" w:rsidP="00000000" w:rsidRDefault="00000000" w:rsidRPr="00000000" w14:paraId="0000005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culture also affects performance of companies. Organisational cultures develop during the process of companies’ establishment and development through the years, as well as by the way they face and cope with challenges. Some of the main functions of organisational cultures focus on stimulating innovation, providing a sense of belonging, setting out the values and conducts expected by employees and achieve greater cohesion within the entity (Bamidele, 2022). By definition, organisational culture is a set of values and beliefs which represent the way a company does business and are shared among employees and other internal stakeholders (Bamidele, 2022). The characteristics, which define organisational culture, include innovation, approaches to risk-taking, attention to detail, the degree of outcome, people or team orientation, as well as stability and emphasis on agreeableness (Bamidele, 2022). </w:t>
      </w:r>
    </w:p>
    <w:p w:rsidR="00000000" w:rsidDel="00000000" w:rsidP="00000000" w:rsidRDefault="00000000" w:rsidRPr="00000000" w14:paraId="0000005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cultures can be mainly divided into four types according to the Competing Values Framework, developed in the late 1990s. These types include clan, adhocracy, hierarchy and market cultures, defined according to the combinations of two dimensions – degree of stability and control, as well as internal/external focus of the entity (Xanthopoulou et al., 2022). </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6 – Organisational cultures</w:t>
      </w:r>
    </w:p>
    <w:p w:rsidR="00000000" w:rsidDel="00000000" w:rsidP="00000000" w:rsidRDefault="00000000" w:rsidRPr="00000000" w14:paraId="0000005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529099" cy="3848985"/>
            <wp:effectExtent b="0" l="0" r="0" t="0"/>
            <wp:docPr descr="Diagram&#10;&#10;Description automatically generated" id="10" name="image1.png"/>
            <a:graphic>
              <a:graphicData uri="http://schemas.openxmlformats.org/drawingml/2006/picture">
                <pic:pic>
                  <pic:nvPicPr>
                    <pic:cNvPr descr="Diagram&#10;&#10;Description automatically generated" id="0" name="image1.png"/>
                    <pic:cNvPicPr preferRelativeResize="0"/>
                  </pic:nvPicPr>
                  <pic:blipFill>
                    <a:blip r:embed="rId12"/>
                    <a:srcRect b="0" l="0" r="0" t="0"/>
                    <a:stretch>
                      <a:fillRect/>
                    </a:stretch>
                  </pic:blipFill>
                  <pic:spPr>
                    <a:xfrm>
                      <a:off x="0" y="0"/>
                      <a:ext cx="5529099" cy="3848985"/>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Xanthopoulou et al. (2022)</w:t>
      </w:r>
    </w:p>
    <w:p w:rsidR="00000000" w:rsidDel="00000000" w:rsidP="00000000" w:rsidRDefault="00000000" w:rsidRPr="00000000" w14:paraId="0000005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Clan culture focuses on high flexibility, but is internally oriented and focused on employees and other internal stakeholders (Xanthopoulou et al., 2022). Main priorities of such companies are employees’ motivation and engagement and organisational devotement to various stakeholders.</w:t>
      </w:r>
    </w:p>
    <w:p w:rsidR="00000000" w:rsidDel="00000000" w:rsidP="00000000" w:rsidRDefault="00000000" w:rsidRPr="00000000" w14:paraId="0000005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Adhocracy culture also emphasises on adaptability but is rather externally oriented. It focuses on elements like innovation, creativity, taking risks, entrepreneurial spirit and other similar (Xanthopoulou et al., 2022). Very often, digitally disruptive start-up companies develop such culture.</w:t>
      </w:r>
    </w:p>
    <w:p w:rsidR="00000000" w:rsidDel="00000000" w:rsidP="00000000" w:rsidRDefault="00000000" w:rsidRPr="00000000" w14:paraId="0000005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culture is externally oriented but based on severe stability and control. It is goal-oriented and emphasises on consistency of operation and developing competitiveness (Xanthopoulou et al., 2022). A main priority of such entities is to satisfy external stakeholders (Gardner, 2022).</w:t>
      </w:r>
    </w:p>
    <w:p w:rsidR="00000000" w:rsidDel="00000000" w:rsidP="00000000" w:rsidRDefault="00000000" w:rsidRPr="00000000" w14:paraId="0000005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hierarchy culture is internally oriented and also emphasises on control and stability (Xanthopoulou et al., 2022). </w:t>
      </w:r>
    </w:p>
    <w:p w:rsidR="00000000" w:rsidDel="00000000" w:rsidP="00000000" w:rsidRDefault="00000000" w:rsidRPr="00000000" w14:paraId="0000005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this classification, it can be assumed that Tesco’s culture is a mixture between clan and adhocracy. As stated in the company’s annual report, one of the main strategic priorities of the brand is to achieve continuous improvement, reflecting industry trends, evolution of customer needs and the changes on the market (Tesco, 2022). This suggests that the company is relatively adaptive and flexible - key drivers of competitiveness. In addition to that, both internal (e.g. employees) and external (e.g. customers and suppliers) stakeholders are main priorities for the brand and define strategic decisions and performance (Tesco, 2022). This is also evidenced by the six key performance indicators set by the company, illustrated on the figure below.</w:t>
      </w:r>
    </w:p>
    <w:p w:rsidR="00000000" w:rsidDel="00000000" w:rsidP="00000000" w:rsidRDefault="00000000" w:rsidRPr="00000000" w14:paraId="0000005C">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7 – Tesco's main key performance indicators</w:t>
      </w:r>
    </w:p>
    <w:p w:rsidR="00000000" w:rsidDel="00000000" w:rsidP="00000000" w:rsidRDefault="00000000" w:rsidRPr="00000000" w14:paraId="0000006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1510" cy="6384290"/>
            <wp:effectExtent b="0" l="0" r="0" t="0"/>
            <wp:docPr descr="Table&#10;&#10;Description automatically generated" id="9" name="image5.png"/>
            <a:graphic>
              <a:graphicData uri="http://schemas.openxmlformats.org/drawingml/2006/picture">
                <pic:pic>
                  <pic:nvPicPr>
                    <pic:cNvPr descr="Table&#10;&#10;Description automatically generated" id="0" name="image5.png"/>
                    <pic:cNvPicPr preferRelativeResize="0"/>
                  </pic:nvPicPr>
                  <pic:blipFill>
                    <a:blip r:embed="rId13"/>
                    <a:srcRect b="0" l="0" r="0" t="0"/>
                    <a:stretch>
                      <a:fillRect/>
                    </a:stretch>
                  </pic:blipFill>
                  <pic:spPr>
                    <a:xfrm>
                      <a:off x="0" y="0"/>
                      <a:ext cx="5731510" cy="638429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Tesco (2022)</w:t>
      </w:r>
    </w:p>
    <w:p w:rsidR="00000000" w:rsidDel="00000000" w:rsidP="00000000" w:rsidRDefault="00000000" w:rsidRPr="00000000" w14:paraId="0000006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focus on internal stakeholders and shareholders is thus evidence for clan structure. Nevertheless, the dominant culture remains adhocracy given the importance to adapt to external consumer- and market-related trends. This is a key to survival in a dynamic external environment. Given the leadership position of Tesco in the grocery retail sector, the company has adequately addressed the contemporary external trends which show the relevance of adhocracy as a dominant culture. </w:t>
      </w:r>
    </w:p>
    <w:p w:rsidR="00000000" w:rsidDel="00000000" w:rsidP="00000000" w:rsidRDefault="00000000" w:rsidRPr="00000000" w14:paraId="00000065">
      <w:pPr>
        <w:pStyle w:val="Heading1"/>
        <w:spacing w:after="240" w:line="360" w:lineRule="auto"/>
        <w:jc w:val="both"/>
        <w:rPr>
          <w:rFonts w:ascii="Times New Roman" w:cs="Times New Roman" w:eastAsia="Times New Roman" w:hAnsi="Times New Roman"/>
          <w:b w:val="1"/>
          <w:sz w:val="28"/>
          <w:szCs w:val="28"/>
        </w:rPr>
      </w:pPr>
      <w:bookmarkStart w:colFirst="0" w:colLast="0" w:name="_heading=h.1fob9te" w:id="2"/>
      <w:bookmarkEnd w:id="2"/>
      <w:r w:rsidDel="00000000" w:rsidR="00000000" w:rsidRPr="00000000">
        <w:rPr>
          <w:rFonts w:ascii="Times New Roman" w:cs="Times New Roman" w:eastAsia="Times New Roman" w:hAnsi="Times New Roman"/>
          <w:b w:val="1"/>
          <w:sz w:val="28"/>
          <w:szCs w:val="28"/>
          <w:rtl w:val="0"/>
        </w:rPr>
        <w:t xml:space="preserve">Factors affecting employees’ behaviours</w:t>
      </w:r>
    </w:p>
    <w:p w:rsidR="00000000" w:rsidDel="00000000" w:rsidP="00000000" w:rsidRDefault="00000000" w:rsidRPr="00000000" w14:paraId="0000006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performance is a complex concept affected by a large number of factors which need to be considered. Some of the main impacts include leadership style used by managers, the motivational tools used by the company to fulfil employee needs, the degree of clarity of set targets and goals, the lack or presence of performance appraisal, communication and many more (Shaludobya, 2021). </w:t>
      </w:r>
    </w:p>
    <w:p w:rsidR="00000000" w:rsidDel="00000000" w:rsidP="00000000" w:rsidRDefault="00000000" w:rsidRPr="00000000" w14:paraId="0000006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Considering the dynamic nature of retail industry, companies like Tesco need strong leadership which can ensure both the meeting of contemporary challenges and the maximisation of employee welfare and performance. This highlights the importance of leadership style used and imposed. According to the general classification of leadership styles, they can be divided into democratic, autocratic and laissez-faire. Autocratic leadership is associated with individual control over decision-making and the actions of subordinates (Mohammad et al., 2019). Autocratic leaders do not consult and involve employees in any decisions and do what they believe is best. Relationships between such leaders and their subordinates are based on order-giving and no feedback is provided by any side (Mohammad et al., 2019). In general, it is believed that autocratic leadership often leads to demotivation of the workforce and decreasing employee morale and satisfaction. However, it can be appropriate and useful in times of crisis or emergency situations where decisions need to be made fact and organisation and discipline are crucial for coping with the issues under consideration.</w:t>
      </w:r>
    </w:p>
    <w:p w:rsidR="00000000" w:rsidDel="00000000" w:rsidP="00000000" w:rsidRDefault="00000000" w:rsidRPr="00000000" w14:paraId="0000006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Democratic leadership is assumed to be the opposite style and is based on consulting with employees, as well as actively involving them in decision-making (Mohammad et al., 2019; Jaafar et al., 2021). Decisions are not centralised under this leadership style and managers seek for the opinions, views and recommendations of employees before finalising them. Democratic leaders are supportive and consistently provide feedback on performance to employees, so that they can improve performance and feel appreciated. This leadership style tends to result in significantly higher satisfaction and engagement of employees, as well as their improved performance. However, it tends to be time-consuming and associated with the risk of making poor decisions due to lack of managerial competence by employees. Tesco’s leadership style tends to be democratic. As stated in the company’s annual report, the brand is focused on developing inclusive culture in which employees feel free to share their opinions and feedback (Tesco, 2022). The company is also conducting annual surveys among employees and adjusts policies and practices according to recommendations provided. Furthermore, managers are supportive and base their work on active collaboration and two-way communication with subordinates (Tesco, 2022).</w:t>
      </w:r>
    </w:p>
    <w:p w:rsidR="00000000" w:rsidDel="00000000" w:rsidP="00000000" w:rsidRDefault="00000000" w:rsidRPr="00000000" w14:paraId="0000006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Laisse-faire leadership style is a ‘hands-off’ approach in which leaders allow employees to make decisions by themselves in regard to the most appropriate method of performing a task, working time and other dimensions of the working process (Mohammad et al., 2019). This is believed to be a very appropriate style for some occupations of niche professionals with unique skills. However, it works best when employees are disciplined, organised and possess specific skills and competencies allowing them to make informed and adequate decisions. </w:t>
      </w:r>
    </w:p>
    <w:p w:rsidR="00000000" w:rsidDel="00000000" w:rsidP="00000000" w:rsidRDefault="00000000" w:rsidRPr="00000000" w14:paraId="0000006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important driver and factor of influence on employee performance is represented by the tools used by companies to motivate their workforce. There is a direct positive relationship between motivation and productivity or performance, which is why it is crucial to understand the needs of employees and put efforts to fulfil them. There are many different academic models which assess various approaches towards motivation. One of the most widely applied is Maslow’s hierarchy of needs. As shown below, this framework suggests that individuals have different needs ordered in a specific sequence (Haque et al., 2014). Thus, it is assumed that if companies do not address lower levels of needs, their employees would not be motivated even if they provide them with the tools needed for higher-level needs.</w:t>
      </w:r>
    </w:p>
    <w:p w:rsidR="00000000" w:rsidDel="00000000" w:rsidP="00000000" w:rsidRDefault="00000000" w:rsidRPr="00000000" w14:paraId="0000006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model, the basic foundational needs of people are physiological (e.g. food, clothes, shelter etc.) (Haque et al., 2014). Companies like Tesco can address these needs by providing employees with salaries which are sufficient enough to cover them. The next level is related to safety and security (Haque et al., 2014). Brands like Tesco fulfil this level through two main types of policies – ensuring high standards of health and safety in the workplace and ensuring job security. Tesco is an illustrative example in this regard. The company registers a trend of consistently decreasing work-related accidents (Tesco, 2022). In addition to that, to mitigate increasing COVID-related concerns of its employees, it changed thousands of contracts from temporary to permanent (Tesco, 2022). The next level is represented by social needs. This is associated with needs of belonging to a group, having good relations with colleagues and managers, as well as working in a pleasant environment without conflicts. This is ensured by Tesco through many different policies, including organising team-buildings, ensuring open communication between different levels of organisational hierarchy and many more (Tesco, 2022).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8 – Maslow's hierarchy of needs</w:t>
      </w:r>
    </w:p>
    <w:p w:rsidR="00000000" w:rsidDel="00000000" w:rsidP="00000000" w:rsidRDefault="00000000" w:rsidRPr="00000000" w14:paraId="0000006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56236" cy="3730524"/>
            <wp:effectExtent b="0" l="0" r="0" t="0"/>
            <wp:docPr descr="Diagram&#10;&#10;Description automatically generated" id="11" name="image2.png"/>
            <a:graphic>
              <a:graphicData uri="http://schemas.openxmlformats.org/drawingml/2006/picture">
                <pic:pic>
                  <pic:nvPicPr>
                    <pic:cNvPr descr="Diagram&#10;&#10;Description automatically generated" id="0" name="image2.png"/>
                    <pic:cNvPicPr preferRelativeResize="0"/>
                  </pic:nvPicPr>
                  <pic:blipFill>
                    <a:blip r:embed="rId14"/>
                    <a:srcRect b="0" l="0" r="0" t="0"/>
                    <a:stretch>
                      <a:fillRect/>
                    </a:stretch>
                  </pic:blipFill>
                  <pic:spPr>
                    <a:xfrm>
                      <a:off x="0" y="0"/>
                      <a:ext cx="5756236" cy="3730524"/>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after="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Source: Haque et al. (2014)</w:t>
      </w:r>
    </w:p>
    <w:p w:rsidR="00000000" w:rsidDel="00000000" w:rsidP="00000000" w:rsidRDefault="00000000" w:rsidRPr="00000000" w14:paraId="0000006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next level is focused on esteem needs, which include need for recognition of achievement, status and respect. This level is addressed by Tesco through the provision of bonuses and other tools (e.g. employee of the month on a store level) (Tesco, 2022). Self-actualisation is a stage which is believed impossible to be fully reached as it is related to reaching one’s full potential and people can always learn something new (Haque et al., 2014). Tesco is addressing this level through providing employees with a wide variety of training and development opportunities, reflecting their individual needs.</w:t>
      </w:r>
    </w:p>
    <w:p w:rsidR="00000000" w:rsidDel="00000000" w:rsidP="00000000" w:rsidRDefault="00000000" w:rsidRPr="00000000" w14:paraId="00000070">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pStyle w:val="Heading1"/>
        <w:spacing w:after="240" w:line="360" w:lineRule="auto"/>
        <w:jc w:val="both"/>
        <w:rPr>
          <w:rFonts w:ascii="Times New Roman" w:cs="Times New Roman" w:eastAsia="Times New Roman" w:hAnsi="Times New Roman"/>
          <w:b w:val="1"/>
          <w:sz w:val="28"/>
          <w:szCs w:val="28"/>
        </w:rPr>
      </w:pPr>
      <w:bookmarkStart w:colFirst="0" w:colLast="0" w:name="_heading=h.3znysh7" w:id="3"/>
      <w:bookmarkEnd w:id="3"/>
      <w:r w:rsidDel="00000000" w:rsidR="00000000" w:rsidRPr="00000000">
        <w:rPr>
          <w:rFonts w:ascii="Times New Roman" w:cs="Times New Roman" w:eastAsia="Times New Roman" w:hAnsi="Times New Roman"/>
          <w:b w:val="1"/>
          <w:sz w:val="28"/>
          <w:szCs w:val="28"/>
          <w:rtl w:val="0"/>
        </w:rPr>
        <w:t xml:space="preserve">Conclusion</w:t>
      </w:r>
    </w:p>
    <w:p w:rsidR="00000000" w:rsidDel="00000000" w:rsidP="00000000" w:rsidRDefault="00000000" w:rsidRPr="00000000" w14:paraId="0000007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evident from the analysis presented above, organisational performance, competitiveness and success depend on many different factors of influence. Organisational structure, culture, leadership style and motivational tools are among the main factors which are essential in this regard and have to be considered by companies. Research findings from Tesco show the relevance of the studied concepts and their role for achieving stellar market performance. Therefore, business organisations should continuously upgrade their structures, culture and especially the mechanisms for employee management given the growing importance of skilful labour in modern economy. </w:t>
      </w:r>
    </w:p>
    <w:p w:rsidR="00000000" w:rsidDel="00000000" w:rsidP="00000000" w:rsidRDefault="00000000" w:rsidRPr="00000000" w14:paraId="00000073">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pStyle w:val="Heading1"/>
        <w:spacing w:after="240" w:line="360" w:lineRule="auto"/>
        <w:jc w:val="both"/>
        <w:rPr>
          <w:rFonts w:ascii="Times New Roman" w:cs="Times New Roman" w:eastAsia="Times New Roman" w:hAnsi="Times New Roman"/>
          <w:b w:val="1"/>
          <w:sz w:val="28"/>
          <w:szCs w:val="28"/>
        </w:rPr>
      </w:pPr>
      <w:bookmarkStart w:colFirst="0" w:colLast="0" w:name="_heading=h.2et92p0" w:id="4"/>
      <w:bookmarkEnd w:id="4"/>
      <w:r w:rsidDel="00000000" w:rsidR="00000000" w:rsidRPr="00000000">
        <w:rPr>
          <w:rFonts w:ascii="Times New Roman" w:cs="Times New Roman" w:eastAsia="Times New Roman" w:hAnsi="Times New Roman"/>
          <w:b w:val="1"/>
          <w:sz w:val="28"/>
          <w:szCs w:val="28"/>
          <w:rtl w:val="0"/>
        </w:rPr>
        <w:t xml:space="preserve">References</w:t>
      </w:r>
    </w:p>
    <w:p w:rsidR="00000000" w:rsidDel="00000000" w:rsidP="00000000" w:rsidRDefault="00000000" w:rsidRPr="00000000" w14:paraId="0000008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Ahmady, G., Mehpour, M. and Nikooravesh, A. (2016) Organisational Structure, </w:t>
      </w:r>
      <w:r w:rsidDel="00000000" w:rsidR="00000000" w:rsidRPr="00000000">
        <w:rPr>
          <w:rFonts w:ascii="Times New Roman" w:cs="Times New Roman" w:eastAsia="Times New Roman" w:hAnsi="Times New Roman"/>
          <w:i w:val="1"/>
          <w:sz w:val="24"/>
          <w:szCs w:val="24"/>
          <w:rtl w:val="0"/>
        </w:rPr>
        <w:t xml:space="preserve">Procedia – Social and Behavioural Sciences</w:t>
      </w:r>
      <w:r w:rsidDel="00000000" w:rsidR="00000000" w:rsidRPr="00000000">
        <w:rPr>
          <w:rFonts w:ascii="Times New Roman" w:cs="Times New Roman" w:eastAsia="Times New Roman" w:hAnsi="Times New Roman"/>
          <w:sz w:val="24"/>
          <w:szCs w:val="24"/>
          <w:rtl w:val="0"/>
        </w:rPr>
        <w:t xml:space="preserve">, Vol. 230(1), pp. 455-462.</w:t>
      </w:r>
    </w:p>
    <w:p w:rsidR="00000000" w:rsidDel="00000000" w:rsidP="00000000" w:rsidRDefault="00000000" w:rsidRPr="00000000" w14:paraId="0000008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Bamidele, R. (2022) </w:t>
      </w:r>
      <w:r w:rsidDel="00000000" w:rsidR="00000000" w:rsidRPr="00000000">
        <w:rPr>
          <w:rFonts w:ascii="Times New Roman" w:cs="Times New Roman" w:eastAsia="Times New Roman" w:hAnsi="Times New Roman"/>
          <w:i w:val="1"/>
          <w:sz w:val="24"/>
          <w:szCs w:val="24"/>
          <w:rtl w:val="0"/>
        </w:rPr>
        <w:t xml:space="preserve">Organisational Culture</w:t>
      </w:r>
      <w:r w:rsidDel="00000000" w:rsidR="00000000" w:rsidRPr="00000000">
        <w:rPr>
          <w:rFonts w:ascii="Times New Roman" w:cs="Times New Roman" w:eastAsia="Times New Roman" w:hAnsi="Times New Roman"/>
          <w:sz w:val="24"/>
          <w:szCs w:val="24"/>
          <w:rtl w:val="0"/>
        </w:rPr>
        <w:t xml:space="preserve">, [online] Available: </w:t>
      </w:r>
      <w:hyperlink r:id="rId15">
        <w:r w:rsidDel="00000000" w:rsidR="00000000" w:rsidRPr="00000000">
          <w:rPr>
            <w:rFonts w:ascii="Times New Roman" w:cs="Times New Roman" w:eastAsia="Times New Roman" w:hAnsi="Times New Roman"/>
            <w:color w:val="0563c1"/>
            <w:sz w:val="24"/>
            <w:szCs w:val="24"/>
            <w:u w:val="single"/>
            <w:rtl w:val="0"/>
          </w:rPr>
          <w:t xml:space="preserve">https://www.researchgate.net/publication/357605292_ORGANIZATIONAL_CULTURE</w:t>
        </w:r>
      </w:hyperlink>
      <w:r w:rsidDel="00000000" w:rsidR="00000000" w:rsidRPr="00000000">
        <w:rPr>
          <w:rFonts w:ascii="Times New Roman" w:cs="Times New Roman" w:eastAsia="Times New Roman" w:hAnsi="Times New Roman"/>
          <w:sz w:val="24"/>
          <w:szCs w:val="24"/>
          <w:rtl w:val="0"/>
        </w:rPr>
        <w:t xml:space="preserve"> [Accessed: 3 January 2023]</w:t>
      </w:r>
    </w:p>
    <w:p w:rsidR="00000000" w:rsidDel="00000000" w:rsidP="00000000" w:rsidRDefault="00000000" w:rsidRPr="00000000" w14:paraId="0000008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Cooks-Campbell, A. (2022) </w:t>
      </w:r>
      <w:r w:rsidDel="00000000" w:rsidR="00000000" w:rsidRPr="00000000">
        <w:rPr>
          <w:rFonts w:ascii="Times New Roman" w:cs="Times New Roman" w:eastAsia="Times New Roman" w:hAnsi="Times New Roman"/>
          <w:i w:val="1"/>
          <w:sz w:val="24"/>
          <w:szCs w:val="24"/>
          <w:rtl w:val="0"/>
        </w:rPr>
        <w:t xml:space="preserve">Organisational Structure</w:t>
      </w:r>
      <w:r w:rsidDel="00000000" w:rsidR="00000000" w:rsidRPr="00000000">
        <w:rPr>
          <w:rFonts w:ascii="Times New Roman" w:cs="Times New Roman" w:eastAsia="Times New Roman" w:hAnsi="Times New Roman"/>
          <w:sz w:val="24"/>
          <w:szCs w:val="24"/>
          <w:rtl w:val="0"/>
        </w:rPr>
        <w:t xml:space="preserve">, [online] Available: </w:t>
      </w:r>
      <w:hyperlink r:id="rId16">
        <w:r w:rsidDel="00000000" w:rsidR="00000000" w:rsidRPr="00000000">
          <w:rPr>
            <w:rFonts w:ascii="Times New Roman" w:cs="Times New Roman" w:eastAsia="Times New Roman" w:hAnsi="Times New Roman"/>
            <w:color w:val="0563c1"/>
            <w:sz w:val="24"/>
            <w:szCs w:val="24"/>
            <w:u w:val="single"/>
            <w:rtl w:val="0"/>
          </w:rPr>
          <w:t xml:space="preserve">https://www.betterup.com/blog/organizational-structure#:~:text=An%20organizational%20structure%20defines%20how,departments%20working%20together%20on%20projects</w:t>
        </w:r>
      </w:hyperlink>
      <w:r w:rsidDel="00000000" w:rsidR="00000000" w:rsidRPr="00000000">
        <w:rPr>
          <w:rFonts w:ascii="Times New Roman" w:cs="Times New Roman" w:eastAsia="Times New Roman" w:hAnsi="Times New Roman"/>
          <w:sz w:val="24"/>
          <w:szCs w:val="24"/>
          <w:rtl w:val="0"/>
        </w:rPr>
        <w:t xml:space="preserve"> [Accessed: 2 January 2023]</w:t>
      </w:r>
    </w:p>
    <w:p w:rsidR="00000000" w:rsidDel="00000000" w:rsidP="00000000" w:rsidRDefault="00000000" w:rsidRPr="00000000" w14:paraId="0000008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Gardner, R. (2022) </w:t>
      </w:r>
      <w:r w:rsidDel="00000000" w:rsidR="00000000" w:rsidRPr="00000000">
        <w:rPr>
          <w:rFonts w:ascii="Times New Roman" w:cs="Times New Roman" w:eastAsia="Times New Roman" w:hAnsi="Times New Roman"/>
          <w:i w:val="1"/>
          <w:sz w:val="24"/>
          <w:szCs w:val="24"/>
          <w:rtl w:val="0"/>
        </w:rPr>
        <w:t xml:space="preserve">12 Types of Organisational Culture and HR’s Role in Shaping It</w:t>
      </w:r>
      <w:r w:rsidDel="00000000" w:rsidR="00000000" w:rsidRPr="00000000">
        <w:rPr>
          <w:rFonts w:ascii="Times New Roman" w:cs="Times New Roman" w:eastAsia="Times New Roman" w:hAnsi="Times New Roman"/>
          <w:sz w:val="24"/>
          <w:szCs w:val="24"/>
          <w:rtl w:val="0"/>
        </w:rPr>
        <w:t xml:space="preserve">, [online] Available: </w:t>
      </w:r>
      <w:hyperlink r:id="rId17">
        <w:r w:rsidDel="00000000" w:rsidR="00000000" w:rsidRPr="00000000">
          <w:rPr>
            <w:rFonts w:ascii="Times New Roman" w:cs="Times New Roman" w:eastAsia="Times New Roman" w:hAnsi="Times New Roman"/>
            <w:color w:val="0563c1"/>
            <w:sz w:val="24"/>
            <w:szCs w:val="24"/>
            <w:u w:val="single"/>
            <w:rtl w:val="0"/>
          </w:rPr>
          <w:t xml:space="preserve">https://www.aihr.com/blog/types-of-organizational-culture/</w:t>
        </w:r>
      </w:hyperlink>
      <w:r w:rsidDel="00000000" w:rsidR="00000000" w:rsidRPr="00000000">
        <w:rPr>
          <w:rFonts w:ascii="Times New Roman" w:cs="Times New Roman" w:eastAsia="Times New Roman" w:hAnsi="Times New Roman"/>
          <w:sz w:val="24"/>
          <w:szCs w:val="24"/>
          <w:rtl w:val="0"/>
        </w:rPr>
        <w:t xml:space="preserve"> [Accessed: 2 January 2023]</w:t>
      </w:r>
    </w:p>
    <w:p w:rsidR="00000000" w:rsidDel="00000000" w:rsidP="00000000" w:rsidRDefault="00000000" w:rsidRPr="00000000" w14:paraId="0000008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Haque, M., Haque, M. and Islam, S. (2014) Motivational Theories – a Critical Analysis, </w:t>
      </w:r>
      <w:r w:rsidDel="00000000" w:rsidR="00000000" w:rsidRPr="00000000">
        <w:rPr>
          <w:rFonts w:ascii="Times New Roman" w:cs="Times New Roman" w:eastAsia="Times New Roman" w:hAnsi="Times New Roman"/>
          <w:i w:val="1"/>
          <w:sz w:val="24"/>
          <w:szCs w:val="24"/>
          <w:rtl w:val="0"/>
        </w:rPr>
        <w:t xml:space="preserve">ASA University Review</w:t>
      </w:r>
      <w:r w:rsidDel="00000000" w:rsidR="00000000" w:rsidRPr="00000000">
        <w:rPr>
          <w:rFonts w:ascii="Times New Roman" w:cs="Times New Roman" w:eastAsia="Times New Roman" w:hAnsi="Times New Roman"/>
          <w:sz w:val="24"/>
          <w:szCs w:val="24"/>
          <w:rtl w:val="0"/>
        </w:rPr>
        <w:t xml:space="preserve">, Vol. 8(1), pp. 61-68.</w:t>
      </w:r>
    </w:p>
    <w:p w:rsidR="00000000" w:rsidDel="00000000" w:rsidP="00000000" w:rsidRDefault="00000000" w:rsidRPr="00000000" w14:paraId="0000008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Jaafar, S., Zambi, N. and Fathil, N. (2021) Leadership Style: Is It Autocratic, Democratic or Laissez-faire, </w:t>
      </w:r>
      <w:r w:rsidDel="00000000" w:rsidR="00000000" w:rsidRPr="00000000">
        <w:rPr>
          <w:rFonts w:ascii="Times New Roman" w:cs="Times New Roman" w:eastAsia="Times New Roman" w:hAnsi="Times New Roman"/>
          <w:i w:val="1"/>
          <w:sz w:val="24"/>
          <w:szCs w:val="24"/>
          <w:rtl w:val="0"/>
        </w:rPr>
        <w:t xml:space="preserve">ASEAN Journal of Management and Business Studies</w:t>
      </w:r>
      <w:r w:rsidDel="00000000" w:rsidR="00000000" w:rsidRPr="00000000">
        <w:rPr>
          <w:rFonts w:ascii="Times New Roman" w:cs="Times New Roman" w:eastAsia="Times New Roman" w:hAnsi="Times New Roman"/>
          <w:sz w:val="24"/>
          <w:szCs w:val="24"/>
          <w:rtl w:val="0"/>
        </w:rPr>
        <w:t xml:space="preserve">, Vol. 3(1), pp. 1-7.</w:t>
      </w:r>
    </w:p>
    <w:p w:rsidR="00000000" w:rsidDel="00000000" w:rsidP="00000000" w:rsidRDefault="00000000" w:rsidRPr="00000000" w14:paraId="0000008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Kantar (2022) </w:t>
      </w:r>
      <w:r w:rsidDel="00000000" w:rsidR="00000000" w:rsidRPr="00000000">
        <w:rPr>
          <w:rFonts w:ascii="Times New Roman" w:cs="Times New Roman" w:eastAsia="Times New Roman" w:hAnsi="Times New Roman"/>
          <w:i w:val="1"/>
          <w:sz w:val="24"/>
          <w:szCs w:val="24"/>
          <w:rtl w:val="0"/>
        </w:rPr>
        <w:t xml:space="preserve">Big Four Line-up Changes as UK Grocery Price Inflation Accelerates Again</w:t>
      </w:r>
      <w:r w:rsidDel="00000000" w:rsidR="00000000" w:rsidRPr="00000000">
        <w:rPr>
          <w:rFonts w:ascii="Times New Roman" w:cs="Times New Roman" w:eastAsia="Times New Roman" w:hAnsi="Times New Roman"/>
          <w:sz w:val="24"/>
          <w:szCs w:val="24"/>
          <w:rtl w:val="0"/>
        </w:rPr>
        <w:t xml:space="preserve">, [online] Available: </w:t>
      </w:r>
      <w:hyperlink r:id="rId18">
        <w:r w:rsidDel="00000000" w:rsidR="00000000" w:rsidRPr="00000000">
          <w:rPr>
            <w:rFonts w:ascii="Times New Roman" w:cs="Times New Roman" w:eastAsia="Times New Roman" w:hAnsi="Times New Roman"/>
            <w:color w:val="0563c1"/>
            <w:sz w:val="24"/>
            <w:szCs w:val="24"/>
            <w:u w:val="single"/>
            <w:rtl w:val="0"/>
          </w:rPr>
          <w:t xml:space="preserve">https://www.kantar.com/uki/inspiration/fmcg/2022-wp-big-four-line-up-changes-as-grocery-price-inflation-accelerates-again</w:t>
        </w:r>
      </w:hyperlink>
      <w:r w:rsidDel="00000000" w:rsidR="00000000" w:rsidRPr="00000000">
        <w:rPr>
          <w:rFonts w:ascii="Times New Roman" w:cs="Times New Roman" w:eastAsia="Times New Roman" w:hAnsi="Times New Roman"/>
          <w:sz w:val="24"/>
          <w:szCs w:val="24"/>
          <w:rtl w:val="0"/>
        </w:rPr>
        <w:t xml:space="preserve"> [Accessed: 2 January 2022]</w:t>
      </w:r>
    </w:p>
    <w:p w:rsidR="00000000" w:rsidDel="00000000" w:rsidP="00000000" w:rsidRDefault="00000000" w:rsidRPr="00000000" w14:paraId="0000008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Mohammad, J., Jahangir, A., Mohammad, A. (2019) The Impact of Autocratic, Democratic and Laissez-Faire Leadership Styles On The Success of The Organisation, </w:t>
      </w:r>
      <w:r w:rsidDel="00000000" w:rsidR="00000000" w:rsidRPr="00000000">
        <w:rPr>
          <w:rFonts w:ascii="Times New Roman" w:cs="Times New Roman" w:eastAsia="Times New Roman" w:hAnsi="Times New Roman"/>
          <w:i w:val="1"/>
          <w:sz w:val="24"/>
          <w:szCs w:val="24"/>
          <w:rtl w:val="0"/>
        </w:rPr>
        <w:t xml:space="preserve">Canadian Journal of Business and Information Studies</w:t>
      </w:r>
      <w:r w:rsidDel="00000000" w:rsidR="00000000" w:rsidRPr="00000000">
        <w:rPr>
          <w:rFonts w:ascii="Times New Roman" w:cs="Times New Roman" w:eastAsia="Times New Roman" w:hAnsi="Times New Roman"/>
          <w:sz w:val="24"/>
          <w:szCs w:val="24"/>
          <w:rtl w:val="0"/>
        </w:rPr>
        <w:t xml:space="preserve">, Vol. 1(6), pp. 28-38. </w:t>
      </w:r>
    </w:p>
    <w:p w:rsidR="00000000" w:rsidDel="00000000" w:rsidP="00000000" w:rsidRDefault="00000000" w:rsidRPr="00000000" w14:paraId="0000008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Olmstead, L. (2022) </w:t>
      </w:r>
      <w:r w:rsidDel="00000000" w:rsidR="00000000" w:rsidRPr="00000000">
        <w:rPr>
          <w:rFonts w:ascii="Times New Roman" w:cs="Times New Roman" w:eastAsia="Times New Roman" w:hAnsi="Times New Roman"/>
          <w:i w:val="1"/>
          <w:sz w:val="24"/>
          <w:szCs w:val="24"/>
          <w:rtl w:val="0"/>
        </w:rPr>
        <w:t xml:space="preserve">7 Types of Organisational Structures</w:t>
      </w:r>
      <w:r w:rsidDel="00000000" w:rsidR="00000000" w:rsidRPr="00000000">
        <w:rPr>
          <w:rFonts w:ascii="Times New Roman" w:cs="Times New Roman" w:eastAsia="Times New Roman" w:hAnsi="Times New Roman"/>
          <w:sz w:val="24"/>
          <w:szCs w:val="24"/>
          <w:rtl w:val="0"/>
        </w:rPr>
        <w:t xml:space="preserve">, [online] Available: </w:t>
      </w:r>
      <w:hyperlink r:id="rId19">
        <w:r w:rsidDel="00000000" w:rsidR="00000000" w:rsidRPr="00000000">
          <w:rPr>
            <w:rFonts w:ascii="Times New Roman" w:cs="Times New Roman" w:eastAsia="Times New Roman" w:hAnsi="Times New Roman"/>
            <w:color w:val="0563c1"/>
            <w:sz w:val="24"/>
            <w:szCs w:val="24"/>
            <w:u w:val="single"/>
            <w:rtl w:val="0"/>
          </w:rPr>
          <w:t xml:space="preserve">https://whatfix.com/blog/organizational-structure/</w:t>
        </w:r>
      </w:hyperlink>
      <w:r w:rsidDel="00000000" w:rsidR="00000000" w:rsidRPr="00000000">
        <w:rPr>
          <w:rFonts w:ascii="Times New Roman" w:cs="Times New Roman" w:eastAsia="Times New Roman" w:hAnsi="Times New Roman"/>
          <w:sz w:val="24"/>
          <w:szCs w:val="24"/>
          <w:rtl w:val="0"/>
        </w:rPr>
        <w:t xml:space="preserve"> [Accessed: 2 January 2022]</w:t>
      </w:r>
    </w:p>
    <w:p w:rsidR="00000000" w:rsidDel="00000000" w:rsidP="00000000" w:rsidRDefault="00000000" w:rsidRPr="00000000" w14:paraId="0000008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Shaludobya, K. (2021) </w:t>
      </w:r>
      <w:r w:rsidDel="00000000" w:rsidR="00000000" w:rsidRPr="00000000">
        <w:rPr>
          <w:rFonts w:ascii="Times New Roman" w:cs="Times New Roman" w:eastAsia="Times New Roman" w:hAnsi="Times New Roman"/>
          <w:i w:val="1"/>
          <w:sz w:val="24"/>
          <w:szCs w:val="24"/>
          <w:rtl w:val="0"/>
        </w:rPr>
        <w:t xml:space="preserve">Factors Affecting Employee Performance</w:t>
      </w:r>
      <w:r w:rsidDel="00000000" w:rsidR="00000000" w:rsidRPr="00000000">
        <w:rPr>
          <w:rFonts w:ascii="Times New Roman" w:cs="Times New Roman" w:eastAsia="Times New Roman" w:hAnsi="Times New Roman"/>
          <w:sz w:val="24"/>
          <w:szCs w:val="24"/>
          <w:rtl w:val="0"/>
        </w:rPr>
        <w:t xml:space="preserve">, [online] Available: </w:t>
      </w:r>
      <w:hyperlink r:id="rId20">
        <w:r w:rsidDel="00000000" w:rsidR="00000000" w:rsidRPr="00000000">
          <w:rPr>
            <w:rFonts w:ascii="Times New Roman" w:cs="Times New Roman" w:eastAsia="Times New Roman" w:hAnsi="Times New Roman"/>
            <w:color w:val="0563c1"/>
            <w:sz w:val="24"/>
            <w:szCs w:val="24"/>
            <w:u w:val="single"/>
            <w:rtl w:val="0"/>
          </w:rPr>
          <w:t xml:space="preserve">https://www.linkedin.com/pulse/factors-affecting-employee-performance-ketiwe-shalubobya/?trk=public_profile_article_view</w:t>
        </w:r>
      </w:hyperlink>
      <w:r w:rsidDel="00000000" w:rsidR="00000000" w:rsidRPr="00000000">
        <w:rPr>
          <w:rFonts w:ascii="Times New Roman" w:cs="Times New Roman" w:eastAsia="Times New Roman" w:hAnsi="Times New Roman"/>
          <w:sz w:val="24"/>
          <w:szCs w:val="24"/>
          <w:rtl w:val="0"/>
        </w:rPr>
        <w:t xml:space="preserve"> [Accessed: 2 January 2022]</w:t>
      </w:r>
    </w:p>
    <w:p w:rsidR="00000000" w:rsidDel="00000000" w:rsidP="00000000" w:rsidRDefault="00000000" w:rsidRPr="00000000" w14:paraId="0000008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(2022) </w:t>
      </w:r>
      <w:r w:rsidDel="00000000" w:rsidR="00000000" w:rsidRPr="00000000">
        <w:rPr>
          <w:rFonts w:ascii="Times New Roman" w:cs="Times New Roman" w:eastAsia="Times New Roman" w:hAnsi="Times New Roman"/>
          <w:i w:val="1"/>
          <w:sz w:val="24"/>
          <w:szCs w:val="24"/>
          <w:rtl w:val="0"/>
        </w:rPr>
        <w:t xml:space="preserve">Annual Report</w:t>
      </w:r>
      <w:r w:rsidDel="00000000" w:rsidR="00000000" w:rsidRPr="00000000">
        <w:rPr>
          <w:rFonts w:ascii="Times New Roman" w:cs="Times New Roman" w:eastAsia="Times New Roman" w:hAnsi="Times New Roman"/>
          <w:sz w:val="24"/>
          <w:szCs w:val="24"/>
          <w:rtl w:val="0"/>
        </w:rPr>
        <w:t xml:space="preserve">, [online] Available: </w:t>
      </w:r>
      <w:hyperlink r:id="rId21">
        <w:r w:rsidDel="00000000" w:rsidR="00000000" w:rsidRPr="00000000">
          <w:rPr>
            <w:rFonts w:ascii="Times New Roman" w:cs="Times New Roman" w:eastAsia="Times New Roman" w:hAnsi="Times New Roman"/>
            <w:color w:val="0563c1"/>
            <w:sz w:val="24"/>
            <w:szCs w:val="24"/>
            <w:u w:val="single"/>
            <w:rtl w:val="0"/>
          </w:rPr>
          <w:t xml:space="preserve">https://www.tescoplc.com/media/759057/tesco-annual-report-2022.pdf</w:t>
        </w:r>
      </w:hyperlink>
      <w:r w:rsidDel="00000000" w:rsidR="00000000" w:rsidRPr="00000000">
        <w:rPr>
          <w:rFonts w:ascii="Times New Roman" w:cs="Times New Roman" w:eastAsia="Times New Roman" w:hAnsi="Times New Roman"/>
          <w:sz w:val="24"/>
          <w:szCs w:val="24"/>
          <w:rtl w:val="0"/>
        </w:rPr>
        <w:t xml:space="preserve"> [Accessed: 2 January 2023]</w:t>
      </w:r>
    </w:p>
    <w:p w:rsidR="00000000" w:rsidDel="00000000" w:rsidP="00000000" w:rsidRDefault="00000000" w:rsidRPr="00000000" w14:paraId="0000008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 Q. and Tisn, Y. (2013) Organisational Structure: Influencing Factors and Impact on a Firm, </w:t>
      </w:r>
      <w:r w:rsidDel="00000000" w:rsidR="00000000" w:rsidRPr="00000000">
        <w:rPr>
          <w:rFonts w:ascii="Times New Roman" w:cs="Times New Roman" w:eastAsia="Times New Roman" w:hAnsi="Times New Roman"/>
          <w:i w:val="1"/>
          <w:sz w:val="24"/>
          <w:szCs w:val="24"/>
          <w:rtl w:val="0"/>
        </w:rPr>
        <w:t xml:space="preserve">American Journal of Industrial and Business Management</w:t>
      </w:r>
      <w:r w:rsidDel="00000000" w:rsidR="00000000" w:rsidRPr="00000000">
        <w:rPr>
          <w:rFonts w:ascii="Times New Roman" w:cs="Times New Roman" w:eastAsia="Times New Roman" w:hAnsi="Times New Roman"/>
          <w:sz w:val="24"/>
          <w:szCs w:val="24"/>
          <w:rtl w:val="0"/>
        </w:rPr>
        <w:t xml:space="preserve">, Vol. 3(1), pp. 229-236.</w:t>
      </w:r>
    </w:p>
    <w:p w:rsidR="00000000" w:rsidDel="00000000" w:rsidP="00000000" w:rsidRDefault="00000000" w:rsidRPr="00000000" w14:paraId="0000008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Xanthopoulou, P., Sahinidis, A. and Bakaki, Z. (2022) The Impact of Strong Cultures on Organisational Performance in Public Organisations, </w:t>
      </w:r>
      <w:r w:rsidDel="00000000" w:rsidR="00000000" w:rsidRPr="00000000">
        <w:rPr>
          <w:rFonts w:ascii="Times New Roman" w:cs="Times New Roman" w:eastAsia="Times New Roman" w:hAnsi="Times New Roman"/>
          <w:i w:val="1"/>
          <w:sz w:val="24"/>
          <w:szCs w:val="24"/>
          <w:rtl w:val="0"/>
        </w:rPr>
        <w:t xml:space="preserve">Social Sciences</w:t>
      </w:r>
      <w:r w:rsidDel="00000000" w:rsidR="00000000" w:rsidRPr="00000000">
        <w:rPr>
          <w:rFonts w:ascii="Times New Roman" w:cs="Times New Roman" w:eastAsia="Times New Roman" w:hAnsi="Times New Roman"/>
          <w:sz w:val="24"/>
          <w:szCs w:val="24"/>
          <w:rtl w:val="0"/>
        </w:rPr>
        <w:t xml:space="preserve">, Vol. 11(1), pp. 486-501.</w:t>
      </w:r>
    </w:p>
    <w:p w:rsidR="00000000" w:rsidDel="00000000" w:rsidP="00000000" w:rsidRDefault="00000000" w:rsidRPr="00000000" w14:paraId="0000008E">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after="240" w:lineRule="auto"/>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sectPr>
      <w:footerReference r:id="rId2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tabs>
        <w:tab w:val="center" w:pos="4703"/>
        <w:tab w:val="right" w:pos="940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tabs>
        <w:tab w:val="center" w:pos="4703"/>
        <w:tab w:val="right" w:pos="940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linkedin.com/pulse/factors-affecting-employee-performance-ketiwe-shalubobya/?trk=public_profile_article_view" TargetMode="External"/><Relationship Id="rId11" Type="http://schemas.openxmlformats.org/officeDocument/2006/relationships/image" Target="media/image4.png"/><Relationship Id="rId22" Type="http://schemas.openxmlformats.org/officeDocument/2006/relationships/footer" Target="footer1.xml"/><Relationship Id="rId10" Type="http://schemas.openxmlformats.org/officeDocument/2006/relationships/image" Target="media/image7.png"/><Relationship Id="rId21" Type="http://schemas.openxmlformats.org/officeDocument/2006/relationships/hyperlink" Target="https://www.tescoplc.com/media/759057/tesco-annual-report-2022.pdf" TargetMode="External"/><Relationship Id="rId13" Type="http://schemas.openxmlformats.org/officeDocument/2006/relationships/image" Target="media/image5.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yperlink" Target="https://www.researchgate.net/publication/357605292_ORGANIZATIONAL_CULTURE" TargetMode="External"/><Relationship Id="rId14" Type="http://schemas.openxmlformats.org/officeDocument/2006/relationships/image" Target="media/image2.png"/><Relationship Id="rId17" Type="http://schemas.openxmlformats.org/officeDocument/2006/relationships/hyperlink" Target="https://www.aihr.com/blog/types-of-organizational-culture/" TargetMode="External"/><Relationship Id="rId16" Type="http://schemas.openxmlformats.org/officeDocument/2006/relationships/hyperlink" Target="https://www.betterup.com/blog/organizational-structure#:~:text=An%20organizational%20structure%20defines%20how,departments%20working%20together%20on%20projects" TargetMode="External"/><Relationship Id="rId5" Type="http://schemas.openxmlformats.org/officeDocument/2006/relationships/styles" Target="styles.xml"/><Relationship Id="rId19" Type="http://schemas.openxmlformats.org/officeDocument/2006/relationships/hyperlink" Target="https://whatfix.com/blog/organizational-structure/" TargetMode="External"/><Relationship Id="rId6" Type="http://schemas.openxmlformats.org/officeDocument/2006/relationships/customXml" Target="../customXML/item1.xml"/><Relationship Id="rId18" Type="http://schemas.openxmlformats.org/officeDocument/2006/relationships/hyperlink" Target="https://www.kantar.com/uki/inspiration/fmcg/2022-wp-big-four-line-up-changes-as-grocery-price-inflation-accelerates-again" TargetMode="External"/><Relationship Id="rId7" Type="http://schemas.openxmlformats.org/officeDocument/2006/relationships/image" Target="media/image3.png"/><Relationship Id="rId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0qpHajmF9r8R0lJT7Kv5nC1GtwA==">AMUW2mXksdaqC/uf58w06L38DwiNzCH9PGeHa7oL+qETHFjDfuserm8EVhRze0PENaQ0vCEO6mpfvdhu/ngexFWzGTqO0xP2D/nqbLYe8p5NdGOyepYH3RLk6rRVJ/bAtHo5qh9iCArUl8Q9gR/l/NVUycVG3/ogsDw4izCJhEGViI2leWbTdxaD2wTVHyvfxAcHmqCvIwap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