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721E6F" w:rsidRDefault="00721E6F">
      <w:pPr>
        <w:rPr>
          <w:b/>
          <w:bCs/>
        </w:rPr>
      </w:pPr>
    </w:p>
    <w:p w14:paraId="7FFC03CA" w14:textId="77777777" w:rsidR="00721E6F" w:rsidRDefault="00E00BF5">
      <w:pPr>
        <w:rPr>
          <w:b/>
          <w:bCs/>
          <w:sz w:val="32"/>
          <w:szCs w:val="32"/>
          <w:u w:val="single"/>
        </w:rPr>
      </w:pPr>
      <w:r>
        <w:rPr>
          <w:b/>
          <w:bCs/>
          <w:sz w:val="32"/>
          <w:szCs w:val="32"/>
          <w:u w:val="single"/>
        </w:rPr>
        <w:t>Reflective Report on Person-Centred Care, Partnership Working, and Ethics in UK Health and Social Care Practice</w:t>
      </w:r>
    </w:p>
    <w:p w14:paraId="0A37501D" w14:textId="77777777" w:rsidR="00721E6F" w:rsidRDefault="00721E6F">
      <w:pPr>
        <w:rPr>
          <w:b/>
          <w:bCs/>
        </w:rPr>
      </w:pPr>
    </w:p>
    <w:p w14:paraId="05843E20" w14:textId="77777777" w:rsidR="00721E6F" w:rsidRDefault="00E00BF5">
      <w:r>
        <w:rPr>
          <w:rFonts w:ascii="Aptos" w:eastAsia="Aptos" w:hAnsi="Aptos" w:cs="Aptos"/>
        </w:rPr>
        <w:t>• Student name and number</w:t>
      </w:r>
      <w:r>
        <w:t xml:space="preserve"> Nichola Timothy </w:t>
      </w:r>
      <w:r>
        <w:rPr>
          <w:rFonts w:ascii="Aptos" w:eastAsia="Aptos" w:hAnsi="Aptos" w:cs="Aptos"/>
        </w:rPr>
        <w:t xml:space="preserve">  </w:t>
      </w:r>
      <w:r>
        <w:t>207528</w:t>
      </w:r>
    </w:p>
    <w:p w14:paraId="5DAB6C7B" w14:textId="77777777" w:rsidR="00721E6F" w:rsidRDefault="00721E6F">
      <w:pPr>
        <w:spacing w:before="240" w:after="198" w:line="276" w:lineRule="auto"/>
        <w:rPr>
          <w:rFonts w:ascii="Aptos" w:eastAsia="Aptos" w:hAnsi="Aptos" w:cs="Aptos"/>
        </w:rPr>
      </w:pPr>
    </w:p>
    <w:p w14:paraId="0E738FBA" w14:textId="77777777" w:rsidR="00721E6F" w:rsidRDefault="00E00BF5">
      <w:pPr>
        <w:spacing w:before="240" w:after="198" w:line="276" w:lineRule="auto"/>
      </w:pPr>
      <w:r>
        <w:rPr>
          <w:rFonts w:ascii="Aptos" w:eastAsia="Aptos" w:hAnsi="Aptos" w:cs="Aptos"/>
        </w:rPr>
        <w:t>• Module title and code (BMHP5016)</w:t>
      </w:r>
    </w:p>
    <w:p w14:paraId="02EB378F" w14:textId="77777777" w:rsidR="00721E6F" w:rsidRDefault="00721E6F">
      <w:pPr>
        <w:spacing w:before="240" w:after="198" w:line="276" w:lineRule="auto"/>
        <w:rPr>
          <w:rFonts w:ascii="Aptos" w:eastAsia="Aptos" w:hAnsi="Aptos" w:cs="Aptos"/>
        </w:rPr>
      </w:pPr>
    </w:p>
    <w:p w14:paraId="2D007D7A" w14:textId="77777777" w:rsidR="00721E6F" w:rsidRDefault="00E00BF5">
      <w:pPr>
        <w:spacing w:before="240" w:after="198" w:line="276" w:lineRule="auto"/>
      </w:pPr>
      <w:r>
        <w:rPr>
          <w:rFonts w:ascii="Aptos" w:eastAsia="Aptos" w:hAnsi="Aptos" w:cs="Aptos"/>
        </w:rPr>
        <w:t xml:space="preserve">• </w:t>
      </w:r>
      <w:r>
        <w:rPr>
          <w:rFonts w:ascii="Aptos" w:eastAsia="Aptos" w:hAnsi="Aptos" w:cs="Aptos"/>
        </w:rPr>
        <w:t>Assignment title (Component 1: Reflective Report)</w:t>
      </w:r>
    </w:p>
    <w:p w14:paraId="6A05A809" w14:textId="77777777" w:rsidR="00721E6F" w:rsidRDefault="00721E6F">
      <w:pPr>
        <w:spacing w:before="240" w:after="198" w:line="276" w:lineRule="auto"/>
        <w:rPr>
          <w:rFonts w:ascii="Aptos" w:eastAsia="Aptos" w:hAnsi="Aptos" w:cs="Aptos"/>
        </w:rPr>
      </w:pPr>
    </w:p>
    <w:p w14:paraId="5A39BBE3" w14:textId="77777777" w:rsidR="00721E6F" w:rsidRDefault="00721E6F"/>
    <w:p w14:paraId="41C8F396" w14:textId="77777777" w:rsidR="00721E6F" w:rsidRDefault="00721E6F"/>
    <w:p w14:paraId="72A3D3EC" w14:textId="77777777" w:rsidR="00721E6F" w:rsidRDefault="00721E6F"/>
    <w:p w14:paraId="0D0B940D" w14:textId="77777777" w:rsidR="00721E6F" w:rsidRDefault="00721E6F"/>
    <w:p w14:paraId="0E27B00A" w14:textId="77777777" w:rsidR="00721E6F" w:rsidRDefault="00721E6F"/>
    <w:p w14:paraId="60061E4C" w14:textId="77777777" w:rsidR="00721E6F" w:rsidRDefault="00721E6F"/>
    <w:p w14:paraId="44EAFD9C" w14:textId="77777777" w:rsidR="00721E6F" w:rsidRDefault="00721E6F"/>
    <w:p w14:paraId="4B94D5A5" w14:textId="77777777" w:rsidR="00721E6F" w:rsidRDefault="00721E6F"/>
    <w:p w14:paraId="3DEEC669" w14:textId="77777777" w:rsidR="00721E6F" w:rsidRDefault="00721E6F"/>
    <w:p w14:paraId="3656B9AB" w14:textId="77777777" w:rsidR="00721E6F" w:rsidRDefault="00721E6F"/>
    <w:p w14:paraId="45FB0818" w14:textId="77777777" w:rsidR="00721E6F" w:rsidRDefault="00721E6F"/>
    <w:p w14:paraId="049F31CB" w14:textId="77777777" w:rsidR="00721E6F" w:rsidRDefault="00721E6F"/>
    <w:p w14:paraId="53128261" w14:textId="77777777" w:rsidR="00721E6F" w:rsidRDefault="00721E6F"/>
    <w:p w14:paraId="62486C05" w14:textId="77777777" w:rsidR="00721E6F" w:rsidRDefault="00721E6F"/>
    <w:p w14:paraId="4101652C" w14:textId="77777777" w:rsidR="00721E6F" w:rsidRDefault="00721E6F"/>
    <w:p w14:paraId="4B99056E" w14:textId="77777777" w:rsidR="00721E6F" w:rsidRDefault="00721E6F"/>
    <w:sdt>
      <w:sdtPr>
        <w:rPr>
          <w:rFonts w:asciiTheme="minorHAnsi" w:eastAsiaTheme="minorEastAsia" w:hAnsiTheme="minorHAnsi" w:cstheme="minorBidi"/>
          <w:color w:val="auto"/>
          <w:sz w:val="24"/>
          <w:szCs w:val="24"/>
          <w:lang w:val="en-GB" w:eastAsia="ja-JP"/>
        </w:rPr>
        <w:id w:val="982228577"/>
        <w:docPartObj>
          <w:docPartGallery w:val="Table of Contents"/>
          <w:docPartUnique/>
        </w:docPartObj>
      </w:sdtPr>
      <w:sdtEndPr/>
      <w:sdtContent>
        <w:p w14:paraId="406425CA" w14:textId="77777777" w:rsidR="00721E6F" w:rsidRDefault="00E00BF5">
          <w:pPr>
            <w:pStyle w:val="TOCHeading"/>
          </w:pPr>
          <w:r>
            <w:t>Contents</w:t>
          </w:r>
        </w:p>
        <w:p w14:paraId="6C7E209E" w14:textId="5AAC9AB9" w:rsidR="00E00BF5" w:rsidRDefault="00E00BF5">
          <w:pPr>
            <w:pStyle w:val="TOC2"/>
            <w:tabs>
              <w:tab w:val="right" w:leader="dot" w:pos="9350"/>
            </w:tabs>
            <w:rPr>
              <w:noProof/>
              <w:kern w:val="2"/>
              <w:lang w:eastAsia="zh-CN"/>
              <w14:ligatures w14:val="standardContextual"/>
            </w:rPr>
          </w:pPr>
          <w:r>
            <w:fldChar w:fldCharType="begin"/>
          </w:r>
          <w:r>
            <w:rPr>
              <w:rStyle w:val="IndexLink"/>
              <w:b/>
              <w:bCs/>
              <w:webHidden/>
            </w:rPr>
            <w:instrText xml:space="preserve"> TOC \z \o "1-3" \u \h</w:instrText>
          </w:r>
          <w:r>
            <w:rPr>
              <w:rStyle w:val="IndexLink"/>
              <w:b/>
              <w:bCs/>
            </w:rPr>
            <w:fldChar w:fldCharType="separate"/>
          </w:r>
          <w:hyperlink w:anchor="_Toc210204197" w:history="1">
            <w:r w:rsidRPr="00164F6F">
              <w:rPr>
                <w:rStyle w:val="Hyperlink"/>
                <w:b/>
                <w:bCs/>
                <w:noProof/>
              </w:rPr>
              <w:t>Introduction</w:t>
            </w:r>
            <w:r>
              <w:rPr>
                <w:noProof/>
                <w:webHidden/>
              </w:rPr>
              <w:tab/>
            </w:r>
            <w:r>
              <w:rPr>
                <w:noProof/>
                <w:webHidden/>
              </w:rPr>
              <w:fldChar w:fldCharType="begin"/>
            </w:r>
            <w:r>
              <w:rPr>
                <w:noProof/>
                <w:webHidden/>
              </w:rPr>
              <w:instrText xml:space="preserve"> PAGEREF _Toc210204197 \h </w:instrText>
            </w:r>
            <w:r>
              <w:rPr>
                <w:noProof/>
                <w:webHidden/>
              </w:rPr>
            </w:r>
            <w:r>
              <w:rPr>
                <w:noProof/>
                <w:webHidden/>
              </w:rPr>
              <w:fldChar w:fldCharType="separate"/>
            </w:r>
            <w:r>
              <w:rPr>
                <w:noProof/>
                <w:webHidden/>
              </w:rPr>
              <w:t>3</w:t>
            </w:r>
            <w:r>
              <w:rPr>
                <w:noProof/>
                <w:webHidden/>
              </w:rPr>
              <w:fldChar w:fldCharType="end"/>
            </w:r>
          </w:hyperlink>
        </w:p>
        <w:p w14:paraId="3DB63FBD" w14:textId="04C6642C" w:rsidR="00E00BF5" w:rsidRDefault="00E00BF5">
          <w:pPr>
            <w:pStyle w:val="TOC2"/>
            <w:tabs>
              <w:tab w:val="right" w:leader="dot" w:pos="9350"/>
            </w:tabs>
            <w:rPr>
              <w:noProof/>
              <w:kern w:val="2"/>
              <w:lang w:eastAsia="zh-CN"/>
              <w14:ligatures w14:val="standardContextual"/>
            </w:rPr>
          </w:pPr>
          <w:hyperlink w:anchor="_Toc210204198" w:history="1">
            <w:r w:rsidRPr="00164F6F">
              <w:rPr>
                <w:rStyle w:val="Hyperlink"/>
                <w:rFonts w:ascii="Aptos" w:eastAsia="Aptos" w:hAnsi="Aptos" w:cs="Aptos"/>
                <w:b/>
                <w:bCs/>
                <w:noProof/>
              </w:rPr>
              <w:t>Task 1: Reflection on the Importance of Principles of Health and Social Care</w:t>
            </w:r>
            <w:r>
              <w:rPr>
                <w:noProof/>
                <w:webHidden/>
              </w:rPr>
              <w:tab/>
            </w:r>
            <w:r>
              <w:rPr>
                <w:noProof/>
                <w:webHidden/>
              </w:rPr>
              <w:fldChar w:fldCharType="begin"/>
            </w:r>
            <w:r>
              <w:rPr>
                <w:noProof/>
                <w:webHidden/>
              </w:rPr>
              <w:instrText xml:space="preserve"> PAGEREF _Toc210204198 \h </w:instrText>
            </w:r>
            <w:r>
              <w:rPr>
                <w:noProof/>
                <w:webHidden/>
              </w:rPr>
            </w:r>
            <w:r>
              <w:rPr>
                <w:noProof/>
                <w:webHidden/>
              </w:rPr>
              <w:fldChar w:fldCharType="separate"/>
            </w:r>
            <w:r>
              <w:rPr>
                <w:noProof/>
                <w:webHidden/>
              </w:rPr>
              <w:t>3</w:t>
            </w:r>
            <w:r>
              <w:rPr>
                <w:noProof/>
                <w:webHidden/>
              </w:rPr>
              <w:fldChar w:fldCharType="end"/>
            </w:r>
          </w:hyperlink>
        </w:p>
        <w:p w14:paraId="13B816B2" w14:textId="21A785DE" w:rsidR="00E00BF5" w:rsidRDefault="00E00BF5">
          <w:pPr>
            <w:pStyle w:val="TOC2"/>
            <w:tabs>
              <w:tab w:val="right" w:leader="dot" w:pos="9350"/>
            </w:tabs>
            <w:rPr>
              <w:noProof/>
              <w:kern w:val="2"/>
              <w:lang w:eastAsia="zh-CN"/>
              <w14:ligatures w14:val="standardContextual"/>
            </w:rPr>
          </w:pPr>
          <w:hyperlink w:anchor="_Toc210204199" w:history="1">
            <w:r w:rsidRPr="00164F6F">
              <w:rPr>
                <w:rStyle w:val="Hyperlink"/>
                <w:rFonts w:ascii="Aptos" w:eastAsia="Aptos" w:hAnsi="Aptos" w:cs="Aptos"/>
                <w:b/>
                <w:bCs/>
                <w:noProof/>
              </w:rPr>
              <w:t>Task 2: Practical Examples of Concepts in Practice</w:t>
            </w:r>
            <w:r>
              <w:rPr>
                <w:noProof/>
                <w:webHidden/>
              </w:rPr>
              <w:tab/>
            </w:r>
            <w:r>
              <w:rPr>
                <w:noProof/>
                <w:webHidden/>
              </w:rPr>
              <w:fldChar w:fldCharType="begin"/>
            </w:r>
            <w:r>
              <w:rPr>
                <w:noProof/>
                <w:webHidden/>
              </w:rPr>
              <w:instrText xml:space="preserve"> PAGEREF _Toc210204199 \h </w:instrText>
            </w:r>
            <w:r>
              <w:rPr>
                <w:noProof/>
                <w:webHidden/>
              </w:rPr>
            </w:r>
            <w:r>
              <w:rPr>
                <w:noProof/>
                <w:webHidden/>
              </w:rPr>
              <w:fldChar w:fldCharType="separate"/>
            </w:r>
            <w:r>
              <w:rPr>
                <w:noProof/>
                <w:webHidden/>
              </w:rPr>
              <w:t>4</w:t>
            </w:r>
            <w:r>
              <w:rPr>
                <w:noProof/>
                <w:webHidden/>
              </w:rPr>
              <w:fldChar w:fldCharType="end"/>
            </w:r>
          </w:hyperlink>
        </w:p>
        <w:p w14:paraId="184B66C2" w14:textId="2799E542" w:rsidR="00E00BF5" w:rsidRDefault="00E00BF5">
          <w:pPr>
            <w:pStyle w:val="TOC2"/>
            <w:tabs>
              <w:tab w:val="right" w:leader="dot" w:pos="9350"/>
            </w:tabs>
            <w:rPr>
              <w:noProof/>
              <w:kern w:val="2"/>
              <w:lang w:eastAsia="zh-CN"/>
              <w14:ligatures w14:val="standardContextual"/>
            </w:rPr>
          </w:pPr>
          <w:hyperlink w:anchor="_Toc210204200" w:history="1">
            <w:r w:rsidRPr="00164F6F">
              <w:rPr>
                <w:rStyle w:val="Hyperlink"/>
                <w:rFonts w:ascii="Aptos" w:eastAsia="Aptos" w:hAnsi="Aptos" w:cs="Aptos"/>
                <w:b/>
                <w:bCs/>
                <w:noProof/>
              </w:rPr>
              <w:t>Task 3: Reflection on Learning and Future Application</w:t>
            </w:r>
            <w:r>
              <w:rPr>
                <w:noProof/>
                <w:webHidden/>
              </w:rPr>
              <w:tab/>
            </w:r>
            <w:r>
              <w:rPr>
                <w:noProof/>
                <w:webHidden/>
              </w:rPr>
              <w:fldChar w:fldCharType="begin"/>
            </w:r>
            <w:r>
              <w:rPr>
                <w:noProof/>
                <w:webHidden/>
              </w:rPr>
              <w:instrText xml:space="preserve"> PAGEREF _Toc210204200 \h </w:instrText>
            </w:r>
            <w:r>
              <w:rPr>
                <w:noProof/>
                <w:webHidden/>
              </w:rPr>
            </w:r>
            <w:r>
              <w:rPr>
                <w:noProof/>
                <w:webHidden/>
              </w:rPr>
              <w:fldChar w:fldCharType="separate"/>
            </w:r>
            <w:r>
              <w:rPr>
                <w:noProof/>
                <w:webHidden/>
              </w:rPr>
              <w:t>6</w:t>
            </w:r>
            <w:r>
              <w:rPr>
                <w:noProof/>
                <w:webHidden/>
              </w:rPr>
              <w:fldChar w:fldCharType="end"/>
            </w:r>
          </w:hyperlink>
        </w:p>
        <w:p w14:paraId="1FB1EDE1" w14:textId="5F4688EE" w:rsidR="00E00BF5" w:rsidRDefault="00E00BF5">
          <w:pPr>
            <w:pStyle w:val="TOC2"/>
            <w:tabs>
              <w:tab w:val="right" w:leader="dot" w:pos="9350"/>
            </w:tabs>
            <w:rPr>
              <w:noProof/>
              <w:kern w:val="2"/>
              <w:lang w:eastAsia="zh-CN"/>
              <w14:ligatures w14:val="standardContextual"/>
            </w:rPr>
          </w:pPr>
          <w:hyperlink w:anchor="_Toc210204201" w:history="1">
            <w:r w:rsidRPr="00164F6F">
              <w:rPr>
                <w:rStyle w:val="Hyperlink"/>
                <w:rFonts w:ascii="Aptos" w:eastAsia="Aptos" w:hAnsi="Aptos" w:cs="Aptos"/>
                <w:b/>
                <w:bCs/>
                <w:noProof/>
              </w:rPr>
              <w:t>Conclusion</w:t>
            </w:r>
            <w:r>
              <w:rPr>
                <w:noProof/>
                <w:webHidden/>
              </w:rPr>
              <w:tab/>
            </w:r>
            <w:r>
              <w:rPr>
                <w:noProof/>
                <w:webHidden/>
              </w:rPr>
              <w:fldChar w:fldCharType="begin"/>
            </w:r>
            <w:r>
              <w:rPr>
                <w:noProof/>
                <w:webHidden/>
              </w:rPr>
              <w:instrText xml:space="preserve"> PAGEREF _Toc210204201 \h </w:instrText>
            </w:r>
            <w:r>
              <w:rPr>
                <w:noProof/>
                <w:webHidden/>
              </w:rPr>
            </w:r>
            <w:r>
              <w:rPr>
                <w:noProof/>
                <w:webHidden/>
              </w:rPr>
              <w:fldChar w:fldCharType="separate"/>
            </w:r>
            <w:r>
              <w:rPr>
                <w:noProof/>
                <w:webHidden/>
              </w:rPr>
              <w:t>7</w:t>
            </w:r>
            <w:r>
              <w:rPr>
                <w:noProof/>
                <w:webHidden/>
              </w:rPr>
              <w:fldChar w:fldCharType="end"/>
            </w:r>
          </w:hyperlink>
        </w:p>
        <w:p w14:paraId="07FF9C92" w14:textId="09D98379" w:rsidR="00E00BF5" w:rsidRDefault="00E00BF5">
          <w:pPr>
            <w:pStyle w:val="TOC2"/>
            <w:tabs>
              <w:tab w:val="right" w:leader="dot" w:pos="9350"/>
            </w:tabs>
            <w:rPr>
              <w:noProof/>
              <w:kern w:val="2"/>
              <w:lang w:eastAsia="zh-CN"/>
              <w14:ligatures w14:val="standardContextual"/>
            </w:rPr>
          </w:pPr>
          <w:hyperlink w:anchor="_Toc210204202" w:history="1">
            <w:r w:rsidRPr="00164F6F">
              <w:rPr>
                <w:rStyle w:val="Hyperlink"/>
                <w:rFonts w:ascii="Aptos" w:eastAsia="Aptos" w:hAnsi="Aptos" w:cs="Aptos"/>
                <w:b/>
                <w:bCs/>
                <w:noProof/>
              </w:rPr>
              <w:t>Reference List</w:t>
            </w:r>
            <w:r>
              <w:rPr>
                <w:noProof/>
                <w:webHidden/>
              </w:rPr>
              <w:tab/>
            </w:r>
            <w:r>
              <w:rPr>
                <w:noProof/>
                <w:webHidden/>
              </w:rPr>
              <w:fldChar w:fldCharType="begin"/>
            </w:r>
            <w:r>
              <w:rPr>
                <w:noProof/>
                <w:webHidden/>
              </w:rPr>
              <w:instrText xml:space="preserve"> PAGEREF _Toc210204202 \h </w:instrText>
            </w:r>
            <w:r>
              <w:rPr>
                <w:noProof/>
                <w:webHidden/>
              </w:rPr>
            </w:r>
            <w:r>
              <w:rPr>
                <w:noProof/>
                <w:webHidden/>
              </w:rPr>
              <w:fldChar w:fldCharType="separate"/>
            </w:r>
            <w:r>
              <w:rPr>
                <w:noProof/>
                <w:webHidden/>
              </w:rPr>
              <w:t>8</w:t>
            </w:r>
            <w:r>
              <w:rPr>
                <w:noProof/>
                <w:webHidden/>
              </w:rPr>
              <w:fldChar w:fldCharType="end"/>
            </w:r>
          </w:hyperlink>
        </w:p>
        <w:p w14:paraId="1299C43A" w14:textId="7426399E" w:rsidR="00721E6F" w:rsidRDefault="00E00BF5">
          <w:r>
            <w:fldChar w:fldCharType="end"/>
          </w:r>
        </w:p>
      </w:sdtContent>
    </w:sdt>
    <w:p w14:paraId="4DDBEF00" w14:textId="77777777" w:rsidR="00721E6F" w:rsidRDefault="00721E6F"/>
    <w:p w14:paraId="3461D779" w14:textId="77777777" w:rsidR="00721E6F" w:rsidRDefault="00E00BF5">
      <w:pPr>
        <w:rPr>
          <w:rFonts w:ascii="Aptos" w:eastAsia="Aptos" w:hAnsi="Aptos" w:cs="Aptos"/>
        </w:rPr>
      </w:pPr>
      <w:r>
        <w:br w:type="page"/>
      </w:r>
    </w:p>
    <w:p w14:paraId="3E7A9F1C" w14:textId="77777777" w:rsidR="00721E6F" w:rsidRDefault="00E00BF5">
      <w:pPr>
        <w:pStyle w:val="Heading2"/>
        <w:spacing w:before="0"/>
        <w:rPr>
          <w:b/>
          <w:bCs/>
          <w:sz w:val="36"/>
          <w:szCs w:val="36"/>
        </w:rPr>
      </w:pPr>
      <w:bookmarkStart w:id="0" w:name="_Toc210204197"/>
      <w:r>
        <w:rPr>
          <w:b/>
          <w:bCs/>
          <w:sz w:val="36"/>
          <w:szCs w:val="36"/>
        </w:rPr>
        <w:lastRenderedPageBreak/>
        <w:t>Introduction</w:t>
      </w:r>
      <w:bookmarkEnd w:id="0"/>
    </w:p>
    <w:p w14:paraId="3EF4377E" w14:textId="77777777" w:rsidR="00721E6F" w:rsidRPr="00E00BF5" w:rsidRDefault="00E00BF5">
      <w:pPr>
        <w:spacing w:before="240" w:after="240" w:line="360" w:lineRule="auto"/>
        <w:jc w:val="both"/>
        <w:rPr>
          <w:rFonts w:ascii="Arial" w:eastAsia="Aptos" w:hAnsi="Arial" w:cs="Arial"/>
          <w:sz w:val="22"/>
          <w:szCs w:val="22"/>
        </w:rPr>
      </w:pPr>
      <w:r w:rsidRPr="00E00BF5">
        <w:rPr>
          <w:rFonts w:ascii="Arial" w:eastAsia="Aptos" w:hAnsi="Arial" w:cs="Arial"/>
          <w:sz w:val="22"/>
          <w:szCs w:val="22"/>
        </w:rPr>
        <w:t>This report explores three key principles used in UK health and social care: person-centred care, partnership working, and ethics. These principles are essential for delivering care that is respectful, inclusive, and focused on individual needs. The aim of this report is to reflect on how these principles work in practice and how they help improve the quality of care. It will use theory, legislation, and real-life examples to show how they support good decision-making and teamwork. Understanding these princ</w:t>
      </w:r>
      <w:r w:rsidRPr="00E00BF5">
        <w:rPr>
          <w:rFonts w:ascii="Arial" w:eastAsia="Aptos" w:hAnsi="Arial" w:cs="Arial"/>
          <w:sz w:val="22"/>
          <w:szCs w:val="22"/>
        </w:rPr>
        <w:t>iples is especially important for anyone preparing to work in care or education, as they shape how professionals interact with service users and colleagues. The report will also include a case study from a residential home supporting people with dementia. This example highlights how personalised care plans, partnership working, and ethical thinking can make a real difference to people’s lives. By reflecting on these principles,</w:t>
      </w:r>
      <w:r w:rsidRPr="00E00BF5">
        <w:rPr>
          <w:rFonts w:ascii="Arial" w:eastAsia="Aptos" w:hAnsi="Arial" w:cs="Arial"/>
          <w:color w:val="FF0000"/>
          <w:sz w:val="22"/>
          <w:szCs w:val="22"/>
        </w:rPr>
        <w:t xml:space="preserve"> </w:t>
      </w:r>
      <w:r w:rsidRPr="00E00BF5">
        <w:rPr>
          <w:rFonts w:ascii="Arial" w:eastAsia="Aptos" w:hAnsi="Arial" w:cs="Arial"/>
          <w:sz w:val="22"/>
          <w:szCs w:val="22"/>
        </w:rPr>
        <w:t>I will show how theory connects to practice and how I can apply these ideas in f</w:t>
      </w:r>
      <w:r w:rsidRPr="00E00BF5">
        <w:rPr>
          <w:rFonts w:ascii="Arial" w:eastAsia="Aptos" w:hAnsi="Arial" w:cs="Arial"/>
          <w:sz w:val="22"/>
          <w:szCs w:val="22"/>
        </w:rPr>
        <w:t>uture roles and learning.</w:t>
      </w:r>
    </w:p>
    <w:p w14:paraId="3CF2D8B6" w14:textId="77777777" w:rsidR="00721E6F" w:rsidRDefault="00721E6F"/>
    <w:p w14:paraId="250B0155" w14:textId="77777777" w:rsidR="00721E6F" w:rsidRDefault="00E00BF5">
      <w:pPr>
        <w:pStyle w:val="Heading2"/>
        <w:spacing w:before="299" w:after="299"/>
      </w:pPr>
      <w:bookmarkStart w:id="1" w:name="_Toc210204198"/>
      <w:r>
        <w:rPr>
          <w:rFonts w:ascii="Aptos" w:eastAsia="Aptos" w:hAnsi="Aptos" w:cs="Aptos"/>
          <w:b/>
          <w:bCs/>
          <w:sz w:val="36"/>
          <w:szCs w:val="36"/>
        </w:rPr>
        <w:t>Task 1: Reflection on the Importance of Principles of Health and Social Care</w:t>
      </w:r>
      <w:bookmarkEnd w:id="1"/>
    </w:p>
    <w:p w14:paraId="5D9BAFBC"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In UK health and social care, person-centred care is a key principle that focuses on treating people with dignity, respect, and compassion. It means putting the individual at the centre of their care and making sure their needs, preferences, and values guide decisions. The Care Act 2014 supports this by stating that care should promote wellbeing and personal outcomes (Department of Health and Social Care, 2014). The Health Foundation (2016) explains that person-centred care includes four main elements: dign</w:t>
      </w:r>
      <w:r w:rsidRPr="00E00BF5">
        <w:rPr>
          <w:rFonts w:ascii="Arial" w:eastAsia="Aptos" w:hAnsi="Arial" w:cs="Arial"/>
          <w:sz w:val="22"/>
          <w:szCs w:val="22"/>
        </w:rPr>
        <w:t>ity and respect, coordinated support, personalised care, and helping people stay independent. These values help people feel involved and valued. The Life Span Perspective also supports this idea, showing that people’s needs change over time and care should adapt to those changes (Boyd and Bee, 2015). As someone interested in supporting children and young people, person-centred care is especially important in early childhood settings, where trust and tailored support can shape long-term wellbeing.</w:t>
      </w:r>
    </w:p>
    <w:p w14:paraId="32F25CF1"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 xml:space="preserve">Partnership working is another important principle. It means professionals, service users, families, and other organisations working together to provide joined-up care. This improves </w:t>
      </w:r>
      <w:r w:rsidRPr="00E00BF5">
        <w:rPr>
          <w:rFonts w:ascii="Arial" w:eastAsia="Aptos" w:hAnsi="Arial" w:cs="Arial"/>
          <w:sz w:val="22"/>
          <w:szCs w:val="22"/>
        </w:rPr>
        <w:lastRenderedPageBreak/>
        <w:t>communication, avoids duplication, and helps make care more consistent. Bronfenbrenner’s Ecological Systems Theory shows how different systems—like health, education, and family—affect a person’s development and wellbeing (Bronfenbrenner, 1979). In UK practice, Integrated Care Systems (ICS) aim to bring services together across the NHS and social care to improve outcomes and reduce gaps in support (NHS England, 2022). Partnership working also supports shared decision-making, which builds trust and helps car</w:t>
      </w:r>
      <w:r w:rsidRPr="00E00BF5">
        <w:rPr>
          <w:rFonts w:ascii="Arial" w:eastAsia="Aptos" w:hAnsi="Arial" w:cs="Arial"/>
          <w:sz w:val="22"/>
          <w:szCs w:val="22"/>
        </w:rPr>
        <w:t>e meet the person’s goals. I have seen how collaboration between schools and health professionals can make a real difference for children with special educational needs, ensuring they get the right support at the right time.</w:t>
      </w:r>
    </w:p>
    <w:p w14:paraId="10F4EC4D"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Ethics are central to health and social care. Ethical principles such as autonomy, beneficence, non-maleficence, and justice guide professionals in making fair and safe decisions. These values help protect vulnerable people and ensure care is respectful and responsible. The Health and Social Care Act 2008 (Regulated Activities) Regulations 2014 highlight the importance of safeguarding, consent, and confidentiality (Care Quality Commission, 2015). When ethical dilemmas happen—like when someone refuses treatm</w:t>
      </w:r>
      <w:r w:rsidRPr="00E00BF5">
        <w:rPr>
          <w:rFonts w:ascii="Arial" w:eastAsia="Aptos" w:hAnsi="Arial" w:cs="Arial"/>
          <w:sz w:val="22"/>
          <w:szCs w:val="22"/>
        </w:rPr>
        <w:t>ent—professionals must use the Mental Capacity Act 2005 to assess decision-making ability and act in the person’s best interests. Gibbs’ Reflective Cycle (1988) is a useful tool for thinking through these situations and improving future practice. Ethical care builds trust and ensures people are treated fairly, especially when they face difficult choices.</w:t>
      </w:r>
    </w:p>
    <w:p w14:paraId="7EFE32B3"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In summary, person-centred care, partnership working, and ethics are essential for delivering high-quality care in the UK. These principles support individualised care, strong teamwork, and thoughtful decision-making. When used together, they help professionals provide care that is not only effective but also compassionate, respectful, and safe.</w:t>
      </w:r>
    </w:p>
    <w:p w14:paraId="324448B4" w14:textId="77777777" w:rsidR="00721E6F" w:rsidRDefault="00E00BF5">
      <w:pPr>
        <w:pStyle w:val="Heading2"/>
        <w:spacing w:before="299" w:after="299"/>
      </w:pPr>
      <w:bookmarkStart w:id="2" w:name="_Toc210204199"/>
      <w:r>
        <w:rPr>
          <w:rFonts w:ascii="Aptos" w:eastAsia="Aptos" w:hAnsi="Aptos" w:cs="Aptos"/>
          <w:b/>
          <w:bCs/>
          <w:sz w:val="36"/>
          <w:szCs w:val="36"/>
        </w:rPr>
        <w:t>Task 2: Practical Examples of Concepts in Practice</w:t>
      </w:r>
      <w:bookmarkEnd w:id="2"/>
    </w:p>
    <w:p w14:paraId="544CA0E9" w14:textId="7D0FD6E4" w:rsidR="00721E6F" w:rsidRPr="00E00BF5" w:rsidRDefault="512ADD73">
      <w:pPr>
        <w:spacing w:before="240" w:after="240" w:line="360" w:lineRule="auto"/>
        <w:jc w:val="both"/>
        <w:rPr>
          <w:rFonts w:ascii="Arial" w:hAnsi="Arial" w:cs="Arial"/>
          <w:sz w:val="22"/>
          <w:szCs w:val="22"/>
        </w:rPr>
      </w:pPr>
      <w:r w:rsidRPr="00E00BF5">
        <w:rPr>
          <w:rFonts w:ascii="Arial" w:eastAsia="Aptos" w:hAnsi="Arial" w:cs="Arial"/>
          <w:sz w:val="22"/>
          <w:szCs w:val="22"/>
        </w:rPr>
        <w:t xml:space="preserve">A good example of person-centred care, partnership working, and ethics in action can be seen in a UK residential home supporting people with dementia (Social Care Wales (n.d.). In this setting, staff used personalised care plans based on each resident’s life history, preferences, and routines. For example, one resident who had worked as a gardener was encouraged to help care for the home’s plants. This gave him a sense of purpose and helped reduce anxiety. This approach reflects the Health Foundation’s (2016) model of person-centred care, which promotes dignity, respect, and independence. It also supports the Care Act 2014, which </w:t>
      </w:r>
      <w:r w:rsidRPr="00E00BF5">
        <w:rPr>
          <w:rFonts w:ascii="Arial" w:eastAsia="Aptos" w:hAnsi="Arial" w:cs="Arial"/>
          <w:sz w:val="22"/>
          <w:szCs w:val="22"/>
        </w:rPr>
        <w:lastRenderedPageBreak/>
        <w:t>requires care to be tailored to individual outcomes (Department of Health and Social Care, 2014).</w:t>
      </w:r>
    </w:p>
    <w:p w14:paraId="2A4C106D"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Partnership working was key to the success of this care. Staff worked closely with GPs, occupational therapists, and family members to make sure each resident received holistic support. Regular meetings allowed professionals to share updates and plan care together. This reflects Bronfenbrenner’s Ecological Systems Theory, which shows how different systems—such as health, family, and community—affect a person’s wellbeing (Bronfenbrenner, 1979). It also aligns with NHS England’s (2022) Integrated Care Systems</w:t>
      </w:r>
      <w:r w:rsidRPr="00E00BF5">
        <w:rPr>
          <w:rFonts w:ascii="Arial" w:eastAsia="Aptos" w:hAnsi="Arial" w:cs="Arial"/>
          <w:sz w:val="22"/>
          <w:szCs w:val="22"/>
        </w:rPr>
        <w:t>, which aim to improve collaboration between health and social care services. In this case, partnership working helped reduce delays in treatment and improved communication between services.</w:t>
      </w:r>
    </w:p>
    <w:p w14:paraId="31375373"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Ethical decision-making was also important. One example involved a resident refusing medication. “Staff followed the Mental Capacity Act 2005 to assess whether the resident could make an informed decision (Ministry of Justice, 2005).”. When it was found that he lacked capacity, the team worked with his family to make a best-interest decision. This showed respect for the resident’s rights while also protecting his health. The situation was reviewed using Gibbs’ Reflective Cycle (1988), helping staff learn fr</w:t>
      </w:r>
      <w:r w:rsidRPr="00E00BF5">
        <w:rPr>
          <w:rFonts w:ascii="Arial" w:eastAsia="Aptos" w:hAnsi="Arial" w:cs="Arial"/>
          <w:sz w:val="22"/>
          <w:szCs w:val="22"/>
        </w:rPr>
        <w:t>om the experience and improve future practice. Ethical principles such as autonomy and beneficence guided the team’s actions, ensuring care was fair and respectful.</w:t>
      </w:r>
    </w:p>
    <w:p w14:paraId="4443E2FC" w14:textId="63B3EFFF"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 xml:space="preserve">Policies and guidelines supported these practices. </w:t>
      </w:r>
      <w:bookmarkStart w:id="3" w:name="_Int_BDltGYft"/>
      <w:r w:rsidRPr="00E00BF5">
        <w:rPr>
          <w:rFonts w:ascii="Arial" w:eastAsia="Aptos" w:hAnsi="Arial" w:cs="Arial"/>
          <w:sz w:val="22"/>
          <w:szCs w:val="22"/>
        </w:rPr>
        <w:t>The Health and Social Care Act 2008 (Regulated Activities) Regulations 2014 emphasise the importance of person-centred care and safeguarding (Care Quality Commission, 2015).</w:t>
      </w:r>
      <w:bookmarkEnd w:id="3"/>
      <w:r w:rsidRPr="00E00BF5">
        <w:rPr>
          <w:rFonts w:ascii="Arial" w:eastAsia="Aptos" w:hAnsi="Arial" w:cs="Arial"/>
          <w:sz w:val="22"/>
          <w:szCs w:val="22"/>
        </w:rPr>
        <w:t xml:space="preserve"> </w:t>
      </w:r>
      <w:r w:rsidRPr="00E00BF5">
        <w:rPr>
          <w:rFonts w:ascii="Arial" w:eastAsia="Aptos" w:hAnsi="Arial" w:cs="Arial"/>
          <w:sz w:val="22"/>
          <w:szCs w:val="22"/>
        </w:rPr>
        <w:t>NICE guidelines on dementia care also recommend personalised support and multidisciplinary teamwork (NICE, 2018). These frameworks helped staff deliver care that was safe, inclusive, and responsive to individual needs.</w:t>
      </w:r>
    </w:p>
    <w:p w14:paraId="6A2931E0"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In summary, this case study shows how person-centred care, partnership working, and ethics can be applied effectively in real-life practice. By following current policies and working together, professionals were able to improve the quality of care and support the wellbeing of residents with dementia.</w:t>
      </w:r>
    </w:p>
    <w:p w14:paraId="0FB78278" w14:textId="77777777" w:rsidR="00721E6F" w:rsidRPr="00E00BF5" w:rsidRDefault="00721E6F">
      <w:pPr>
        <w:spacing w:before="240" w:after="240"/>
        <w:rPr>
          <w:rFonts w:ascii="Aptos" w:eastAsia="Aptos" w:hAnsi="Aptos" w:cs="Aptos"/>
          <w:sz w:val="22"/>
          <w:szCs w:val="22"/>
        </w:rPr>
      </w:pPr>
    </w:p>
    <w:p w14:paraId="761371CB" w14:textId="77777777" w:rsidR="00721E6F" w:rsidRDefault="00E00BF5">
      <w:pPr>
        <w:pStyle w:val="Heading2"/>
        <w:spacing w:before="299" w:after="299"/>
      </w:pPr>
      <w:bookmarkStart w:id="4" w:name="_Toc210204200"/>
      <w:r>
        <w:rPr>
          <w:rFonts w:ascii="Aptos" w:eastAsia="Aptos" w:hAnsi="Aptos" w:cs="Aptos"/>
          <w:b/>
          <w:bCs/>
          <w:sz w:val="36"/>
          <w:szCs w:val="36"/>
        </w:rPr>
        <w:lastRenderedPageBreak/>
        <w:t>Task 3: Reflection on Learning and Future Application</w:t>
      </w:r>
      <w:bookmarkEnd w:id="4"/>
    </w:p>
    <w:p w14:paraId="7D44BF24"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Reflecting on the principles of person-centred care, partnership working, and ethics has deepened my understanding of what high-quality care looks like in real-life practice. Through studying theory and applying it to the dementia care case study, I have seen how these principles are not just ideas but essential tools for supporting people with dignity, fairness, and compassion.</w:t>
      </w:r>
    </w:p>
    <w:p w14:paraId="06EAA319"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Person-centred care stood out to me the most. I now understand that it is more than just listening to someone—it is about shaping care around their values, history, and goals. Learning about the Care Act 2014 and the Health Foundation’s framework helped me see how services must adapt to each person, especially those with complex needs. This has made me think differently about how I communicate and plan support. In future roles, especially in education or care settings, I will make sure to involve individual</w:t>
      </w:r>
      <w:r w:rsidRPr="00E00BF5">
        <w:rPr>
          <w:rFonts w:ascii="Arial" w:eastAsia="Aptos" w:hAnsi="Arial" w:cs="Arial"/>
          <w:sz w:val="22"/>
          <w:szCs w:val="22"/>
        </w:rPr>
        <w:t>s in decisions and use tools like personalised plans to promote independence and wellbeing.</w:t>
      </w:r>
    </w:p>
    <w:p w14:paraId="717737FB"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 xml:space="preserve">Partnership working also became clearer through the case study. I used to think teamwork was about sharing tasks, but now I see it is about shared responsibility and joined-up thinking. Bronfenbrenner’s theory helped me understand how different systems—like health, education, and family—need to work together to support someone fully. Seeing how professionals in the residential home collaborated with families and health teams showed me the value of regular communication and joint planning. In future, I will </w:t>
      </w:r>
      <w:r w:rsidRPr="00E00BF5">
        <w:rPr>
          <w:rFonts w:ascii="Arial" w:eastAsia="Aptos" w:hAnsi="Arial" w:cs="Arial"/>
          <w:sz w:val="22"/>
          <w:szCs w:val="22"/>
        </w:rPr>
        <w:t>aim to build strong relationships with colleagues and external agencies, using clear communication and shared goals to improve outcomes for those I support.</w:t>
      </w:r>
    </w:p>
    <w:p w14:paraId="052DBD06"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Ethics was an area I found challenging but important. “Learning about the Mental Capacity Act 2005 (Ministry of Justice, 2005) and using Gibbs’ Reflective Cycle helped me understand, how to handle complex decisions, like when someone refuses care. I have realised that ethical practice means balancing respect for autonomy with the need to protect people from harm. This reflection has made me more confident in recognising ethical dilemmas and knowing when to seek advice or use legal frameworks. In future prac</w:t>
      </w:r>
      <w:r w:rsidRPr="00E00BF5">
        <w:rPr>
          <w:rFonts w:ascii="Arial" w:eastAsia="Aptos" w:hAnsi="Arial" w:cs="Arial"/>
          <w:sz w:val="22"/>
          <w:szCs w:val="22"/>
        </w:rPr>
        <w:t>tice, I will use reflection to guide my decisions and make sure I act fairly and responsibly.</w:t>
      </w:r>
    </w:p>
    <w:p w14:paraId="49091BEF"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 xml:space="preserve">Overall, this assignment has helped me connect theory to practice and build confidence in applying key principles. I have learned that diligent care is not just about doing tasks—it is about </w:t>
      </w:r>
      <w:r w:rsidRPr="00E00BF5">
        <w:rPr>
          <w:rFonts w:ascii="Arial" w:eastAsia="Aptos" w:hAnsi="Arial" w:cs="Arial"/>
          <w:sz w:val="22"/>
          <w:szCs w:val="22"/>
        </w:rPr>
        <w:lastRenderedPageBreak/>
        <w:t>understanding people, working together, and making thoughtful decisions. These insights will shape how I work in health and social care settings, especially when supporting individuals with learning needs or complex challenges. I feel more prepared to offer care that is inclusive, ethical, and person-centred.</w:t>
      </w:r>
    </w:p>
    <w:p w14:paraId="622E7BFE" w14:textId="7D81F8E6" w:rsidR="00721E6F" w:rsidRPr="00E00BF5" w:rsidRDefault="512ADD73">
      <w:pPr>
        <w:spacing w:before="240" w:after="240" w:line="360" w:lineRule="auto"/>
        <w:jc w:val="both"/>
        <w:rPr>
          <w:rFonts w:ascii="Arial" w:eastAsia="Aptos" w:hAnsi="Arial" w:cs="Arial"/>
          <w:sz w:val="22"/>
          <w:szCs w:val="22"/>
        </w:rPr>
      </w:pPr>
      <w:r w:rsidRPr="00E00BF5">
        <w:rPr>
          <w:rFonts w:ascii="Arial" w:eastAsia="Aptos" w:hAnsi="Arial" w:cs="Arial"/>
          <w:sz w:val="22"/>
          <w:szCs w:val="22"/>
        </w:rPr>
        <w:t>This learning has also helped me prepare for future interviews and placements. I now feel more confident talking about person-centred care and partnership working using real examples and theory. When asked about ethical challenges or teamwork, I can reflect on the dementia case study and explain how I would respond in similar situations. I have also practised using the STAR method to structure my answers, which helps me stay clear and focused. These skills will support me in classroom assistant roles and other care settings, where communication and ethical thinking are key. The STAR method (Situation, Task, Action, Result) is widely recognised for helping individuals present real-life examples in a structured and relevant way, particularly in interviews and reflective practice (Think Teaching, n.d.). I am now more prepared to show how I can apply these principles in real life and explain why they matter.</w:t>
      </w:r>
    </w:p>
    <w:p w14:paraId="2B2A7A39" w14:textId="77777777" w:rsidR="00721E6F" w:rsidRDefault="00E00BF5">
      <w:pPr>
        <w:pStyle w:val="Heading2"/>
        <w:spacing w:before="299" w:after="299"/>
      </w:pPr>
      <w:bookmarkStart w:id="5" w:name="_Toc210204201"/>
      <w:r>
        <w:rPr>
          <w:rFonts w:ascii="Aptos" w:eastAsia="Aptos" w:hAnsi="Aptos" w:cs="Aptos"/>
          <w:b/>
          <w:bCs/>
          <w:sz w:val="36"/>
          <w:szCs w:val="36"/>
        </w:rPr>
        <w:t>Conclusion</w:t>
      </w:r>
      <w:bookmarkEnd w:id="5"/>
    </w:p>
    <w:p w14:paraId="0C4E97BB" w14:textId="77777777" w:rsidR="00721E6F" w:rsidRPr="00E00BF5" w:rsidRDefault="00E00BF5">
      <w:pPr>
        <w:spacing w:before="240" w:after="240" w:line="360" w:lineRule="auto"/>
        <w:jc w:val="both"/>
        <w:rPr>
          <w:rFonts w:ascii="Arial" w:hAnsi="Arial" w:cs="Arial"/>
          <w:sz w:val="22"/>
          <w:szCs w:val="22"/>
        </w:rPr>
      </w:pPr>
      <w:r w:rsidRPr="00E00BF5">
        <w:rPr>
          <w:rFonts w:ascii="Arial" w:eastAsia="Aptos" w:hAnsi="Arial" w:cs="Arial"/>
          <w:sz w:val="22"/>
          <w:szCs w:val="22"/>
        </w:rPr>
        <w:t>This report has explored the key principles of person-centred care, partnership working, and ethics within UK health and social care. Through reflection and practical examples, I have gained a deeper understanding of how these principles shape high-quality, respectful, and inclusive care. The dementia care case study showed how theory connects to real-life practice, and how professionals can work together to support individuals with compassion and fairness. Reflecting on these ideas has helped me grow in co</w:t>
      </w:r>
      <w:r w:rsidRPr="00E00BF5">
        <w:rPr>
          <w:rFonts w:ascii="Arial" w:eastAsia="Aptos" w:hAnsi="Arial" w:cs="Arial"/>
          <w:sz w:val="22"/>
          <w:szCs w:val="22"/>
        </w:rPr>
        <w:t xml:space="preserve">nfidence and develop skills I will use in future roles. I now feel more prepared to apply ethical thinking, work in partnership with others, and provide care that truly focuses on the person. These insights will guide me as I continue to learn and aim to make a positive difference in health and social care settings. </w:t>
      </w:r>
    </w:p>
    <w:p w14:paraId="1FC39945" w14:textId="77777777" w:rsidR="00721E6F" w:rsidRDefault="00721E6F">
      <w:pPr>
        <w:spacing w:before="240" w:after="240"/>
        <w:rPr>
          <w:rFonts w:ascii="Aptos" w:eastAsia="Aptos" w:hAnsi="Aptos" w:cs="Aptos"/>
        </w:rPr>
      </w:pPr>
    </w:p>
    <w:p w14:paraId="0562CB0E" w14:textId="77777777" w:rsidR="00721E6F" w:rsidRDefault="00721E6F">
      <w:pPr>
        <w:spacing w:before="240" w:after="240"/>
        <w:rPr>
          <w:rFonts w:ascii="Aptos" w:eastAsia="Aptos" w:hAnsi="Aptos" w:cs="Aptos"/>
        </w:rPr>
      </w:pPr>
    </w:p>
    <w:p w14:paraId="6B699379" w14:textId="77777777" w:rsidR="00721E6F" w:rsidRDefault="00E00BF5">
      <w:pPr>
        <w:rPr>
          <w:rFonts w:ascii="Aptos" w:eastAsia="Aptos" w:hAnsi="Aptos" w:cs="Aptos"/>
          <w:b/>
          <w:bCs/>
          <w:color w:val="0F4761" w:themeColor="accent1" w:themeShade="BF"/>
          <w:sz w:val="36"/>
          <w:szCs w:val="36"/>
        </w:rPr>
      </w:pPr>
      <w:r>
        <w:br w:type="page"/>
      </w:r>
    </w:p>
    <w:p w14:paraId="6403A368" w14:textId="77777777" w:rsidR="00721E6F" w:rsidRDefault="00E00BF5">
      <w:pPr>
        <w:pStyle w:val="Heading2"/>
        <w:spacing w:before="0" w:after="299"/>
      </w:pPr>
      <w:bookmarkStart w:id="6" w:name="_Toc210204202"/>
      <w:r>
        <w:rPr>
          <w:rFonts w:ascii="Aptos" w:eastAsia="Aptos" w:hAnsi="Aptos" w:cs="Aptos"/>
          <w:b/>
          <w:bCs/>
          <w:sz w:val="36"/>
          <w:szCs w:val="36"/>
        </w:rPr>
        <w:lastRenderedPageBreak/>
        <w:t>Reference List</w:t>
      </w:r>
      <w:bookmarkEnd w:id="6"/>
      <w:r>
        <w:rPr>
          <w:rFonts w:ascii="Aptos" w:eastAsia="Aptos" w:hAnsi="Aptos" w:cs="Aptos"/>
          <w:b/>
          <w:bCs/>
          <w:sz w:val="36"/>
          <w:szCs w:val="36"/>
        </w:rPr>
        <w:t xml:space="preserve"> </w:t>
      </w:r>
    </w:p>
    <w:p w14:paraId="53A67EC2"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Boyd, D., and Bee, H. (2015) </w:t>
      </w:r>
      <w:r w:rsidRPr="00E00BF5">
        <w:rPr>
          <w:rFonts w:ascii="Arial" w:eastAsia="Aptos" w:hAnsi="Arial" w:cs="Arial"/>
          <w:i/>
          <w:iCs/>
          <w:sz w:val="22"/>
          <w:szCs w:val="22"/>
        </w:rPr>
        <w:t>Lifespan Development</w:t>
      </w:r>
      <w:r w:rsidRPr="00E00BF5">
        <w:rPr>
          <w:rFonts w:ascii="Arial" w:eastAsia="Aptos" w:hAnsi="Arial" w:cs="Arial"/>
          <w:sz w:val="22"/>
          <w:szCs w:val="22"/>
        </w:rPr>
        <w:t xml:space="preserve">. 6th </w:t>
      </w:r>
      <w:proofErr w:type="spellStart"/>
      <w:r w:rsidRPr="00E00BF5">
        <w:rPr>
          <w:rFonts w:ascii="Arial" w:eastAsia="Aptos" w:hAnsi="Arial" w:cs="Arial"/>
          <w:sz w:val="22"/>
          <w:szCs w:val="22"/>
        </w:rPr>
        <w:t>edn</w:t>
      </w:r>
      <w:proofErr w:type="spellEnd"/>
      <w:r w:rsidRPr="00E00BF5">
        <w:rPr>
          <w:rFonts w:ascii="Arial" w:eastAsia="Aptos" w:hAnsi="Arial" w:cs="Arial"/>
          <w:sz w:val="22"/>
          <w:szCs w:val="22"/>
        </w:rPr>
        <w:t>. Boston: Pearson.</w:t>
      </w:r>
    </w:p>
    <w:p w14:paraId="6124A44A" w14:textId="77777777" w:rsidR="00721E6F" w:rsidRPr="00E00BF5" w:rsidRDefault="00E00BF5">
      <w:pPr>
        <w:spacing w:before="240" w:after="240"/>
        <w:jc w:val="both"/>
        <w:rPr>
          <w:rFonts w:ascii="Arial" w:eastAsia="Aptos" w:hAnsi="Arial" w:cs="Arial"/>
          <w:sz w:val="22"/>
          <w:szCs w:val="22"/>
        </w:rPr>
      </w:pPr>
      <w:bookmarkStart w:id="7" w:name="_Int_090CWmWS"/>
      <w:r w:rsidRPr="00E00BF5">
        <w:rPr>
          <w:rFonts w:ascii="Arial" w:eastAsia="Aptos" w:hAnsi="Arial" w:cs="Arial"/>
          <w:sz w:val="22"/>
          <w:szCs w:val="22"/>
        </w:rPr>
        <w:t xml:space="preserve">Bronfenbrenner, U. (1979) </w:t>
      </w:r>
      <w:r w:rsidRPr="00E00BF5">
        <w:rPr>
          <w:rFonts w:ascii="Arial" w:eastAsia="Aptos" w:hAnsi="Arial" w:cs="Arial"/>
          <w:i/>
          <w:iCs/>
          <w:sz w:val="22"/>
          <w:szCs w:val="22"/>
        </w:rPr>
        <w:t>The Ecology of Human Development: Experiments by Nature and Design</w:t>
      </w:r>
      <w:r w:rsidRPr="00E00BF5">
        <w:rPr>
          <w:rFonts w:ascii="Arial" w:eastAsia="Aptos" w:hAnsi="Arial" w:cs="Arial"/>
          <w:sz w:val="22"/>
          <w:szCs w:val="22"/>
        </w:rPr>
        <w:t>.</w:t>
      </w:r>
      <w:bookmarkEnd w:id="7"/>
      <w:r w:rsidRPr="00E00BF5">
        <w:rPr>
          <w:rFonts w:ascii="Arial" w:eastAsia="Aptos" w:hAnsi="Arial" w:cs="Arial"/>
          <w:sz w:val="22"/>
          <w:szCs w:val="22"/>
        </w:rPr>
        <w:t xml:space="preserve"> (“Bronfenbrenner, U. (1979). The Ecology of Human Development ...”) (“Bronfenbrenner, U. (1979). The Ecology of Human Development ...”) Cambridge, MA: Harvard University Press.</w:t>
      </w:r>
    </w:p>
    <w:p w14:paraId="0E54BEFF"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Care Quality Commission (2015) </w:t>
      </w:r>
      <w:r w:rsidRPr="00E00BF5">
        <w:rPr>
          <w:rFonts w:ascii="Arial" w:eastAsia="Aptos" w:hAnsi="Arial" w:cs="Arial"/>
          <w:i/>
          <w:iCs/>
          <w:sz w:val="22"/>
          <w:szCs w:val="22"/>
        </w:rPr>
        <w:t>Health and Social Care Act 2008 (Regulated Activities) Regulations 2014: Regulation 9</w:t>
      </w:r>
      <w:r w:rsidRPr="00E00BF5">
        <w:rPr>
          <w:rFonts w:ascii="Arial" w:eastAsia="Aptos" w:hAnsi="Arial" w:cs="Arial"/>
          <w:sz w:val="22"/>
          <w:szCs w:val="22"/>
        </w:rPr>
        <w:t xml:space="preserve">. Available at: </w:t>
      </w:r>
      <w:hyperlink r:id="rId7">
        <w:r w:rsidRPr="00E00BF5">
          <w:rPr>
            <w:rStyle w:val="Hyperlink"/>
            <w:rFonts w:ascii="Arial" w:eastAsia="Aptos" w:hAnsi="Arial" w:cs="Arial"/>
            <w:sz w:val="22"/>
            <w:szCs w:val="22"/>
          </w:rPr>
          <w:t>https://www.cqc.org.uk/guidance-providers/regulations-enforcement/regulation-9-person-centred-care</w:t>
        </w:r>
      </w:hyperlink>
      <w:r w:rsidRPr="00E00BF5">
        <w:rPr>
          <w:rFonts w:ascii="Arial" w:eastAsia="Aptos" w:hAnsi="Arial" w:cs="Arial"/>
          <w:sz w:val="22"/>
          <w:szCs w:val="22"/>
        </w:rPr>
        <w:t xml:space="preserve"> (Accessed: 12 September 2025).</w:t>
      </w:r>
    </w:p>
    <w:p w14:paraId="28CB1582"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Department of Health and Social Care (2014) </w:t>
      </w:r>
      <w:r w:rsidRPr="00E00BF5">
        <w:rPr>
          <w:rFonts w:ascii="Arial" w:eastAsia="Aptos" w:hAnsi="Arial" w:cs="Arial"/>
          <w:i/>
          <w:iCs/>
          <w:sz w:val="22"/>
          <w:szCs w:val="22"/>
        </w:rPr>
        <w:t>Care Act 2014</w:t>
      </w:r>
      <w:r w:rsidRPr="00E00BF5">
        <w:rPr>
          <w:rFonts w:ascii="Arial" w:eastAsia="Aptos" w:hAnsi="Arial" w:cs="Arial"/>
          <w:sz w:val="22"/>
          <w:szCs w:val="22"/>
        </w:rPr>
        <w:t xml:space="preserve">. Available at: </w:t>
      </w:r>
      <w:hyperlink r:id="rId8">
        <w:r w:rsidRPr="00E00BF5">
          <w:rPr>
            <w:rStyle w:val="Hyperlink"/>
            <w:rFonts w:ascii="Arial" w:eastAsia="Aptos" w:hAnsi="Arial" w:cs="Arial"/>
            <w:sz w:val="22"/>
            <w:szCs w:val="22"/>
          </w:rPr>
          <w:t>https://www.legislation.gov.uk/ukpga/2014/23/contents/enacted</w:t>
        </w:r>
      </w:hyperlink>
      <w:r w:rsidRPr="00E00BF5">
        <w:rPr>
          <w:rFonts w:ascii="Arial" w:eastAsia="Aptos" w:hAnsi="Arial" w:cs="Arial"/>
          <w:sz w:val="22"/>
          <w:szCs w:val="22"/>
        </w:rPr>
        <w:t xml:space="preserve"> (Accessed: 12 September 2025).</w:t>
      </w:r>
    </w:p>
    <w:p w14:paraId="4FE16516"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Gibbs, G. (1988) </w:t>
      </w:r>
      <w:r w:rsidRPr="00E00BF5">
        <w:rPr>
          <w:rFonts w:ascii="Arial" w:eastAsia="Aptos" w:hAnsi="Arial" w:cs="Arial"/>
          <w:i/>
          <w:iCs/>
          <w:sz w:val="22"/>
          <w:szCs w:val="22"/>
        </w:rPr>
        <w:t>Learning by Doing: A Guide to Teaching and Learning Methods</w:t>
      </w:r>
      <w:r w:rsidRPr="00E00BF5">
        <w:rPr>
          <w:rFonts w:ascii="Arial" w:eastAsia="Aptos" w:hAnsi="Arial" w:cs="Arial"/>
          <w:sz w:val="22"/>
          <w:szCs w:val="22"/>
        </w:rPr>
        <w:t>.” (“Gibbs, G. (1988) Learning by doing A guide to teaching and learning ...”) (“1 Gibbs, G. (1988) Learning by Doing: A guide to teaching and learning ...”) Oxford: Oxford Polytechnic.</w:t>
      </w:r>
    </w:p>
    <w:p w14:paraId="4642873C"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Health Education England (2023) </w:t>
      </w:r>
      <w:r w:rsidRPr="00E00BF5">
        <w:rPr>
          <w:rFonts w:ascii="Arial" w:eastAsia="Aptos" w:hAnsi="Arial" w:cs="Arial"/>
          <w:i/>
          <w:iCs/>
          <w:sz w:val="22"/>
          <w:szCs w:val="22"/>
        </w:rPr>
        <w:t>Person-centred Approaches: Core Skills Education and Training Framework</w:t>
      </w:r>
      <w:r w:rsidRPr="00E00BF5">
        <w:rPr>
          <w:rFonts w:ascii="Arial" w:eastAsia="Aptos" w:hAnsi="Arial" w:cs="Arial"/>
          <w:sz w:val="22"/>
          <w:szCs w:val="22"/>
        </w:rPr>
        <w:t xml:space="preserve">. Available at: </w:t>
      </w:r>
      <w:hyperlink r:id="rId9">
        <w:r w:rsidRPr="00E00BF5">
          <w:rPr>
            <w:rStyle w:val="Hyperlink"/>
            <w:rFonts w:ascii="Arial" w:eastAsia="Aptos" w:hAnsi="Arial" w:cs="Arial"/>
            <w:sz w:val="22"/>
            <w:szCs w:val="22"/>
          </w:rPr>
          <w:t>https://www.hee.nhs.uk/our-work/person-centred-care</w:t>
        </w:r>
      </w:hyperlink>
      <w:r w:rsidRPr="00E00BF5">
        <w:rPr>
          <w:rFonts w:ascii="Arial" w:eastAsia="Aptos" w:hAnsi="Arial" w:cs="Arial"/>
          <w:sz w:val="22"/>
          <w:szCs w:val="22"/>
        </w:rPr>
        <w:t xml:space="preserve"> (Accessed: 12 September 2025).</w:t>
      </w:r>
    </w:p>
    <w:p w14:paraId="40673350"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Health Foundation (2016) </w:t>
      </w:r>
      <w:r w:rsidRPr="00E00BF5">
        <w:rPr>
          <w:rFonts w:ascii="Arial" w:eastAsia="Aptos" w:hAnsi="Arial" w:cs="Arial"/>
          <w:i/>
          <w:iCs/>
          <w:sz w:val="22"/>
          <w:szCs w:val="22"/>
        </w:rPr>
        <w:t>Person-centred care made simple</w:t>
      </w:r>
      <w:r w:rsidRPr="00E00BF5">
        <w:rPr>
          <w:rFonts w:ascii="Arial" w:eastAsia="Aptos" w:hAnsi="Arial" w:cs="Arial"/>
          <w:sz w:val="22"/>
          <w:szCs w:val="22"/>
        </w:rPr>
        <w:t xml:space="preserve">. Available at: </w:t>
      </w:r>
      <w:hyperlink r:id="rId10">
        <w:r w:rsidRPr="00E00BF5">
          <w:rPr>
            <w:rStyle w:val="Hyperlink"/>
            <w:rFonts w:ascii="Arial" w:eastAsia="Aptos" w:hAnsi="Arial" w:cs="Arial"/>
            <w:sz w:val="22"/>
            <w:szCs w:val="22"/>
          </w:rPr>
          <w:t>https://www.health.org.uk/publications/person-centred-care-made-simple</w:t>
        </w:r>
      </w:hyperlink>
      <w:r w:rsidRPr="00E00BF5">
        <w:rPr>
          <w:rFonts w:ascii="Arial" w:eastAsia="Aptos" w:hAnsi="Arial" w:cs="Arial"/>
          <w:sz w:val="22"/>
          <w:szCs w:val="22"/>
        </w:rPr>
        <w:t xml:space="preserve"> (Accessed: 12 September 2025).</w:t>
      </w:r>
    </w:p>
    <w:p w14:paraId="0F9577DC" w14:textId="77777777" w:rsidR="00721E6F" w:rsidRPr="00E00BF5" w:rsidRDefault="00E00BF5">
      <w:pPr>
        <w:spacing w:before="240" w:after="240"/>
        <w:jc w:val="both"/>
        <w:rPr>
          <w:rFonts w:ascii="Arial" w:eastAsia="Aptos" w:hAnsi="Arial" w:cs="Arial"/>
          <w:sz w:val="22"/>
          <w:szCs w:val="22"/>
        </w:rPr>
      </w:pPr>
      <w:r w:rsidRPr="00E00BF5">
        <w:rPr>
          <w:rFonts w:ascii="Arial" w:hAnsi="Arial" w:cs="Arial"/>
          <w:sz w:val="22"/>
          <w:szCs w:val="22"/>
        </w:rPr>
        <w:t>Ministry of Justice (2005)</w:t>
      </w:r>
      <w:r w:rsidRPr="00E00BF5">
        <w:rPr>
          <w:rFonts w:ascii="Arial" w:hAnsi="Arial" w:cs="Arial"/>
          <w:sz w:val="22"/>
          <w:szCs w:val="22"/>
        </w:rPr>
        <w:t xml:space="preserve"> </w:t>
      </w:r>
      <w:r w:rsidRPr="00E00BF5">
        <w:rPr>
          <w:rFonts w:ascii="Arial" w:hAnsi="Arial" w:cs="Arial"/>
          <w:i/>
          <w:iCs/>
          <w:sz w:val="22"/>
          <w:szCs w:val="22"/>
        </w:rPr>
        <w:t>Mental Capacity Act 2005</w:t>
      </w:r>
      <w:r w:rsidRPr="00E00BF5">
        <w:rPr>
          <w:rFonts w:ascii="Arial" w:hAnsi="Arial" w:cs="Arial"/>
          <w:sz w:val="22"/>
          <w:szCs w:val="22"/>
        </w:rPr>
        <w:t xml:space="preserve">. Available at: </w:t>
      </w:r>
      <w:hyperlink r:id="rId11">
        <w:r w:rsidRPr="00E00BF5">
          <w:rPr>
            <w:rStyle w:val="Hyperlink"/>
            <w:rFonts w:ascii="Arial" w:hAnsi="Arial" w:cs="Arial"/>
            <w:sz w:val="22"/>
            <w:szCs w:val="22"/>
          </w:rPr>
          <w:t>https://www.legislation.gov.uk/ukpga/2005/9/contents</w:t>
        </w:r>
      </w:hyperlink>
      <w:r w:rsidRPr="00E00BF5">
        <w:rPr>
          <w:rFonts w:ascii="Arial" w:hAnsi="Arial" w:cs="Arial"/>
          <w:sz w:val="22"/>
          <w:szCs w:val="22"/>
        </w:rPr>
        <w:t xml:space="preserve"> (Accessed: 12 September 2025)</w:t>
      </w:r>
    </w:p>
    <w:p w14:paraId="378E6C40"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NICE (2018) </w:t>
      </w:r>
      <w:r w:rsidRPr="00E00BF5">
        <w:rPr>
          <w:rFonts w:ascii="Arial" w:eastAsia="Aptos" w:hAnsi="Arial" w:cs="Arial"/>
          <w:i/>
          <w:iCs/>
          <w:sz w:val="22"/>
          <w:szCs w:val="22"/>
        </w:rPr>
        <w:t>Dementia: assessment, management and support for people living with dementia and their careers</w:t>
      </w:r>
      <w:r w:rsidRPr="00E00BF5">
        <w:rPr>
          <w:rFonts w:ascii="Arial" w:eastAsia="Aptos" w:hAnsi="Arial" w:cs="Arial"/>
          <w:sz w:val="22"/>
          <w:szCs w:val="22"/>
        </w:rPr>
        <w:t xml:space="preserve">. Available at: </w:t>
      </w:r>
      <w:hyperlink r:id="rId12">
        <w:r w:rsidRPr="00E00BF5">
          <w:rPr>
            <w:rStyle w:val="Hyperlink"/>
            <w:rFonts w:ascii="Arial" w:eastAsia="Aptos" w:hAnsi="Arial" w:cs="Arial"/>
            <w:sz w:val="22"/>
            <w:szCs w:val="22"/>
          </w:rPr>
          <w:t>https://www.nice.org.uk/guidance/ng97</w:t>
        </w:r>
      </w:hyperlink>
      <w:r w:rsidRPr="00E00BF5">
        <w:rPr>
          <w:rFonts w:ascii="Arial" w:eastAsia="Aptos" w:hAnsi="Arial" w:cs="Arial"/>
          <w:sz w:val="22"/>
          <w:szCs w:val="22"/>
        </w:rPr>
        <w:t xml:space="preserve"> (Accessed: 12 September 2025).</w:t>
      </w:r>
    </w:p>
    <w:p w14:paraId="3B193730"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NHS England (2022) </w:t>
      </w:r>
      <w:r w:rsidRPr="00E00BF5">
        <w:rPr>
          <w:rFonts w:ascii="Arial" w:eastAsia="Aptos" w:hAnsi="Arial" w:cs="Arial"/>
          <w:i/>
          <w:iCs/>
          <w:sz w:val="22"/>
          <w:szCs w:val="22"/>
        </w:rPr>
        <w:t>Integrated Care Systems: Guidance and Resources</w:t>
      </w:r>
      <w:r w:rsidRPr="00E00BF5">
        <w:rPr>
          <w:rFonts w:ascii="Arial" w:eastAsia="Aptos" w:hAnsi="Arial" w:cs="Arial"/>
          <w:sz w:val="22"/>
          <w:szCs w:val="22"/>
        </w:rPr>
        <w:t xml:space="preserve">. Available at: </w:t>
      </w:r>
      <w:hyperlink r:id="rId13">
        <w:r w:rsidRPr="00E00BF5">
          <w:rPr>
            <w:rStyle w:val="Hyperlink"/>
            <w:rFonts w:ascii="Arial" w:eastAsia="Aptos" w:hAnsi="Arial" w:cs="Arial"/>
            <w:sz w:val="22"/>
            <w:szCs w:val="22"/>
          </w:rPr>
          <w:t>https://www.england.nhs.uk/integratedcare/</w:t>
        </w:r>
      </w:hyperlink>
      <w:r w:rsidRPr="00E00BF5">
        <w:rPr>
          <w:rFonts w:ascii="Arial" w:eastAsia="Aptos" w:hAnsi="Arial" w:cs="Arial"/>
          <w:sz w:val="22"/>
          <w:szCs w:val="22"/>
        </w:rPr>
        <w:t xml:space="preserve"> (Accessed: 12 September 2025).</w:t>
      </w:r>
    </w:p>
    <w:p w14:paraId="3F32CB07"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Nursing and Midwifery Council (2018) </w:t>
      </w:r>
      <w:r w:rsidRPr="00E00BF5">
        <w:rPr>
          <w:rFonts w:ascii="Arial" w:eastAsia="Aptos" w:hAnsi="Arial" w:cs="Arial"/>
          <w:i/>
          <w:iCs/>
          <w:sz w:val="22"/>
          <w:szCs w:val="22"/>
        </w:rPr>
        <w:t>The Code: Professional standards of practice and behaviour for nurses, midwives, and nursing associates</w:t>
      </w:r>
      <w:r w:rsidRPr="00E00BF5">
        <w:rPr>
          <w:rFonts w:ascii="Arial" w:eastAsia="Aptos" w:hAnsi="Arial" w:cs="Arial"/>
          <w:sz w:val="22"/>
          <w:szCs w:val="22"/>
        </w:rPr>
        <w:t xml:space="preserve">. Available at: </w:t>
      </w:r>
      <w:hyperlink r:id="rId14">
        <w:r w:rsidRPr="00E00BF5">
          <w:rPr>
            <w:rStyle w:val="Hyperlink"/>
            <w:rFonts w:ascii="Arial" w:eastAsia="Aptos" w:hAnsi="Arial" w:cs="Arial"/>
            <w:sz w:val="22"/>
            <w:szCs w:val="22"/>
          </w:rPr>
          <w:t>https://www.nmc.org.uk/standards/code/</w:t>
        </w:r>
      </w:hyperlink>
      <w:r w:rsidRPr="00E00BF5">
        <w:rPr>
          <w:rFonts w:ascii="Arial" w:eastAsia="Aptos" w:hAnsi="Arial" w:cs="Arial"/>
          <w:sz w:val="22"/>
          <w:szCs w:val="22"/>
        </w:rPr>
        <w:t xml:space="preserve"> (Accessed: 12 September 2025).</w:t>
      </w:r>
    </w:p>
    <w:p w14:paraId="03D3A701"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Skills for Care (2022) </w:t>
      </w:r>
      <w:r w:rsidRPr="00E00BF5">
        <w:rPr>
          <w:rFonts w:ascii="Arial" w:eastAsia="Aptos" w:hAnsi="Arial" w:cs="Arial"/>
          <w:i/>
          <w:iCs/>
          <w:sz w:val="22"/>
          <w:szCs w:val="22"/>
        </w:rPr>
        <w:t>Core values in adult social care</w:t>
      </w:r>
      <w:r w:rsidRPr="00E00BF5">
        <w:rPr>
          <w:rFonts w:ascii="Arial" w:eastAsia="Aptos" w:hAnsi="Arial" w:cs="Arial"/>
          <w:sz w:val="22"/>
          <w:szCs w:val="22"/>
        </w:rPr>
        <w:t xml:space="preserve">. Available at: </w:t>
      </w:r>
      <w:hyperlink r:id="rId15">
        <w:r w:rsidRPr="00E00BF5">
          <w:rPr>
            <w:rStyle w:val="Hyperlink"/>
            <w:rFonts w:ascii="Arial" w:eastAsia="Aptos" w:hAnsi="Arial" w:cs="Arial"/>
            <w:sz w:val="22"/>
            <w:szCs w:val="22"/>
          </w:rPr>
          <w:t>https://www.skillsforcare.org.uk/</w:t>
        </w:r>
      </w:hyperlink>
      <w:r w:rsidRPr="00E00BF5">
        <w:rPr>
          <w:rFonts w:ascii="Arial" w:eastAsia="Aptos" w:hAnsi="Arial" w:cs="Arial"/>
          <w:sz w:val="22"/>
          <w:szCs w:val="22"/>
        </w:rPr>
        <w:t xml:space="preserve"> (Accessed: 12 September 2025).</w:t>
      </w:r>
    </w:p>
    <w:p w14:paraId="21E44F75"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lastRenderedPageBreak/>
        <w:t>Social Care Wales (n.d.) Dementia care and support learning and development implementation toolkit: Values and principles. Available at: https://socialcare.wales/resources-guidance/improving-care-and-support/people-with-dementia/dementia-care-and-support-learning-and-development-implementation-toolkit/1-values-and-principles (Accessed: 29 September 2025)</w:t>
      </w:r>
    </w:p>
    <w:p w14:paraId="2BAF28B1" w14:textId="77777777" w:rsidR="00721E6F" w:rsidRPr="00E00BF5" w:rsidRDefault="00E00BF5">
      <w:pPr>
        <w:spacing w:before="240" w:after="240"/>
        <w:jc w:val="both"/>
        <w:rPr>
          <w:rFonts w:ascii="Arial" w:eastAsia="Aptos" w:hAnsi="Arial" w:cs="Arial"/>
          <w:sz w:val="22"/>
          <w:szCs w:val="22"/>
        </w:rPr>
      </w:pPr>
      <w:proofErr w:type="spellStart"/>
      <w:r w:rsidRPr="00E00BF5">
        <w:rPr>
          <w:rFonts w:ascii="Arial" w:eastAsia="Aptos" w:hAnsi="Arial" w:cs="Arial"/>
          <w:sz w:val="22"/>
          <w:szCs w:val="22"/>
        </w:rPr>
        <w:t>Tilmouth</w:t>
      </w:r>
      <w:proofErr w:type="spellEnd"/>
      <w:r w:rsidRPr="00E00BF5">
        <w:rPr>
          <w:rFonts w:ascii="Arial" w:eastAsia="Aptos" w:hAnsi="Arial" w:cs="Arial"/>
          <w:sz w:val="22"/>
          <w:szCs w:val="22"/>
        </w:rPr>
        <w:t xml:space="preserve">, T., Davies, M. and Davies, D. (2011) </w:t>
      </w:r>
      <w:r w:rsidRPr="00E00BF5">
        <w:rPr>
          <w:rFonts w:ascii="Arial" w:eastAsia="Aptos" w:hAnsi="Arial" w:cs="Arial"/>
          <w:i/>
          <w:iCs/>
          <w:sz w:val="22"/>
          <w:szCs w:val="22"/>
        </w:rPr>
        <w:t>CACHE Level 3 Health and Social Care</w:t>
      </w:r>
      <w:r w:rsidRPr="00E00BF5">
        <w:rPr>
          <w:rFonts w:ascii="Arial" w:eastAsia="Aptos" w:hAnsi="Arial" w:cs="Arial"/>
          <w:sz w:val="22"/>
          <w:szCs w:val="22"/>
        </w:rPr>
        <w:t>. Cheltenham: Nelson Thornes.</w:t>
      </w:r>
    </w:p>
    <w:p w14:paraId="320EAA04" w14:textId="77777777" w:rsidR="00721E6F" w:rsidRPr="00E00BF5" w:rsidRDefault="00E00BF5">
      <w:pPr>
        <w:pStyle w:val="BodyText"/>
        <w:spacing w:before="240" w:after="240"/>
        <w:jc w:val="both"/>
        <w:rPr>
          <w:rFonts w:ascii="Arial" w:eastAsia="Aptos" w:hAnsi="Arial" w:cs="Arial"/>
          <w:sz w:val="22"/>
          <w:szCs w:val="22"/>
        </w:rPr>
      </w:pPr>
      <w:r w:rsidRPr="00E00BF5">
        <w:rPr>
          <w:rFonts w:ascii="Arial" w:eastAsia="Aptos" w:hAnsi="Arial" w:cs="Arial"/>
          <w:sz w:val="22"/>
          <w:szCs w:val="22"/>
        </w:rPr>
        <w:t xml:space="preserve">Think Teaching (n.d.) </w:t>
      </w:r>
      <w:r w:rsidRPr="00E00BF5">
        <w:rPr>
          <w:rStyle w:val="Emphasis"/>
          <w:rFonts w:ascii="Arial" w:eastAsia="Aptos" w:hAnsi="Arial" w:cs="Arial"/>
          <w:sz w:val="22"/>
          <w:szCs w:val="22"/>
        </w:rPr>
        <w:t>How to use the STAR method</w:t>
      </w:r>
      <w:r w:rsidRPr="00E00BF5">
        <w:rPr>
          <w:rFonts w:ascii="Arial" w:eastAsia="Aptos" w:hAnsi="Arial" w:cs="Arial"/>
          <w:sz w:val="22"/>
          <w:szCs w:val="22"/>
        </w:rPr>
        <w:t xml:space="preserve">. Available at: </w:t>
      </w:r>
      <w:hyperlink r:id="rId16">
        <w:r w:rsidRPr="00E00BF5">
          <w:rPr>
            <w:rStyle w:val="Hyperlink"/>
            <w:rFonts w:ascii="Arial" w:eastAsia="Aptos" w:hAnsi="Arial" w:cs="Arial"/>
            <w:sz w:val="22"/>
            <w:szCs w:val="22"/>
          </w:rPr>
          <w:t>https://www.thinkteaching.co.uk/star-method/</w:t>
        </w:r>
      </w:hyperlink>
      <w:r w:rsidRPr="00E00BF5">
        <w:rPr>
          <w:rFonts w:ascii="Arial" w:eastAsia="Aptos" w:hAnsi="Arial" w:cs="Arial"/>
          <w:sz w:val="22"/>
          <w:szCs w:val="22"/>
        </w:rPr>
        <w:t xml:space="preserve"> (Accessed: 29 September 2025)</w:t>
      </w:r>
    </w:p>
    <w:p w14:paraId="1F02F059" w14:textId="77777777" w:rsidR="00721E6F" w:rsidRPr="00E00BF5" w:rsidRDefault="00E00BF5">
      <w:pPr>
        <w:spacing w:before="240" w:after="240"/>
        <w:jc w:val="both"/>
        <w:rPr>
          <w:rFonts w:ascii="Arial" w:eastAsia="Aptos" w:hAnsi="Arial" w:cs="Arial"/>
          <w:sz w:val="22"/>
          <w:szCs w:val="22"/>
        </w:rPr>
      </w:pPr>
      <w:r w:rsidRPr="00E00BF5">
        <w:rPr>
          <w:rFonts w:ascii="Arial" w:eastAsia="Aptos" w:hAnsi="Arial" w:cs="Arial"/>
          <w:sz w:val="22"/>
          <w:szCs w:val="22"/>
        </w:rPr>
        <w:t xml:space="preserve">University of Gothenburg Centre for Person-Centred Care (GPCC) (2017) </w:t>
      </w:r>
      <w:r w:rsidRPr="00E00BF5">
        <w:rPr>
          <w:rFonts w:ascii="Arial" w:eastAsia="Aptos" w:hAnsi="Arial" w:cs="Arial"/>
          <w:i/>
          <w:iCs/>
          <w:sz w:val="22"/>
          <w:szCs w:val="22"/>
        </w:rPr>
        <w:t>The Realities of Partnership in Person-Centred Care: A Qualitative Study</w:t>
      </w:r>
      <w:r w:rsidRPr="00E00BF5">
        <w:rPr>
          <w:rFonts w:ascii="Arial" w:eastAsia="Aptos" w:hAnsi="Arial" w:cs="Arial"/>
          <w:sz w:val="22"/>
          <w:szCs w:val="22"/>
        </w:rPr>
        <w:t xml:space="preserve">. </w:t>
      </w:r>
      <w:r w:rsidRPr="00E00BF5">
        <w:rPr>
          <w:rFonts w:ascii="Arial" w:eastAsia="Aptos" w:hAnsi="Arial" w:cs="Arial"/>
          <w:i/>
          <w:iCs/>
          <w:sz w:val="22"/>
          <w:szCs w:val="22"/>
        </w:rPr>
        <w:t>BMJ Open</w:t>
      </w:r>
      <w:r w:rsidRPr="00E00BF5">
        <w:rPr>
          <w:rFonts w:ascii="Arial" w:eastAsia="Aptos" w:hAnsi="Arial" w:cs="Arial"/>
          <w:sz w:val="22"/>
          <w:szCs w:val="22"/>
        </w:rPr>
        <w:t xml:space="preserve">, 7(7), e016491. Available at: </w:t>
      </w:r>
      <w:hyperlink r:id="rId17">
        <w:r w:rsidRPr="00E00BF5">
          <w:rPr>
            <w:rStyle w:val="Hyperlink"/>
            <w:rFonts w:ascii="Arial" w:eastAsia="Aptos" w:hAnsi="Arial" w:cs="Arial"/>
            <w:sz w:val="22"/>
            <w:szCs w:val="22"/>
          </w:rPr>
          <w:t>https://bmjopen.bmj.com/content/7/7/e016491</w:t>
        </w:r>
      </w:hyperlink>
      <w:r w:rsidRPr="00E00BF5">
        <w:rPr>
          <w:rFonts w:ascii="Arial" w:eastAsia="Aptos" w:hAnsi="Arial" w:cs="Arial"/>
          <w:sz w:val="22"/>
          <w:szCs w:val="22"/>
        </w:rPr>
        <w:t xml:space="preserve"> (Accessed: 12 September 2025).</w:t>
      </w:r>
    </w:p>
    <w:p w14:paraId="1F72F646" w14:textId="77777777" w:rsidR="00721E6F" w:rsidRDefault="00721E6F"/>
    <w:sectPr w:rsidR="00721E6F">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D00C2" w14:textId="77777777" w:rsidR="00E00BF5" w:rsidRDefault="00E00BF5">
      <w:pPr>
        <w:spacing w:after="0" w:line="240" w:lineRule="auto"/>
      </w:pPr>
      <w:r>
        <w:separator/>
      </w:r>
    </w:p>
  </w:endnote>
  <w:endnote w:type="continuationSeparator" w:id="0">
    <w:p w14:paraId="453221A9" w14:textId="77777777" w:rsidR="00E00BF5" w:rsidRDefault="00E00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9315" w14:textId="77777777" w:rsidR="00721E6F" w:rsidRDefault="00721E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689931"/>
      <w:docPartObj>
        <w:docPartGallery w:val="Page Numbers (Bottom of Page)"/>
        <w:docPartUnique/>
      </w:docPartObj>
    </w:sdtPr>
    <w:sdtEndPr/>
    <w:sdtContent>
      <w:p w14:paraId="4F2BFEFC" w14:textId="77777777" w:rsidR="00721E6F" w:rsidRDefault="00E00BF5">
        <w:pPr>
          <w:pStyle w:val="Footer"/>
          <w:jc w:val="center"/>
        </w:pPr>
        <w:r>
          <w:fldChar w:fldCharType="begin"/>
        </w:r>
        <w:r>
          <w:instrText xml:space="preserve"> PAGE </w:instrText>
        </w:r>
        <w:r>
          <w:fldChar w:fldCharType="separate"/>
        </w:r>
        <w:r>
          <w:t>8</w:t>
        </w:r>
        <w:r>
          <w:fldChar w:fldCharType="end"/>
        </w:r>
      </w:p>
    </w:sdtContent>
  </w:sdt>
  <w:p w14:paraId="6537F28F" w14:textId="77777777" w:rsidR="00721E6F" w:rsidRDefault="00721E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9E20" w14:textId="77777777" w:rsidR="00721E6F" w:rsidRDefault="00721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C5A77" w14:textId="77777777" w:rsidR="00E00BF5" w:rsidRDefault="00E00BF5">
      <w:pPr>
        <w:spacing w:after="0" w:line="240" w:lineRule="auto"/>
      </w:pPr>
      <w:r>
        <w:separator/>
      </w:r>
    </w:p>
  </w:footnote>
  <w:footnote w:type="continuationSeparator" w:id="0">
    <w:p w14:paraId="294D813C" w14:textId="77777777" w:rsidR="00E00BF5" w:rsidRDefault="00E00B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E6F91" w14:textId="77777777" w:rsidR="00721E6F" w:rsidRDefault="00721E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Layout w:type="fixed"/>
      <w:tblLook w:val="06A0" w:firstRow="1" w:lastRow="0" w:firstColumn="1" w:lastColumn="0" w:noHBand="1" w:noVBand="1"/>
    </w:tblPr>
    <w:tblGrid>
      <w:gridCol w:w="3120"/>
      <w:gridCol w:w="3120"/>
      <w:gridCol w:w="3120"/>
    </w:tblGrid>
    <w:tr w:rsidR="00721E6F" w14:paraId="61CDCEAD" w14:textId="77777777">
      <w:trPr>
        <w:trHeight w:val="300"/>
      </w:trPr>
      <w:tc>
        <w:tcPr>
          <w:tcW w:w="3120" w:type="dxa"/>
        </w:tcPr>
        <w:p w14:paraId="6BB9E253" w14:textId="77777777" w:rsidR="00721E6F" w:rsidRDefault="00721E6F">
          <w:pPr>
            <w:pStyle w:val="Header"/>
            <w:ind w:left="-115"/>
          </w:pPr>
        </w:p>
      </w:tc>
      <w:tc>
        <w:tcPr>
          <w:tcW w:w="3120" w:type="dxa"/>
        </w:tcPr>
        <w:p w14:paraId="23DE523C" w14:textId="77777777" w:rsidR="00721E6F" w:rsidRDefault="00721E6F">
          <w:pPr>
            <w:pStyle w:val="Header"/>
            <w:jc w:val="center"/>
          </w:pPr>
        </w:p>
      </w:tc>
      <w:tc>
        <w:tcPr>
          <w:tcW w:w="3120" w:type="dxa"/>
        </w:tcPr>
        <w:p w14:paraId="52E56223" w14:textId="77777777" w:rsidR="00721E6F" w:rsidRDefault="00721E6F">
          <w:pPr>
            <w:pStyle w:val="Header"/>
            <w:ind w:right="-115"/>
            <w:jc w:val="right"/>
          </w:pPr>
        </w:p>
      </w:tc>
    </w:tr>
  </w:tbl>
  <w:p w14:paraId="07547A01" w14:textId="77777777" w:rsidR="00721E6F" w:rsidRDefault="00721E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3CB0F" w14:textId="77777777" w:rsidR="00721E6F" w:rsidRDefault="00721E6F">
    <w:pPr>
      <w:pStyle w:val="Header"/>
    </w:pPr>
  </w:p>
</w:hdr>
</file>

<file path=word/intelligence2.xml><?xml version="1.0" encoding="utf-8"?>
<int2:intelligence xmlns:int2="http://schemas.microsoft.com/office/intelligence/2020/intelligence" xmlns:oel="http://schemas.microsoft.com/office/2019/extlst">
  <int2:observations>
    <int2:textHash int2:hashCode="o9cLZHMH+WCC7S" int2:id="OAMamvWD">
      <int2:state int2:value="Rejected" int2:type="spell"/>
    </int2:textHash>
    <int2:textHash int2:hashCode="Y7rxyEYEGk+h8X" int2:id="xfQtc8qc">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12ADD73"/>
    <w:rsid w:val="00721E6F"/>
    <w:rsid w:val="00E00BF5"/>
    <w:rsid w:val="00F1786E"/>
    <w:rsid w:val="512ADD7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8F119"/>
  <w15:docId w15:val="{1EF2A8F4-D1C8-4D78-9BBC-AFD336C3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DB58CA1"/>
    <w:pPr>
      <w:spacing w:after="160" w:line="278" w:lineRule="auto"/>
    </w:pPr>
    <w:rPr>
      <w:lang w:val="en-GB"/>
    </w:rPr>
  </w:style>
  <w:style w:type="paragraph" w:styleId="Heading1">
    <w:name w:val="heading 1"/>
    <w:basedOn w:val="Normal"/>
    <w:next w:val="Normal"/>
    <w:link w:val="Heading1Char"/>
    <w:uiPriority w:val="9"/>
    <w:qFormat/>
    <w:rsid w:val="00B72807"/>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uiPriority w:val="9"/>
    <w:unhideWhenUsed/>
    <w:qFormat/>
    <w:rsid w:val="6DB58C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DB58CA1"/>
    <w:rPr>
      <w:color w:val="467886"/>
      <w:u w:val="single"/>
    </w:rPr>
  </w:style>
  <w:style w:type="character" w:customStyle="1" w:styleId="Heading1Char">
    <w:name w:val="Heading 1 Char"/>
    <w:basedOn w:val="DefaultParagraphFont"/>
    <w:link w:val="Heading1"/>
    <w:uiPriority w:val="9"/>
    <w:qFormat/>
    <w:rsid w:val="00B72807"/>
    <w:rPr>
      <w:rFonts w:asciiTheme="majorHAnsi" w:eastAsiaTheme="majorEastAsia" w:hAnsiTheme="majorHAnsi" w:cstheme="majorBidi"/>
      <w:color w:val="0F4761" w:themeColor="accent1" w:themeShade="BF"/>
      <w:sz w:val="32"/>
      <w:szCs w:val="32"/>
      <w:lang w:val="en-GB"/>
    </w:rPr>
  </w:style>
  <w:style w:type="character" w:customStyle="1" w:styleId="FooterChar">
    <w:name w:val="Footer Char"/>
    <w:basedOn w:val="DefaultParagraphFont"/>
    <w:link w:val="Footer"/>
    <w:uiPriority w:val="99"/>
    <w:qFormat/>
    <w:rsid w:val="008A41EC"/>
    <w:rPr>
      <w:lang w:val="en-GB"/>
    </w:rPr>
  </w:style>
  <w:style w:type="character" w:customStyle="1" w:styleId="IndexLink">
    <w:name w:val="Index Link"/>
    <w:qFormat/>
  </w:style>
  <w:style w:type="character" w:styleId="Emphasis">
    <w:name w:val="Emphasis"/>
    <w:qFormat/>
    <w:rPr>
      <w:i/>
      <w:iCs/>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uiPriority w:val="99"/>
    <w:unhideWhenUsed/>
    <w:rsid w:val="6DB58CA1"/>
    <w:pPr>
      <w:tabs>
        <w:tab w:val="center" w:pos="4680"/>
        <w:tab w:val="right" w:pos="9360"/>
      </w:tabs>
      <w:spacing w:after="0" w:line="240" w:lineRule="auto"/>
    </w:pPr>
  </w:style>
  <w:style w:type="paragraph" w:styleId="Footer">
    <w:name w:val="footer"/>
    <w:basedOn w:val="Normal"/>
    <w:link w:val="FooterChar"/>
    <w:uiPriority w:val="99"/>
    <w:unhideWhenUsed/>
    <w:rsid w:val="6DB58CA1"/>
    <w:pPr>
      <w:tabs>
        <w:tab w:val="center" w:pos="4680"/>
        <w:tab w:val="right" w:pos="9360"/>
      </w:tabs>
      <w:spacing w:after="0" w:line="240" w:lineRule="auto"/>
    </w:pPr>
  </w:style>
  <w:style w:type="paragraph" w:styleId="ListParagraph">
    <w:name w:val="List Paragraph"/>
    <w:basedOn w:val="Normal"/>
    <w:uiPriority w:val="34"/>
    <w:qFormat/>
    <w:rsid w:val="6DB58CA1"/>
    <w:pPr>
      <w:ind w:left="720"/>
      <w:contextualSpacing/>
    </w:pPr>
  </w:style>
  <w:style w:type="paragraph" w:styleId="IndexHeading">
    <w:name w:val="index heading"/>
    <w:basedOn w:val="Heading"/>
  </w:style>
  <w:style w:type="paragraph" w:styleId="TOCHeading">
    <w:name w:val="TOC Heading"/>
    <w:basedOn w:val="Heading1"/>
    <w:next w:val="Normal"/>
    <w:uiPriority w:val="39"/>
    <w:unhideWhenUsed/>
    <w:qFormat/>
    <w:rsid w:val="00B72807"/>
    <w:pPr>
      <w:spacing w:line="259" w:lineRule="auto"/>
      <w:outlineLvl w:val="9"/>
    </w:pPr>
    <w:rPr>
      <w:lang w:val="en-US" w:eastAsia="en-US"/>
    </w:rPr>
  </w:style>
  <w:style w:type="paragraph" w:styleId="TOC2">
    <w:name w:val="toc 2"/>
    <w:basedOn w:val="Normal"/>
    <w:next w:val="Normal"/>
    <w:autoRedefine/>
    <w:uiPriority w:val="39"/>
    <w:unhideWhenUsed/>
    <w:rsid w:val="00B72807"/>
    <w:pPr>
      <w:spacing w:after="100"/>
      <w:ind w:left="240"/>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enacted" TargetMode="External"/><Relationship Id="rId13" Type="http://schemas.openxmlformats.org/officeDocument/2006/relationships/hyperlink" Target="https://www.england.nhs.uk/integratedcare/" TargetMode="External"/><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cqc.org.uk/guidance-providers/regulations-enforcement/regulation-9-person-centred-care" TargetMode="External"/><Relationship Id="rId12" Type="http://schemas.openxmlformats.org/officeDocument/2006/relationships/hyperlink" Target="https://www.nice.org.uk/guidance/ng97" TargetMode="External"/><Relationship Id="rId17" Type="http://schemas.openxmlformats.org/officeDocument/2006/relationships/hyperlink" Target="https://bmjopen.bmj.com/content/7/7/e01649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inkteaching.co.uk/star-metho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05/9/conten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killsforcare.org.uk/" TargetMode="External"/><Relationship Id="rId23" Type="http://schemas.openxmlformats.org/officeDocument/2006/relationships/footer" Target="footer3.xml"/><Relationship Id="rId10" Type="http://schemas.openxmlformats.org/officeDocument/2006/relationships/hyperlink" Target="https://www.health.org.uk/publications/person-centred-care-made-simple"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hee.nhs.uk/our-work/person-centred-care" TargetMode="External"/><Relationship Id="rId14" Type="http://schemas.openxmlformats.org/officeDocument/2006/relationships/hyperlink" Target="https://www.nmc.org.uk/standards/code/"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295A3-449D-4924-8C14-005FFDBC0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2485</Words>
  <Characters>14165</Characters>
  <Application>Microsoft Office Word</Application>
  <DocSecurity>0</DocSecurity>
  <Lines>118</Lines>
  <Paragraphs>33</Paragraphs>
  <ScaleCrop>false</ScaleCrop>
  <Company>University of Wales Trinity Saint David</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Timothy (2407528)</dc:creator>
  <dc:description/>
  <cp:lastModifiedBy>Karen Houser</cp:lastModifiedBy>
  <cp:revision>2</cp:revision>
  <dcterms:created xsi:type="dcterms:W3CDTF">2025-10-01T08:45:00Z</dcterms:created>
  <dcterms:modified xsi:type="dcterms:W3CDTF">2025-10-01T08:45:00Z</dcterms:modified>
  <dc:language>en-GB</dc:language>
</cp:coreProperties>
</file>