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13916062"/>
        <w:docPartObj>
          <w:docPartGallery w:val="Cover Pages"/>
          <w:docPartUnique/>
        </w:docPartObj>
      </w:sdtPr>
      <w:sdtEndPr>
        <w:rPr>
          <w:rFonts w:ascii="Times New Roman" w:hAnsi="Times New Roman" w:cs="Times New Roman"/>
          <w:b/>
          <w:bCs/>
          <w:u w:val="thick"/>
        </w:rPr>
      </w:sdtEndPr>
      <w:sdtContent>
        <w:p w14:paraId="7FBD6ED9" w14:textId="65D78623" w:rsidR="00A43B05" w:rsidRDefault="00A43B05"/>
        <w:p w14:paraId="65722E9D" w14:textId="26B0C066" w:rsidR="00A43B05" w:rsidRPr="00A43B05" w:rsidRDefault="00A43B05" w:rsidP="00A43B05">
          <w:pPr>
            <w:rPr>
              <w:rFonts w:ascii="Times New Roman" w:hAnsi="Times New Roman" w:cs="Times New Roman"/>
              <w:b/>
              <w:bCs/>
              <w:u w:val="thick"/>
            </w:rPr>
          </w:pPr>
          <w:r w:rsidRPr="00A43B05">
            <w:rPr>
              <w:rFonts w:ascii="Times New Roman" w:hAnsi="Times New Roman" w:cs="Times New Roman"/>
              <w:b/>
              <w:bCs/>
              <w:u w:val="thick"/>
            </w:rPr>
            <w:t>Student name:</w:t>
          </w:r>
          <w:r>
            <w:rPr>
              <w:rFonts w:ascii="Times New Roman" w:hAnsi="Times New Roman" w:cs="Times New Roman"/>
              <w:b/>
              <w:bCs/>
              <w:u w:val="thick"/>
            </w:rPr>
            <w:t xml:space="preserve"> Marius Roman</w:t>
          </w:r>
          <w:r w:rsidRPr="00A43B05">
            <w:rPr>
              <w:rFonts w:ascii="Times New Roman" w:hAnsi="Times New Roman" w:cs="Times New Roman"/>
              <w:b/>
              <w:bCs/>
              <w:u w:val="thick"/>
            </w:rPr>
            <w:t xml:space="preserve">  </w:t>
          </w:r>
        </w:p>
        <w:p w14:paraId="68733CF0" w14:textId="24B8D2E6" w:rsidR="00A43B05" w:rsidRPr="00A43B05" w:rsidRDefault="00A43B05" w:rsidP="00A43B05">
          <w:pPr>
            <w:rPr>
              <w:rFonts w:ascii="Times New Roman" w:hAnsi="Times New Roman" w:cs="Times New Roman"/>
              <w:b/>
              <w:bCs/>
              <w:u w:val="thick"/>
            </w:rPr>
          </w:pPr>
          <w:r w:rsidRPr="00A43B05">
            <w:rPr>
              <w:rFonts w:ascii="Times New Roman" w:hAnsi="Times New Roman" w:cs="Times New Roman"/>
              <w:b/>
              <w:bCs/>
              <w:u w:val="thick"/>
            </w:rPr>
            <w:t>Programme:</w:t>
          </w:r>
          <w:r w:rsidRPr="00A43B05">
            <w:rPr>
              <w:rFonts w:ascii="Times New Roman" w:hAnsi="Times New Roman" w:cs="Times New Roman"/>
              <w:b/>
              <w:bCs/>
              <w:u w:val="thick"/>
            </w:rPr>
            <w:tab/>
            <w:t>CertHE Sustainable Enterprise (Rural)</w:t>
          </w:r>
        </w:p>
        <w:p w14:paraId="27F59F5A" w14:textId="7662336B" w:rsidR="00A43B05" w:rsidRPr="00A43B05" w:rsidRDefault="00A43B05" w:rsidP="00A43B05">
          <w:pPr>
            <w:rPr>
              <w:rFonts w:ascii="Times New Roman" w:hAnsi="Times New Roman" w:cs="Times New Roman"/>
              <w:b/>
              <w:bCs/>
              <w:u w:val="thick"/>
            </w:rPr>
          </w:pPr>
          <w:r w:rsidRPr="00A43B05">
            <w:rPr>
              <w:rFonts w:ascii="Times New Roman" w:hAnsi="Times New Roman" w:cs="Times New Roman"/>
              <w:b/>
              <w:bCs/>
              <w:u w:val="thick"/>
            </w:rPr>
            <w:t>Module:</w:t>
          </w:r>
          <w:r>
            <w:rPr>
              <w:rFonts w:ascii="Times New Roman" w:hAnsi="Times New Roman" w:cs="Times New Roman"/>
              <w:b/>
              <w:bCs/>
              <w:u w:val="thick"/>
            </w:rPr>
            <w:t xml:space="preserve">  </w:t>
          </w:r>
          <w:r w:rsidRPr="00A43B05">
            <w:rPr>
              <w:rFonts w:ascii="Times New Roman" w:hAnsi="Times New Roman" w:cs="Times New Roman"/>
              <w:b/>
              <w:bCs/>
              <w:u w:val="thick"/>
            </w:rPr>
            <w:t>Digital Marketing</w:t>
          </w:r>
        </w:p>
        <w:p w14:paraId="14EF0335" w14:textId="77777777" w:rsidR="00A43B05" w:rsidRPr="00A43B05" w:rsidRDefault="00A43B05" w:rsidP="00A43B05">
          <w:pPr>
            <w:rPr>
              <w:rFonts w:ascii="Times New Roman" w:hAnsi="Times New Roman" w:cs="Times New Roman"/>
              <w:b/>
              <w:bCs/>
              <w:u w:val="thick"/>
            </w:rPr>
          </w:pPr>
          <w:r w:rsidRPr="00A43B05">
            <w:rPr>
              <w:rFonts w:ascii="Times New Roman" w:hAnsi="Times New Roman" w:cs="Times New Roman"/>
              <w:b/>
              <w:bCs/>
              <w:u w:val="thick"/>
            </w:rPr>
            <w:t>Module code:</w:t>
          </w:r>
          <w:r w:rsidRPr="00A43B05">
            <w:rPr>
              <w:rFonts w:ascii="Times New Roman" w:hAnsi="Times New Roman" w:cs="Times New Roman"/>
              <w:b/>
              <w:bCs/>
              <w:u w:val="thick"/>
            </w:rPr>
            <w:tab/>
            <w:t>BMSE4008D</w:t>
          </w:r>
        </w:p>
        <w:p w14:paraId="2357B0CD" w14:textId="7560B142" w:rsidR="00A43B05" w:rsidRDefault="00A43B05" w:rsidP="00A43B05">
          <w:pPr>
            <w:rPr>
              <w:rFonts w:ascii="Times New Roman" w:hAnsi="Times New Roman" w:cs="Times New Roman"/>
              <w:b/>
              <w:bCs/>
              <w:u w:val="thick"/>
            </w:rPr>
          </w:pPr>
          <w:r>
            <w:rPr>
              <w:noProof/>
            </w:rPr>
            <mc:AlternateContent>
              <mc:Choice Requires="wps">
                <w:drawing>
                  <wp:anchor distT="0" distB="0" distL="182880" distR="182880" simplePos="0" relativeHeight="251660288" behindDoc="0" locked="0" layoutInCell="1" allowOverlap="1" wp14:anchorId="72473109" wp14:editId="6266BA6C">
                    <wp:simplePos x="0" y="0"/>
                    <wp:positionH relativeFrom="margin">
                      <wp:posOffset>1943100</wp:posOffset>
                    </wp:positionH>
                    <wp:positionV relativeFrom="page">
                      <wp:posOffset>5556250</wp:posOffset>
                    </wp:positionV>
                    <wp:extent cx="2266950" cy="889000"/>
                    <wp:effectExtent l="0" t="0" r="0" b="6350"/>
                    <wp:wrapSquare wrapText="bothSides"/>
                    <wp:docPr id="131" name="Text Box 131"/>
                    <wp:cNvGraphicFramePr/>
                    <a:graphic xmlns:a="http://schemas.openxmlformats.org/drawingml/2006/main">
                      <a:graphicData uri="http://schemas.microsoft.com/office/word/2010/wordprocessingShape">
                        <wps:wsp>
                          <wps:cNvSpPr txBox="1"/>
                          <wps:spPr>
                            <a:xfrm>
                              <a:off x="0" y="0"/>
                              <a:ext cx="2266950" cy="889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03AF88" w14:textId="3D95EFE8" w:rsidR="00A43B05" w:rsidRPr="00A43B05" w:rsidRDefault="00A43B05">
                                <w:pPr>
                                  <w:pStyle w:val="NoSpacing"/>
                                  <w:spacing w:before="40" w:after="560" w:line="216" w:lineRule="auto"/>
                                  <w:rPr>
                                    <w:rFonts w:ascii="Times New Roman" w:hAnsi="Times New Roman" w:cs="Times New Roman"/>
                                    <w:b/>
                                    <w:bCs/>
                                    <w:color w:val="156082" w:themeColor="accent1"/>
                                    <w:sz w:val="72"/>
                                    <w:szCs w:val="72"/>
                                    <w:u w:val="thick"/>
                                  </w:rPr>
                                </w:pPr>
                                <w:sdt>
                                  <w:sdtPr>
                                    <w:rPr>
                                      <w:rFonts w:ascii="Times New Roman" w:hAnsi="Times New Roman" w:cs="Times New Roman"/>
                                      <w:b/>
                                      <w:bCs/>
                                      <w:color w:val="156082" w:themeColor="accent1"/>
                                      <w:sz w:val="72"/>
                                      <w:szCs w:val="72"/>
                                      <w:u w:val="thick"/>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A43B05">
                                      <w:rPr>
                                        <w:rFonts w:ascii="Times New Roman" w:hAnsi="Times New Roman" w:cs="Times New Roman"/>
                                        <w:b/>
                                        <w:bCs/>
                                        <w:color w:val="156082" w:themeColor="accent1"/>
                                        <w:sz w:val="72"/>
                                        <w:szCs w:val="72"/>
                                        <w:u w:val="thick"/>
                                      </w:rPr>
                                      <w:t>REPORT</w:t>
                                    </w:r>
                                  </w:sdtContent>
                                </w:sdt>
                              </w:p>
                              <w:p w14:paraId="05440A14" w14:textId="0F8CCC44" w:rsidR="00A43B05" w:rsidRDefault="00A43B05">
                                <w:pPr>
                                  <w:pStyle w:val="NoSpacing"/>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72473109" id="_x0000_t202" coordsize="21600,21600" o:spt="202" path="m,l,21600r21600,l21600,xe">
                    <v:stroke joinstyle="miter"/>
                    <v:path gradientshapeok="t" o:connecttype="rect"/>
                  </v:shapetype>
                  <v:shape id="Text Box 131" o:spid="_x0000_s1026" type="#_x0000_t202" style="position:absolute;margin-left:153pt;margin-top:437.5pt;width:178.5pt;height:70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" filled="f" stroked="f" strokeweight=".5pt">
                    <v:textbox inset="0,0,0,0">
                      <w:txbxContent>
                        <w:p w14:paraId="3B03AF88" w14:textId="3D95EFE8" w:rsidR="00A43B05" w:rsidRPr="00A43B05" w:rsidRDefault="00A43B05">
                          <w:pPr>
                            <w:pStyle w:val="NoSpacing"/>
                            <w:spacing w:before="40" w:after="560" w:line="216" w:lineRule="auto"/>
                            <w:rPr>
                              <w:rFonts w:ascii="Times New Roman" w:hAnsi="Times New Roman" w:cs="Times New Roman"/>
                              <w:b/>
                              <w:bCs/>
                              <w:color w:val="156082" w:themeColor="accent1"/>
                              <w:sz w:val="72"/>
                              <w:szCs w:val="72"/>
                              <w:u w:val="thick"/>
                            </w:rPr>
                          </w:pPr>
                          <w:sdt>
                            <w:sdtPr>
                              <w:rPr>
                                <w:rFonts w:ascii="Times New Roman" w:hAnsi="Times New Roman" w:cs="Times New Roman"/>
                                <w:b/>
                                <w:bCs/>
                                <w:color w:val="156082" w:themeColor="accent1"/>
                                <w:sz w:val="72"/>
                                <w:szCs w:val="72"/>
                                <w:u w:val="thick"/>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A43B05">
                                <w:rPr>
                                  <w:rFonts w:ascii="Times New Roman" w:hAnsi="Times New Roman" w:cs="Times New Roman"/>
                                  <w:b/>
                                  <w:bCs/>
                                  <w:color w:val="156082" w:themeColor="accent1"/>
                                  <w:sz w:val="72"/>
                                  <w:szCs w:val="72"/>
                                  <w:u w:val="thick"/>
                                </w:rPr>
                                <w:t>REPORT</w:t>
                              </w:r>
                            </w:sdtContent>
                          </w:sdt>
                        </w:p>
                        <w:p w14:paraId="05440A14" w14:textId="0F8CCC44" w:rsidR="00A43B05" w:rsidRDefault="00A43B05">
                          <w:pPr>
                            <w:pStyle w:val="NoSpacing"/>
                            <w:spacing w:before="80" w:after="40"/>
                            <w:rPr>
                              <w:caps/>
                              <w:color w:val="A02B93" w:themeColor="accent5"/>
                              <w:sz w:val="24"/>
                              <w:szCs w:val="24"/>
                            </w:rPr>
                          </w:pPr>
                        </w:p>
                      </w:txbxContent>
                    </v:textbox>
                    <w10:wrap type="square" anchorx="margin" anchory="page"/>
                  </v:shape>
                </w:pict>
              </mc:Fallback>
            </mc:AlternateContent>
          </w:r>
          <w:r w:rsidRPr="00A43B05">
            <w:rPr>
              <w:rFonts w:ascii="Times New Roman" w:hAnsi="Times New Roman" w:cs="Times New Roman"/>
              <w:b/>
              <w:bCs/>
              <w:u w:val="thick"/>
            </w:rPr>
            <w:t>Lecturer:</w:t>
          </w:r>
          <w:r>
            <w:rPr>
              <w:rFonts w:ascii="Times New Roman" w:hAnsi="Times New Roman" w:cs="Times New Roman"/>
              <w:b/>
              <w:bCs/>
              <w:u w:val="thick"/>
            </w:rPr>
            <w:t xml:space="preserve"> </w:t>
          </w:r>
          <w:r w:rsidRPr="00A43B05">
            <w:rPr>
              <w:rFonts w:ascii="Times New Roman" w:hAnsi="Times New Roman" w:cs="Times New Roman"/>
              <w:b/>
              <w:bCs/>
              <w:u w:val="thick"/>
            </w:rPr>
            <w:t>Jessica Shore</w:t>
          </w:r>
          <w:r>
            <w:rPr>
              <w:rFonts w:ascii="Times New Roman" w:hAnsi="Times New Roman" w:cs="Times New Roman"/>
              <w:b/>
              <w:bCs/>
              <w:u w:val="thick"/>
            </w:rPr>
            <w:br w:type="page"/>
          </w:r>
        </w:p>
      </w:sdtContent>
    </w:sdt>
    <w:p w14:paraId="7974BB19" w14:textId="7F1D5520" w:rsidR="00A43B05" w:rsidRDefault="00A43B05" w:rsidP="00D53FB3">
      <w:pPr>
        <w:spacing w:line="480" w:lineRule="auto"/>
        <w:rPr>
          <w:rFonts w:ascii="Times New Roman" w:hAnsi="Times New Roman" w:cs="Times New Roman"/>
          <w:b/>
          <w:bCs/>
          <w:u w:val="thick"/>
        </w:rPr>
      </w:pPr>
      <w:r>
        <w:rPr>
          <w:rFonts w:ascii="Times New Roman" w:hAnsi="Times New Roman" w:cs="Times New Roman"/>
          <w:b/>
          <w:bCs/>
          <w:u w:val="thick"/>
        </w:rPr>
        <w:lastRenderedPageBreak/>
        <w:t xml:space="preserve">Table of Contents </w:t>
      </w:r>
    </w:p>
    <w:p w14:paraId="17B0B2E7" w14:textId="010889BD" w:rsidR="00A43B05" w:rsidRDefault="00A43B05" w:rsidP="00D53FB3">
      <w:pPr>
        <w:spacing w:line="480" w:lineRule="auto"/>
        <w:rPr>
          <w:rFonts w:ascii="Times New Roman" w:hAnsi="Times New Roman" w:cs="Times New Roman"/>
        </w:rPr>
      </w:pPr>
      <w:r w:rsidRPr="00A43B05">
        <w:rPr>
          <w:rFonts w:ascii="Times New Roman" w:hAnsi="Times New Roman" w:cs="Times New Roman"/>
        </w:rPr>
        <w:t>Executive Summary……………………………………………………………………...2</w:t>
      </w:r>
    </w:p>
    <w:p w14:paraId="64092BA3" w14:textId="7F3D173E" w:rsidR="00A43B05" w:rsidRDefault="00A43B05" w:rsidP="00D53FB3">
      <w:pPr>
        <w:spacing w:line="480" w:lineRule="auto"/>
        <w:rPr>
          <w:rFonts w:ascii="Times New Roman" w:hAnsi="Times New Roman" w:cs="Times New Roman"/>
        </w:rPr>
      </w:pPr>
      <w:r>
        <w:rPr>
          <w:rFonts w:ascii="Times New Roman" w:hAnsi="Times New Roman" w:cs="Times New Roman"/>
        </w:rPr>
        <w:t>Introduction and Rationale……………………………………………………………….3</w:t>
      </w:r>
    </w:p>
    <w:p w14:paraId="41E9CA3E" w14:textId="5BA9208F" w:rsidR="00A43B05" w:rsidRDefault="00A43B05" w:rsidP="00D53FB3">
      <w:pPr>
        <w:spacing w:line="480" w:lineRule="auto"/>
        <w:rPr>
          <w:rFonts w:ascii="Times New Roman" w:hAnsi="Times New Roman" w:cs="Times New Roman"/>
        </w:rPr>
      </w:pPr>
      <w:r w:rsidRPr="00A43B05">
        <w:rPr>
          <w:rFonts w:ascii="Times New Roman" w:hAnsi="Times New Roman" w:cs="Times New Roman"/>
        </w:rPr>
        <w:t>Segmentation, Targeting and Positioning</w:t>
      </w:r>
      <w:r>
        <w:rPr>
          <w:rFonts w:ascii="Times New Roman" w:hAnsi="Times New Roman" w:cs="Times New Roman"/>
        </w:rPr>
        <w:t>………………………………………………...5</w:t>
      </w:r>
    </w:p>
    <w:p w14:paraId="4295B66A" w14:textId="2AEC5B3C" w:rsidR="00A43B05" w:rsidRDefault="00A43B05" w:rsidP="00D53FB3">
      <w:pPr>
        <w:spacing w:line="480" w:lineRule="auto"/>
        <w:rPr>
          <w:rFonts w:ascii="Times New Roman" w:hAnsi="Times New Roman" w:cs="Times New Roman"/>
        </w:rPr>
      </w:pPr>
      <w:r>
        <w:rPr>
          <w:rFonts w:ascii="Times New Roman" w:hAnsi="Times New Roman" w:cs="Times New Roman"/>
        </w:rPr>
        <w:t>Digital Channels………………………………………………………………………….7</w:t>
      </w:r>
    </w:p>
    <w:p w14:paraId="46289F40" w14:textId="5694093D" w:rsidR="00A43B05" w:rsidRDefault="00A43B05" w:rsidP="00D53FB3">
      <w:pPr>
        <w:spacing w:line="480" w:lineRule="auto"/>
        <w:rPr>
          <w:rFonts w:ascii="Times New Roman" w:hAnsi="Times New Roman" w:cs="Times New Roman"/>
        </w:rPr>
      </w:pPr>
      <w:r w:rsidRPr="00A43B05">
        <w:rPr>
          <w:rFonts w:ascii="Times New Roman" w:hAnsi="Times New Roman" w:cs="Times New Roman"/>
        </w:rPr>
        <w:t>Measurement, Trust and Evaluation</w:t>
      </w:r>
      <w:r>
        <w:rPr>
          <w:rFonts w:ascii="Times New Roman" w:hAnsi="Times New Roman" w:cs="Times New Roman"/>
        </w:rPr>
        <w:t>……………………………………………………...9</w:t>
      </w:r>
    </w:p>
    <w:p w14:paraId="3108AF66" w14:textId="0D098B9F" w:rsidR="00A43B05" w:rsidRDefault="00A43B05" w:rsidP="00D53FB3">
      <w:pPr>
        <w:spacing w:line="480" w:lineRule="auto"/>
        <w:rPr>
          <w:rFonts w:ascii="Times New Roman" w:hAnsi="Times New Roman" w:cs="Times New Roman"/>
        </w:rPr>
      </w:pPr>
      <w:r>
        <w:rPr>
          <w:rFonts w:ascii="Times New Roman" w:hAnsi="Times New Roman" w:cs="Times New Roman"/>
        </w:rPr>
        <w:t>References……………………………………………………………………………….11</w:t>
      </w:r>
    </w:p>
    <w:p w14:paraId="6866C263" w14:textId="77777777" w:rsidR="00A43B05" w:rsidRPr="00A43B05" w:rsidRDefault="00A43B05" w:rsidP="00D53FB3">
      <w:pPr>
        <w:spacing w:line="480" w:lineRule="auto"/>
        <w:rPr>
          <w:rFonts w:ascii="Times New Roman" w:hAnsi="Times New Roman" w:cs="Times New Roman"/>
        </w:rPr>
      </w:pPr>
    </w:p>
    <w:p w14:paraId="784EE587" w14:textId="77777777" w:rsidR="00A43B05" w:rsidRDefault="00A43B05">
      <w:pPr>
        <w:rPr>
          <w:rFonts w:ascii="Times New Roman" w:hAnsi="Times New Roman" w:cs="Times New Roman"/>
          <w:b/>
          <w:bCs/>
          <w:u w:val="thick"/>
        </w:rPr>
      </w:pPr>
      <w:r>
        <w:rPr>
          <w:rFonts w:ascii="Times New Roman" w:hAnsi="Times New Roman" w:cs="Times New Roman"/>
          <w:b/>
          <w:bCs/>
          <w:u w:val="thick"/>
        </w:rPr>
        <w:br w:type="page"/>
      </w:r>
    </w:p>
    <w:p w14:paraId="1DF7FA77" w14:textId="0E3A9410" w:rsidR="00D53FB3" w:rsidRPr="00D53FB3" w:rsidRDefault="00D53FB3" w:rsidP="00D53FB3">
      <w:pPr>
        <w:spacing w:line="480" w:lineRule="auto"/>
        <w:rPr>
          <w:rFonts w:ascii="Times New Roman" w:hAnsi="Times New Roman" w:cs="Times New Roman"/>
          <w:b/>
          <w:bCs/>
          <w:u w:val="thick"/>
        </w:rPr>
      </w:pPr>
      <w:r w:rsidRPr="00D53FB3">
        <w:rPr>
          <w:rFonts w:ascii="Times New Roman" w:hAnsi="Times New Roman" w:cs="Times New Roman"/>
          <w:b/>
          <w:bCs/>
          <w:u w:val="thick"/>
        </w:rPr>
        <w:lastRenderedPageBreak/>
        <w:t>Executive Summary</w:t>
      </w:r>
    </w:p>
    <w:p w14:paraId="5BE35C11" w14:textId="7D8D1D43" w:rsidR="00D53FB3" w:rsidRPr="00D53FB3" w:rsidRDefault="00D53FB3" w:rsidP="00D53FB3">
      <w:pPr>
        <w:spacing w:line="480" w:lineRule="auto"/>
        <w:rPr>
          <w:rFonts w:ascii="Times New Roman" w:hAnsi="Times New Roman" w:cs="Times New Roman"/>
        </w:rPr>
      </w:pPr>
      <w:r w:rsidRPr="00D53FB3">
        <w:rPr>
          <w:rFonts w:ascii="Times New Roman" w:hAnsi="Times New Roman" w:cs="Times New Roman"/>
        </w:rPr>
        <w:t>The objective of this report is to present a digital marketing plan for Tesla Home Energy Solutions, while developing a new digital marketing campaign directed towards eco-conscious consumers in the UK who are willing to invest in residential sustainability technologies, which include Tesla's Powerwall and integrated home-energy ecosystem as an all-inclusive solution for energy independence, environmental responsibility and long-term cost efficiency. This plan utili</w:t>
      </w:r>
      <w:r>
        <w:rPr>
          <w:rFonts w:ascii="Times New Roman" w:hAnsi="Times New Roman" w:cs="Times New Roman"/>
        </w:rPr>
        <w:t>s</w:t>
      </w:r>
      <w:r w:rsidRPr="00D53FB3">
        <w:rPr>
          <w:rFonts w:ascii="Times New Roman" w:hAnsi="Times New Roman" w:cs="Times New Roman"/>
        </w:rPr>
        <w:t>es the Segmentation, Targeting, Positioning (STP) framework; the Market Development Strategy for Digital Marketing; Customer Journey Mapping; and Integrated Digital Marketing Communication. The measurement of success for this campaign will include engagement; lead conversions; installations; and retention as key metrics to evaluate ongoing performance and capture additional customers using a data-driven, fact-based approach toward expansion through digital marketing channels (Kotler et al.,2013; Garcia and Lee,2022). By linking insights from consumer behaviour, journey-based engagement, and sustainability messaging, the proposed digital marketing strategy will enhance the market presence of Tesla within the UK residential clean energy market and drive greater adoption of the company’s home energy solutions.</w:t>
      </w:r>
    </w:p>
    <w:p w14:paraId="519C5F37" w14:textId="77777777" w:rsidR="00D53FB3" w:rsidRDefault="00D53FB3" w:rsidP="00D53FB3">
      <w:pPr>
        <w:spacing w:line="480" w:lineRule="auto"/>
        <w:rPr>
          <w:rFonts w:ascii="Times New Roman" w:hAnsi="Times New Roman" w:cs="Times New Roman"/>
        </w:rPr>
      </w:pPr>
    </w:p>
    <w:p w14:paraId="7BF24765" w14:textId="77777777" w:rsidR="00D53FB3" w:rsidRDefault="00D53FB3" w:rsidP="00D53FB3">
      <w:pPr>
        <w:spacing w:line="480" w:lineRule="auto"/>
        <w:rPr>
          <w:rFonts w:ascii="Times New Roman" w:hAnsi="Times New Roman" w:cs="Times New Roman"/>
        </w:rPr>
      </w:pPr>
    </w:p>
    <w:p w14:paraId="499401E3" w14:textId="77777777" w:rsidR="00D53FB3" w:rsidRDefault="00D53FB3" w:rsidP="00D53FB3">
      <w:pPr>
        <w:spacing w:line="480" w:lineRule="auto"/>
        <w:rPr>
          <w:rFonts w:ascii="Times New Roman" w:hAnsi="Times New Roman" w:cs="Times New Roman"/>
        </w:rPr>
      </w:pPr>
    </w:p>
    <w:p w14:paraId="39A8C9A3" w14:textId="77777777" w:rsidR="00D53FB3" w:rsidRDefault="00D53FB3" w:rsidP="00D53FB3">
      <w:pPr>
        <w:spacing w:line="480" w:lineRule="auto"/>
        <w:rPr>
          <w:rFonts w:ascii="Times New Roman" w:hAnsi="Times New Roman" w:cs="Times New Roman"/>
        </w:rPr>
      </w:pPr>
    </w:p>
    <w:p w14:paraId="58482FAE" w14:textId="77777777" w:rsidR="00D53FB3" w:rsidRDefault="00D53FB3" w:rsidP="00D53FB3">
      <w:pPr>
        <w:spacing w:line="480" w:lineRule="auto"/>
        <w:rPr>
          <w:rFonts w:ascii="Times New Roman" w:hAnsi="Times New Roman" w:cs="Times New Roman"/>
        </w:rPr>
      </w:pPr>
    </w:p>
    <w:p w14:paraId="6E0E09E1" w14:textId="77777777" w:rsidR="00D53FB3" w:rsidRDefault="00D53FB3" w:rsidP="00D53FB3">
      <w:pPr>
        <w:spacing w:line="480" w:lineRule="auto"/>
        <w:rPr>
          <w:rFonts w:ascii="Times New Roman" w:hAnsi="Times New Roman" w:cs="Times New Roman"/>
        </w:rPr>
      </w:pPr>
    </w:p>
    <w:p w14:paraId="66CC9D92" w14:textId="77777777" w:rsidR="00D53FB3" w:rsidRDefault="00D53FB3" w:rsidP="00D53FB3">
      <w:pPr>
        <w:spacing w:line="480" w:lineRule="auto"/>
        <w:rPr>
          <w:rFonts w:ascii="Times New Roman" w:hAnsi="Times New Roman" w:cs="Times New Roman"/>
        </w:rPr>
      </w:pPr>
    </w:p>
    <w:p w14:paraId="5EE7E1B9" w14:textId="1FA55973" w:rsidR="00D53FB3" w:rsidRPr="00D53FB3" w:rsidRDefault="00D53FB3" w:rsidP="00D53FB3">
      <w:pPr>
        <w:pStyle w:val="ListParagraph"/>
        <w:numPr>
          <w:ilvl w:val="0"/>
          <w:numId w:val="1"/>
        </w:numPr>
        <w:spacing w:line="480" w:lineRule="auto"/>
        <w:rPr>
          <w:rFonts w:ascii="Times New Roman" w:hAnsi="Times New Roman" w:cs="Times New Roman"/>
          <w:b/>
          <w:bCs/>
          <w:u w:val="thick"/>
        </w:rPr>
      </w:pPr>
      <w:r w:rsidRPr="00D53FB3">
        <w:rPr>
          <w:rFonts w:ascii="Times New Roman" w:hAnsi="Times New Roman" w:cs="Times New Roman"/>
          <w:b/>
          <w:bCs/>
          <w:u w:val="thick"/>
        </w:rPr>
        <w:lastRenderedPageBreak/>
        <w:t>Introduction and Rationale</w:t>
      </w:r>
    </w:p>
    <w:p w14:paraId="5E527DA5" w14:textId="77777777" w:rsidR="00D53FB3" w:rsidRDefault="00D53FB3" w:rsidP="00D53FB3">
      <w:pPr>
        <w:spacing w:line="480" w:lineRule="auto"/>
        <w:rPr>
          <w:rFonts w:ascii="Times New Roman" w:hAnsi="Times New Roman" w:cs="Times New Roman"/>
        </w:rPr>
      </w:pPr>
      <w:r w:rsidRPr="00D53FB3">
        <w:rPr>
          <w:rFonts w:ascii="Times New Roman" w:hAnsi="Times New Roman" w:cs="Times New Roman"/>
        </w:rPr>
        <w:t xml:space="preserve">While Tesla has an established and well-known brand in the electric vehicle and clean energy spaces, their Home Energy Solutions product line has been under-represented in the UK market for residential customers. As a company, </w:t>
      </w:r>
      <w:r w:rsidRPr="00D53FB3">
        <w:rPr>
          <w:rFonts w:ascii="Times New Roman" w:hAnsi="Times New Roman" w:cs="Times New Roman"/>
        </w:rPr>
        <w:t>most</w:t>
      </w:r>
      <w:r w:rsidRPr="00D53FB3">
        <w:rPr>
          <w:rFonts w:ascii="Times New Roman" w:hAnsi="Times New Roman" w:cs="Times New Roman"/>
        </w:rPr>
        <w:t xml:space="preserve"> Tesla's brand associations are with electric vehicles and much less with domestic energy technologies within the UK's residential sector. With increasing household fuel (energy) costs and environmental concerns, as well as a shift in consumer responsibility toward carbon reduction, all these factors are changing how consumers make their energy purchase decisions in their homes. As such, this presents a unique strategic channel for Tesla to market their Home Energy Solutions products to those consumers who are looking to make more environmentally friendly choices in purchasing their energy and create more self-sufficient energy systems for their homes and to help achieve long-term financial </w:t>
      </w:r>
      <w:r w:rsidRPr="00D53FB3">
        <w:rPr>
          <w:rFonts w:ascii="Times New Roman" w:hAnsi="Times New Roman" w:cs="Times New Roman"/>
        </w:rPr>
        <w:t>security. The</w:t>
      </w:r>
      <w:r w:rsidRPr="00D53FB3">
        <w:rPr>
          <w:rFonts w:ascii="Times New Roman" w:hAnsi="Times New Roman" w:cs="Times New Roman"/>
        </w:rPr>
        <w:t xml:space="preserve"> definition of a strategic direction is provided by description of Ansoff's Market Development and Product Development strategies. Description of these strategies provide a basis on which an established product line can be marketed to new customers using communications, positioning and engagement strategies but not through redesign of an existing product (Guilherme &amp; Mendes, 2023). When there </w:t>
      </w:r>
      <w:r w:rsidRPr="00D53FB3">
        <w:rPr>
          <w:rFonts w:ascii="Times New Roman" w:hAnsi="Times New Roman" w:cs="Times New Roman"/>
        </w:rPr>
        <w:t>are</w:t>
      </w:r>
      <w:r w:rsidRPr="00D53FB3">
        <w:rPr>
          <w:rFonts w:ascii="Times New Roman" w:hAnsi="Times New Roman" w:cs="Times New Roman"/>
        </w:rPr>
        <w:t xml:space="preserve"> latent demand and interest in a product and a lack of knowledge, relevance and understanding of a product, market development strategies can provide valuable opportunities to develop new customer segments (Guilherme &amp; Mendes, 2023). In the case of Tesla, although consumers have extensive familiarity with the Tesla brand, they may not have sufficient understanding of Tesla's ability to provide renewable energy for the home or business (an opportunity for Digital Re-framing and Targeted Positioning).</w:t>
      </w:r>
    </w:p>
    <w:p w14:paraId="791369D1" w14:textId="4AF754B4" w:rsidR="00D53FB3" w:rsidRDefault="00D53FB3" w:rsidP="00D53FB3">
      <w:pPr>
        <w:spacing w:line="480" w:lineRule="auto"/>
        <w:rPr>
          <w:rFonts w:ascii="Times New Roman" w:hAnsi="Times New Roman" w:cs="Times New Roman"/>
        </w:rPr>
      </w:pPr>
      <w:r w:rsidRPr="00D53FB3">
        <w:rPr>
          <w:rFonts w:ascii="Times New Roman" w:hAnsi="Times New Roman" w:cs="Times New Roman"/>
        </w:rPr>
        <w:t xml:space="preserve">The demand for residential energy solutions is supported by increasing government support for renewable energy and increased interest in energy-storage and self-sufficiency on behalf of UK residents. With the rise of digital channels and platforms, Tesla </w:t>
      </w:r>
      <w:r w:rsidRPr="00D53FB3">
        <w:rPr>
          <w:rFonts w:ascii="Times New Roman" w:hAnsi="Times New Roman" w:cs="Times New Roman"/>
        </w:rPr>
        <w:t>can</w:t>
      </w:r>
      <w:r w:rsidRPr="00D53FB3">
        <w:rPr>
          <w:rFonts w:ascii="Times New Roman" w:hAnsi="Times New Roman" w:cs="Times New Roman"/>
        </w:rPr>
        <w:t xml:space="preserve"> highlight the </w:t>
      </w:r>
      <w:r w:rsidRPr="00D53FB3">
        <w:rPr>
          <w:rFonts w:ascii="Times New Roman" w:hAnsi="Times New Roman" w:cs="Times New Roman"/>
        </w:rPr>
        <w:lastRenderedPageBreak/>
        <w:t xml:space="preserve">lifestyle value, technology credibility and financial benefit of their residential energy products through </w:t>
      </w:r>
      <w:r w:rsidRPr="00D53FB3">
        <w:rPr>
          <w:rFonts w:ascii="Times New Roman" w:hAnsi="Times New Roman" w:cs="Times New Roman"/>
        </w:rPr>
        <w:t>digitally rich</w:t>
      </w:r>
      <w:r w:rsidRPr="00D53FB3">
        <w:rPr>
          <w:rFonts w:ascii="Times New Roman" w:hAnsi="Times New Roman" w:cs="Times New Roman"/>
        </w:rPr>
        <w:t xml:space="preserve"> storytelling, interactive tools and content created using a data-driven approach (Morgan-Thomas &amp; </w:t>
      </w:r>
      <w:proofErr w:type="spellStart"/>
      <w:r w:rsidRPr="00D53FB3">
        <w:rPr>
          <w:rFonts w:ascii="Times New Roman" w:hAnsi="Times New Roman" w:cs="Times New Roman"/>
        </w:rPr>
        <w:t>Veloutsou</w:t>
      </w:r>
      <w:proofErr w:type="spellEnd"/>
      <w:r w:rsidRPr="00D53FB3">
        <w:rPr>
          <w:rFonts w:ascii="Times New Roman" w:hAnsi="Times New Roman" w:cs="Times New Roman"/>
        </w:rPr>
        <w:t>, 2011; J</w:t>
      </w:r>
      <w:r>
        <w:rPr>
          <w:rFonts w:ascii="Times New Roman" w:hAnsi="Times New Roman" w:cs="Times New Roman"/>
        </w:rPr>
        <w:t>a</w:t>
      </w:r>
      <w:r w:rsidRPr="00D53FB3">
        <w:rPr>
          <w:rFonts w:ascii="Times New Roman" w:hAnsi="Times New Roman" w:cs="Times New Roman"/>
        </w:rPr>
        <w:t xml:space="preserve">rvinen &amp; </w:t>
      </w:r>
      <w:proofErr w:type="spellStart"/>
      <w:r w:rsidRPr="00D53FB3">
        <w:rPr>
          <w:rFonts w:ascii="Times New Roman" w:hAnsi="Times New Roman" w:cs="Times New Roman"/>
        </w:rPr>
        <w:t>Taiminen</w:t>
      </w:r>
      <w:proofErr w:type="spellEnd"/>
      <w:r w:rsidRPr="00D53FB3">
        <w:rPr>
          <w:rFonts w:ascii="Times New Roman" w:hAnsi="Times New Roman" w:cs="Times New Roman"/>
        </w:rPr>
        <w:t>, 2022). Presenting the solution as being both environmentally responsible and financially responsible increases the relevance of sustainable energy solutions to residential customers (Lemon &amp; Verhoef, 2016).</w:t>
      </w:r>
    </w:p>
    <w:p w14:paraId="2EB4E45B" w14:textId="4F842179" w:rsidR="00D53FB3" w:rsidRPr="00D53FB3" w:rsidRDefault="00D53FB3" w:rsidP="00D53FB3">
      <w:pPr>
        <w:spacing w:line="480" w:lineRule="auto"/>
        <w:rPr>
          <w:rFonts w:ascii="Times New Roman" w:hAnsi="Times New Roman" w:cs="Times New Roman"/>
        </w:rPr>
      </w:pPr>
      <w:r w:rsidRPr="00D53FB3">
        <w:rPr>
          <w:rFonts w:ascii="Times New Roman" w:hAnsi="Times New Roman" w:cs="Times New Roman"/>
        </w:rPr>
        <w:t>The rationale for a Digital Strategy for Tesla further incorporates shifting perceptions of brand-purpose, environmental responsibility and technology innovation. A growing number of contemporary consumers are evaluating organizations by evaluating the transparency of their operational methods, their level of ethical responsibility and the extent of their social contribution. Tesla's focused Digital Strategy allows the organi</w:t>
      </w:r>
      <w:r>
        <w:rPr>
          <w:rFonts w:ascii="Times New Roman" w:hAnsi="Times New Roman" w:cs="Times New Roman"/>
        </w:rPr>
        <w:t>s</w:t>
      </w:r>
      <w:r w:rsidRPr="00D53FB3">
        <w:rPr>
          <w:rFonts w:ascii="Times New Roman" w:hAnsi="Times New Roman" w:cs="Times New Roman"/>
        </w:rPr>
        <w:t xml:space="preserve">ation to further build and support the perception of technological trustworthiness, a commitment to environmental sustainability and an empowerment of customers that creates a competitive differentiation within an increasingly competitive </w:t>
      </w:r>
      <w:r>
        <w:rPr>
          <w:rFonts w:ascii="Times New Roman" w:hAnsi="Times New Roman" w:cs="Times New Roman"/>
        </w:rPr>
        <w:t>c</w:t>
      </w:r>
      <w:r w:rsidRPr="00D53FB3">
        <w:rPr>
          <w:rFonts w:ascii="Times New Roman" w:hAnsi="Times New Roman" w:cs="Times New Roman"/>
        </w:rPr>
        <w:t xml:space="preserve">lean </w:t>
      </w:r>
      <w:r>
        <w:rPr>
          <w:rFonts w:ascii="Times New Roman" w:hAnsi="Times New Roman" w:cs="Times New Roman"/>
        </w:rPr>
        <w:t>e</w:t>
      </w:r>
      <w:r w:rsidRPr="00D53FB3">
        <w:rPr>
          <w:rFonts w:ascii="Times New Roman" w:hAnsi="Times New Roman" w:cs="Times New Roman"/>
        </w:rPr>
        <w:t>nergy market (Okazaki, 2006; Garcia &amp; Lee, 2022)</w:t>
      </w:r>
      <w:r>
        <w:rPr>
          <w:rFonts w:ascii="Times New Roman" w:hAnsi="Times New Roman" w:cs="Times New Roman"/>
        </w:rPr>
        <w:t xml:space="preserve">. </w:t>
      </w:r>
      <w:r w:rsidRPr="00D53FB3">
        <w:rPr>
          <w:rFonts w:ascii="Times New Roman" w:hAnsi="Times New Roman" w:cs="Times New Roman"/>
        </w:rPr>
        <w:t xml:space="preserve">The research shows that combining traditional branding credibility with digital-based engagement has importance for building authenticity, trust and confidence in consumer decisions when facing complex purchasing journeys (Garcia and Lee, 2022; Kaplan and Haenlein, 2020). </w:t>
      </w:r>
    </w:p>
    <w:p w14:paraId="6CA93911" w14:textId="77777777" w:rsidR="00D53FB3" w:rsidRPr="00D53FB3" w:rsidRDefault="00D53FB3" w:rsidP="00D53FB3">
      <w:pPr>
        <w:spacing w:line="480" w:lineRule="auto"/>
        <w:rPr>
          <w:rFonts w:ascii="Times New Roman" w:hAnsi="Times New Roman" w:cs="Times New Roman"/>
        </w:rPr>
      </w:pPr>
    </w:p>
    <w:p w14:paraId="2C10D605" w14:textId="77777777" w:rsidR="00D53FB3" w:rsidRDefault="00D53FB3" w:rsidP="00D53FB3">
      <w:pPr>
        <w:spacing w:line="480" w:lineRule="auto"/>
        <w:rPr>
          <w:rFonts w:ascii="Times New Roman" w:hAnsi="Times New Roman" w:cs="Times New Roman"/>
        </w:rPr>
      </w:pPr>
    </w:p>
    <w:p w14:paraId="22D4F2CB" w14:textId="77777777" w:rsidR="00D53FB3" w:rsidRDefault="00D53FB3" w:rsidP="00D53FB3">
      <w:pPr>
        <w:spacing w:line="480" w:lineRule="auto"/>
        <w:rPr>
          <w:rFonts w:ascii="Times New Roman" w:hAnsi="Times New Roman" w:cs="Times New Roman"/>
        </w:rPr>
      </w:pPr>
    </w:p>
    <w:p w14:paraId="02F86A8C" w14:textId="77777777" w:rsidR="00D53FB3" w:rsidRDefault="00D53FB3" w:rsidP="00D53FB3">
      <w:pPr>
        <w:spacing w:line="480" w:lineRule="auto"/>
        <w:rPr>
          <w:rFonts w:ascii="Times New Roman" w:hAnsi="Times New Roman" w:cs="Times New Roman"/>
        </w:rPr>
      </w:pPr>
    </w:p>
    <w:p w14:paraId="4A00C7B0" w14:textId="77777777" w:rsidR="00D53FB3" w:rsidRDefault="00D53FB3" w:rsidP="00D53FB3">
      <w:pPr>
        <w:spacing w:line="480" w:lineRule="auto"/>
        <w:rPr>
          <w:rFonts w:ascii="Times New Roman" w:hAnsi="Times New Roman" w:cs="Times New Roman"/>
        </w:rPr>
      </w:pPr>
    </w:p>
    <w:p w14:paraId="32FF425A" w14:textId="1D331BBB" w:rsidR="00D53FB3" w:rsidRPr="00D53FB3" w:rsidRDefault="00D53FB3" w:rsidP="00D53FB3">
      <w:pPr>
        <w:pStyle w:val="ListParagraph"/>
        <w:numPr>
          <w:ilvl w:val="0"/>
          <w:numId w:val="1"/>
        </w:numPr>
        <w:spacing w:line="480" w:lineRule="auto"/>
        <w:rPr>
          <w:rFonts w:ascii="Times New Roman" w:hAnsi="Times New Roman" w:cs="Times New Roman"/>
          <w:b/>
          <w:bCs/>
        </w:rPr>
      </w:pPr>
      <w:r w:rsidRPr="00D53FB3">
        <w:rPr>
          <w:rFonts w:ascii="Times New Roman" w:hAnsi="Times New Roman" w:cs="Times New Roman"/>
          <w:b/>
          <w:bCs/>
        </w:rPr>
        <w:lastRenderedPageBreak/>
        <w:t xml:space="preserve">Segmentation, Targeting and Positioning </w:t>
      </w:r>
    </w:p>
    <w:p w14:paraId="7BB53B61" w14:textId="77777777" w:rsidR="00D53FB3" w:rsidRDefault="00D53FB3" w:rsidP="00D53FB3">
      <w:pPr>
        <w:spacing w:line="480" w:lineRule="auto"/>
        <w:rPr>
          <w:rFonts w:ascii="Times New Roman" w:hAnsi="Times New Roman" w:cs="Times New Roman"/>
        </w:rPr>
      </w:pPr>
      <w:r w:rsidRPr="00D53FB3">
        <w:rPr>
          <w:rFonts w:ascii="Times New Roman" w:hAnsi="Times New Roman" w:cs="Times New Roman"/>
        </w:rPr>
        <w:t xml:space="preserve">Segmentation includes demographic, geographic, psychographic, and behavioural dimensions. The primary segment is UK homeowners aged 30 to 55 who live in suburban and semi-urban areas, have mid- to high-income levels, and are focused on sustainability, technology adoption and long-term household investments. Behaviourally, this segment spends a significant amount of time conducting online research, consulting peer communities for advice, and using cases and online reviews to make high-involvement purchase decisions (Parasuraman et al., 2005; Hsu and Barnes, 2022). </w:t>
      </w:r>
    </w:p>
    <w:p w14:paraId="40D1A5B0" w14:textId="272AA0B0" w:rsidR="00D53FB3" w:rsidRPr="00D53FB3" w:rsidRDefault="00D53FB3" w:rsidP="00D53FB3">
      <w:pPr>
        <w:spacing w:line="480" w:lineRule="auto"/>
        <w:rPr>
          <w:rFonts w:ascii="Times New Roman" w:hAnsi="Times New Roman" w:cs="Times New Roman"/>
        </w:rPr>
      </w:pPr>
      <w:r w:rsidRPr="00D53FB3">
        <w:rPr>
          <w:rFonts w:ascii="Times New Roman" w:hAnsi="Times New Roman" w:cs="Times New Roman"/>
        </w:rPr>
        <w:t xml:space="preserve">A focused targeting strategy has allowed Tesla to focus on </w:t>
      </w:r>
      <w:r w:rsidRPr="00D53FB3">
        <w:rPr>
          <w:rFonts w:ascii="Times New Roman" w:hAnsi="Times New Roman" w:cs="Times New Roman"/>
        </w:rPr>
        <w:t>environmentally committed</w:t>
      </w:r>
      <w:r w:rsidRPr="00D53FB3">
        <w:rPr>
          <w:rFonts w:ascii="Times New Roman" w:hAnsi="Times New Roman" w:cs="Times New Roman"/>
        </w:rPr>
        <w:t xml:space="preserve"> homeowners rather than all utility consumers. With data collected from their CRM tools and website behavioural analytics, Tesla </w:t>
      </w:r>
      <w:r w:rsidRPr="00D53FB3">
        <w:rPr>
          <w:rFonts w:ascii="Times New Roman" w:hAnsi="Times New Roman" w:cs="Times New Roman"/>
        </w:rPr>
        <w:t>can</w:t>
      </w:r>
      <w:r w:rsidRPr="00D53FB3">
        <w:rPr>
          <w:rFonts w:ascii="Times New Roman" w:hAnsi="Times New Roman" w:cs="Times New Roman"/>
        </w:rPr>
        <w:t xml:space="preserve"> use these insights to create micro-segments based on what kind of website content they are attracted to (learning about renewable energy, smart home technologies, energy storage, and financing for sustainable and green projects). Effective use of tailored and relevant messages helps to lower perceived risk and </w:t>
      </w:r>
      <w:r w:rsidRPr="00D53FB3">
        <w:rPr>
          <w:rFonts w:ascii="Times New Roman" w:hAnsi="Times New Roman" w:cs="Times New Roman"/>
        </w:rPr>
        <w:t>uncertainty</w:t>
      </w:r>
      <w:r>
        <w:rPr>
          <w:rFonts w:ascii="Times New Roman" w:hAnsi="Times New Roman" w:cs="Times New Roman"/>
        </w:rPr>
        <w:t xml:space="preserve">, </w:t>
      </w:r>
      <w:r w:rsidRPr="00D53FB3">
        <w:rPr>
          <w:rFonts w:ascii="Times New Roman" w:hAnsi="Times New Roman" w:cs="Times New Roman"/>
        </w:rPr>
        <w:t>both</w:t>
      </w:r>
      <w:r w:rsidRPr="00D53FB3">
        <w:rPr>
          <w:rFonts w:ascii="Times New Roman" w:hAnsi="Times New Roman" w:cs="Times New Roman"/>
        </w:rPr>
        <w:t xml:space="preserve"> of which are barriers consumers may face when purchasing something that they are not familiar with or is technology-heavy (Tikkanen et al., 2009; Järvinen and </w:t>
      </w:r>
      <w:proofErr w:type="spellStart"/>
      <w:r w:rsidRPr="00D53FB3">
        <w:rPr>
          <w:rFonts w:ascii="Times New Roman" w:hAnsi="Times New Roman" w:cs="Times New Roman"/>
        </w:rPr>
        <w:t>Taiminen</w:t>
      </w:r>
      <w:proofErr w:type="spellEnd"/>
      <w:r w:rsidRPr="00D53FB3">
        <w:rPr>
          <w:rFonts w:ascii="Times New Roman" w:hAnsi="Times New Roman" w:cs="Times New Roman"/>
        </w:rPr>
        <w:t xml:space="preserve">, 2022). </w:t>
      </w:r>
    </w:p>
    <w:p w14:paraId="0F51FCBB" w14:textId="77777777" w:rsidR="00D53FB3" w:rsidRPr="00D53FB3" w:rsidRDefault="00D53FB3" w:rsidP="00D53FB3">
      <w:pPr>
        <w:spacing w:line="480" w:lineRule="auto"/>
        <w:rPr>
          <w:rFonts w:ascii="Times New Roman" w:hAnsi="Times New Roman" w:cs="Times New Roman"/>
        </w:rPr>
      </w:pPr>
      <w:r w:rsidRPr="00D53FB3">
        <w:rPr>
          <w:rFonts w:ascii="Times New Roman" w:hAnsi="Times New Roman" w:cs="Times New Roman"/>
        </w:rPr>
        <w:t xml:space="preserve">The suggested positioning statement is: </w:t>
      </w:r>
    </w:p>
    <w:p w14:paraId="162D65CE" w14:textId="60CAFAB0" w:rsidR="00D53FB3" w:rsidRPr="00D53FB3" w:rsidRDefault="00D53FB3" w:rsidP="00E93CB2">
      <w:pPr>
        <w:spacing w:line="480" w:lineRule="auto"/>
        <w:ind w:left="720"/>
        <w:rPr>
          <w:rFonts w:ascii="Times New Roman" w:hAnsi="Times New Roman" w:cs="Times New Roman"/>
        </w:rPr>
      </w:pPr>
      <w:r w:rsidRPr="00D53FB3">
        <w:rPr>
          <w:rFonts w:ascii="Times New Roman" w:hAnsi="Times New Roman" w:cs="Times New Roman"/>
        </w:rPr>
        <w:t xml:space="preserve">“For environmentally conscious UK homeowners, Tesla Home Energy Solutions provides an intelligent, future ready and efficient home energy system that enables independence, savings and sustainable </w:t>
      </w:r>
      <w:r w:rsidR="00E93CB2" w:rsidRPr="00D53FB3">
        <w:rPr>
          <w:rFonts w:ascii="Times New Roman" w:hAnsi="Times New Roman" w:cs="Times New Roman"/>
        </w:rPr>
        <w:t>living supported</w:t>
      </w:r>
      <w:r w:rsidRPr="00D53FB3">
        <w:rPr>
          <w:rFonts w:ascii="Times New Roman" w:hAnsi="Times New Roman" w:cs="Times New Roman"/>
        </w:rPr>
        <w:t xml:space="preserve"> by the world’s leading clean energy technology.” </w:t>
      </w:r>
    </w:p>
    <w:p w14:paraId="4C3E5D15" w14:textId="77777777" w:rsidR="00E93CB2" w:rsidRDefault="00D53FB3" w:rsidP="00D53FB3">
      <w:pPr>
        <w:spacing w:line="480" w:lineRule="auto"/>
        <w:rPr>
          <w:rFonts w:ascii="Times New Roman" w:hAnsi="Times New Roman" w:cs="Times New Roman"/>
        </w:rPr>
      </w:pPr>
      <w:r w:rsidRPr="00D53FB3">
        <w:rPr>
          <w:rFonts w:ascii="Times New Roman" w:hAnsi="Times New Roman" w:cs="Times New Roman"/>
        </w:rPr>
        <w:t xml:space="preserve">The proposed positioning highlights the credibility of innovation, improving lifestyle, and environmental stewardship. This differentiates Tesla as an alternative to traditional energy service companies that are primarily focused on price or transactional characteristics (Kotler </w:t>
      </w:r>
      <w:r w:rsidRPr="00D53FB3">
        <w:rPr>
          <w:rFonts w:ascii="Times New Roman" w:hAnsi="Times New Roman" w:cs="Times New Roman"/>
        </w:rPr>
        <w:lastRenderedPageBreak/>
        <w:t>et al., 2012</w:t>
      </w:r>
      <w:r w:rsidR="00E93CB2" w:rsidRPr="00D53FB3">
        <w:rPr>
          <w:rFonts w:ascii="Times New Roman" w:hAnsi="Times New Roman" w:cs="Times New Roman"/>
        </w:rPr>
        <w:t>). The</w:t>
      </w:r>
      <w:r w:rsidRPr="00D53FB3">
        <w:rPr>
          <w:rFonts w:ascii="Times New Roman" w:hAnsi="Times New Roman" w:cs="Times New Roman"/>
        </w:rPr>
        <w:t xml:space="preserve"> campaign will create a narrative-driven marketing campaign that tells real homeowner stories about their experience with Tesla's energy products. By sharing the success stories of other homeowners who lowered their utility bills, remained resilient during power outages, and decreased their household's carbon footprint, Tesla aims to give homeowners additional emotional reassurance, further authenticating the company and enhancing the cognitive connection with the brand throughout the entire customer journey (Kaplan and Haenlein, 2020)</w:t>
      </w:r>
    </w:p>
    <w:p w14:paraId="5AC63643" w14:textId="0ADFF172" w:rsidR="00D53FB3" w:rsidRPr="00D53FB3" w:rsidRDefault="00D53FB3" w:rsidP="00D53FB3">
      <w:pPr>
        <w:spacing w:line="480" w:lineRule="auto"/>
        <w:rPr>
          <w:rFonts w:ascii="Times New Roman" w:hAnsi="Times New Roman" w:cs="Times New Roman"/>
        </w:rPr>
      </w:pPr>
      <w:r w:rsidRPr="00D53FB3">
        <w:rPr>
          <w:rFonts w:ascii="Times New Roman" w:hAnsi="Times New Roman" w:cs="Times New Roman"/>
        </w:rPr>
        <w:t>The proposed digital marketing campaign will help Tesla's Target Market understand how to create a more sustainable lifestyle while enhancing their future. The strategy is built around a structured Customer Journey Model that includes Awareness, Evaluation, Purchase and Post-Purchase Engagement stages.</w:t>
      </w:r>
    </w:p>
    <w:p w14:paraId="73752D77" w14:textId="77777777" w:rsidR="00E93CB2" w:rsidRPr="00E93CB2" w:rsidRDefault="00D53FB3" w:rsidP="00E93CB2">
      <w:pPr>
        <w:pStyle w:val="ListParagraph"/>
        <w:numPr>
          <w:ilvl w:val="0"/>
          <w:numId w:val="2"/>
        </w:numPr>
        <w:spacing w:line="480" w:lineRule="auto"/>
        <w:rPr>
          <w:rFonts w:ascii="Times New Roman" w:hAnsi="Times New Roman" w:cs="Times New Roman"/>
        </w:rPr>
      </w:pPr>
      <w:r w:rsidRPr="00E93CB2">
        <w:rPr>
          <w:rFonts w:ascii="Times New Roman" w:hAnsi="Times New Roman" w:cs="Times New Roman"/>
        </w:rPr>
        <w:t>Awareness: Focus on Education storytelling, Leadership content and Peer testimonials.</w:t>
      </w:r>
    </w:p>
    <w:p w14:paraId="4AF88E1F" w14:textId="77777777" w:rsidR="00E93CB2" w:rsidRPr="00E93CB2" w:rsidRDefault="00D53FB3" w:rsidP="00E93CB2">
      <w:pPr>
        <w:pStyle w:val="ListParagraph"/>
        <w:numPr>
          <w:ilvl w:val="0"/>
          <w:numId w:val="2"/>
        </w:numPr>
        <w:spacing w:line="480" w:lineRule="auto"/>
        <w:rPr>
          <w:rFonts w:ascii="Times New Roman" w:hAnsi="Times New Roman" w:cs="Times New Roman"/>
        </w:rPr>
      </w:pPr>
      <w:r w:rsidRPr="00E93CB2">
        <w:rPr>
          <w:rFonts w:ascii="Times New Roman" w:hAnsi="Times New Roman" w:cs="Times New Roman"/>
        </w:rPr>
        <w:t xml:space="preserve">Evaluation: Develop a confident and reduced perception of risk through an </w:t>
      </w:r>
      <w:r w:rsidR="00E93CB2" w:rsidRPr="00E93CB2">
        <w:rPr>
          <w:rFonts w:ascii="Times New Roman" w:hAnsi="Times New Roman" w:cs="Times New Roman"/>
        </w:rPr>
        <w:t>i</w:t>
      </w:r>
      <w:r w:rsidRPr="00E93CB2">
        <w:rPr>
          <w:rFonts w:ascii="Times New Roman" w:hAnsi="Times New Roman" w:cs="Times New Roman"/>
        </w:rPr>
        <w:t xml:space="preserve">nteractive </w:t>
      </w:r>
      <w:r w:rsidR="00E93CB2" w:rsidRPr="00E93CB2">
        <w:rPr>
          <w:rFonts w:ascii="Times New Roman" w:hAnsi="Times New Roman" w:cs="Times New Roman"/>
        </w:rPr>
        <w:t>c</w:t>
      </w:r>
      <w:r w:rsidRPr="00E93CB2">
        <w:rPr>
          <w:rFonts w:ascii="Times New Roman" w:hAnsi="Times New Roman" w:cs="Times New Roman"/>
        </w:rPr>
        <w:t>ost-</w:t>
      </w:r>
      <w:r w:rsidR="00E93CB2" w:rsidRPr="00E93CB2">
        <w:rPr>
          <w:rFonts w:ascii="Times New Roman" w:hAnsi="Times New Roman" w:cs="Times New Roman"/>
        </w:rPr>
        <w:t>s</w:t>
      </w:r>
      <w:r w:rsidRPr="00E93CB2">
        <w:rPr>
          <w:rFonts w:ascii="Times New Roman" w:hAnsi="Times New Roman" w:cs="Times New Roman"/>
        </w:rPr>
        <w:t xml:space="preserve">aving </w:t>
      </w:r>
      <w:r w:rsidR="00E93CB2" w:rsidRPr="00E93CB2">
        <w:rPr>
          <w:rFonts w:ascii="Times New Roman" w:hAnsi="Times New Roman" w:cs="Times New Roman"/>
        </w:rPr>
        <w:t>c</w:t>
      </w:r>
      <w:r w:rsidRPr="00E93CB2">
        <w:rPr>
          <w:rFonts w:ascii="Times New Roman" w:hAnsi="Times New Roman" w:cs="Times New Roman"/>
        </w:rPr>
        <w:t xml:space="preserve">alculator, </w:t>
      </w:r>
      <w:r w:rsidR="00E93CB2" w:rsidRPr="00E93CB2">
        <w:rPr>
          <w:rFonts w:ascii="Times New Roman" w:hAnsi="Times New Roman" w:cs="Times New Roman"/>
        </w:rPr>
        <w:t>i</w:t>
      </w:r>
      <w:r w:rsidRPr="00E93CB2">
        <w:rPr>
          <w:rFonts w:ascii="Times New Roman" w:hAnsi="Times New Roman" w:cs="Times New Roman"/>
        </w:rPr>
        <w:t xml:space="preserve">nstallation </w:t>
      </w:r>
      <w:r w:rsidR="00E93CB2" w:rsidRPr="00E93CB2">
        <w:rPr>
          <w:rFonts w:ascii="Times New Roman" w:hAnsi="Times New Roman" w:cs="Times New Roman"/>
        </w:rPr>
        <w:t>v</w:t>
      </w:r>
      <w:r w:rsidRPr="00E93CB2">
        <w:rPr>
          <w:rFonts w:ascii="Times New Roman" w:hAnsi="Times New Roman" w:cs="Times New Roman"/>
        </w:rPr>
        <w:t xml:space="preserve">isualiser and </w:t>
      </w:r>
      <w:r w:rsidR="00E93CB2" w:rsidRPr="00E93CB2">
        <w:rPr>
          <w:rFonts w:ascii="Times New Roman" w:hAnsi="Times New Roman" w:cs="Times New Roman"/>
        </w:rPr>
        <w:t>s</w:t>
      </w:r>
      <w:r w:rsidRPr="00E93CB2">
        <w:rPr>
          <w:rFonts w:ascii="Times New Roman" w:hAnsi="Times New Roman" w:cs="Times New Roman"/>
        </w:rPr>
        <w:t>cenario-</w:t>
      </w:r>
      <w:r w:rsidR="00E93CB2" w:rsidRPr="00E93CB2">
        <w:rPr>
          <w:rFonts w:ascii="Times New Roman" w:hAnsi="Times New Roman" w:cs="Times New Roman"/>
        </w:rPr>
        <w:t>b</w:t>
      </w:r>
      <w:r w:rsidRPr="00E93CB2">
        <w:rPr>
          <w:rFonts w:ascii="Times New Roman" w:hAnsi="Times New Roman" w:cs="Times New Roman"/>
        </w:rPr>
        <w:t xml:space="preserve">ased </w:t>
      </w:r>
      <w:r w:rsidR="00E93CB2" w:rsidRPr="00E93CB2">
        <w:rPr>
          <w:rFonts w:ascii="Times New Roman" w:hAnsi="Times New Roman" w:cs="Times New Roman"/>
        </w:rPr>
        <w:t>c</w:t>
      </w:r>
      <w:r w:rsidRPr="00E93CB2">
        <w:rPr>
          <w:rFonts w:ascii="Times New Roman" w:hAnsi="Times New Roman" w:cs="Times New Roman"/>
        </w:rPr>
        <w:t xml:space="preserve">ase </w:t>
      </w:r>
      <w:r w:rsidR="00E93CB2" w:rsidRPr="00E93CB2">
        <w:rPr>
          <w:rFonts w:ascii="Times New Roman" w:hAnsi="Times New Roman" w:cs="Times New Roman"/>
        </w:rPr>
        <w:t>s</w:t>
      </w:r>
      <w:r w:rsidRPr="00E93CB2">
        <w:rPr>
          <w:rFonts w:ascii="Times New Roman" w:hAnsi="Times New Roman" w:cs="Times New Roman"/>
        </w:rPr>
        <w:t>tudies.</w:t>
      </w:r>
    </w:p>
    <w:p w14:paraId="1CA7FBED" w14:textId="77777777" w:rsidR="00E93CB2" w:rsidRPr="00E93CB2" w:rsidRDefault="00D53FB3" w:rsidP="00E93CB2">
      <w:pPr>
        <w:pStyle w:val="ListParagraph"/>
        <w:numPr>
          <w:ilvl w:val="0"/>
          <w:numId w:val="2"/>
        </w:numPr>
        <w:spacing w:line="480" w:lineRule="auto"/>
        <w:rPr>
          <w:rFonts w:ascii="Times New Roman" w:hAnsi="Times New Roman" w:cs="Times New Roman"/>
        </w:rPr>
      </w:pPr>
      <w:r w:rsidRPr="00E93CB2">
        <w:rPr>
          <w:rFonts w:ascii="Times New Roman" w:hAnsi="Times New Roman" w:cs="Times New Roman"/>
        </w:rPr>
        <w:t>Purchase: Streamline the consultation booking process, finance option guidance, and provide clear onboarding pathways for consumers.</w:t>
      </w:r>
    </w:p>
    <w:p w14:paraId="73D5AF43" w14:textId="77777777" w:rsidR="00E93CB2" w:rsidRPr="00E93CB2" w:rsidRDefault="00D53FB3" w:rsidP="00E93CB2">
      <w:pPr>
        <w:pStyle w:val="ListParagraph"/>
        <w:numPr>
          <w:ilvl w:val="0"/>
          <w:numId w:val="2"/>
        </w:numPr>
        <w:spacing w:line="480" w:lineRule="auto"/>
        <w:rPr>
          <w:rFonts w:ascii="Times New Roman" w:hAnsi="Times New Roman" w:cs="Times New Roman"/>
        </w:rPr>
      </w:pPr>
      <w:r w:rsidRPr="00E93CB2">
        <w:rPr>
          <w:rFonts w:ascii="Times New Roman" w:hAnsi="Times New Roman" w:cs="Times New Roman"/>
        </w:rPr>
        <w:t xml:space="preserve">Post-Purchase: Provide ongoing engagement through </w:t>
      </w:r>
      <w:r w:rsidR="00E93CB2" w:rsidRPr="00E93CB2">
        <w:rPr>
          <w:rFonts w:ascii="Times New Roman" w:hAnsi="Times New Roman" w:cs="Times New Roman"/>
        </w:rPr>
        <w:t>c</w:t>
      </w:r>
      <w:r w:rsidRPr="00E93CB2">
        <w:rPr>
          <w:rFonts w:ascii="Times New Roman" w:hAnsi="Times New Roman" w:cs="Times New Roman"/>
        </w:rPr>
        <w:t xml:space="preserve">ustomer </w:t>
      </w:r>
      <w:r w:rsidR="00E93CB2" w:rsidRPr="00E93CB2">
        <w:rPr>
          <w:rFonts w:ascii="Times New Roman" w:hAnsi="Times New Roman" w:cs="Times New Roman"/>
        </w:rPr>
        <w:t>r</w:t>
      </w:r>
      <w:r w:rsidRPr="00E93CB2">
        <w:rPr>
          <w:rFonts w:ascii="Times New Roman" w:hAnsi="Times New Roman" w:cs="Times New Roman"/>
        </w:rPr>
        <w:t xml:space="preserve">elationship </w:t>
      </w:r>
      <w:r w:rsidR="00E93CB2" w:rsidRPr="00E93CB2">
        <w:rPr>
          <w:rFonts w:ascii="Times New Roman" w:hAnsi="Times New Roman" w:cs="Times New Roman"/>
        </w:rPr>
        <w:t>m</w:t>
      </w:r>
      <w:r w:rsidRPr="00E93CB2">
        <w:rPr>
          <w:rFonts w:ascii="Times New Roman" w:hAnsi="Times New Roman" w:cs="Times New Roman"/>
        </w:rPr>
        <w:t xml:space="preserve">anagement (CRM)-enabled communications, </w:t>
      </w:r>
      <w:r w:rsidR="00E93CB2" w:rsidRPr="00E93CB2">
        <w:rPr>
          <w:rFonts w:ascii="Times New Roman" w:hAnsi="Times New Roman" w:cs="Times New Roman"/>
        </w:rPr>
        <w:t>p</w:t>
      </w:r>
      <w:r w:rsidRPr="00E93CB2">
        <w:rPr>
          <w:rFonts w:ascii="Times New Roman" w:hAnsi="Times New Roman" w:cs="Times New Roman"/>
        </w:rPr>
        <w:t xml:space="preserve">erformance </w:t>
      </w:r>
      <w:r w:rsidR="00E93CB2" w:rsidRPr="00E93CB2">
        <w:rPr>
          <w:rFonts w:ascii="Times New Roman" w:hAnsi="Times New Roman" w:cs="Times New Roman"/>
        </w:rPr>
        <w:t>d</w:t>
      </w:r>
      <w:r w:rsidRPr="00E93CB2">
        <w:rPr>
          <w:rFonts w:ascii="Times New Roman" w:hAnsi="Times New Roman" w:cs="Times New Roman"/>
        </w:rPr>
        <w:t xml:space="preserve">ashboard, </w:t>
      </w:r>
      <w:r w:rsidR="00E93CB2" w:rsidRPr="00E93CB2">
        <w:rPr>
          <w:rFonts w:ascii="Times New Roman" w:hAnsi="Times New Roman" w:cs="Times New Roman"/>
        </w:rPr>
        <w:t>o</w:t>
      </w:r>
      <w:r w:rsidRPr="00E93CB2">
        <w:rPr>
          <w:rFonts w:ascii="Times New Roman" w:hAnsi="Times New Roman" w:cs="Times New Roman"/>
        </w:rPr>
        <w:t xml:space="preserve">nline </w:t>
      </w:r>
      <w:r w:rsidR="00E93CB2" w:rsidRPr="00E93CB2">
        <w:rPr>
          <w:rFonts w:ascii="Times New Roman" w:hAnsi="Times New Roman" w:cs="Times New Roman"/>
        </w:rPr>
        <w:t>c</w:t>
      </w:r>
      <w:r w:rsidRPr="00E93CB2">
        <w:rPr>
          <w:rFonts w:ascii="Times New Roman" w:hAnsi="Times New Roman" w:cs="Times New Roman"/>
        </w:rPr>
        <w:t xml:space="preserve">ommunities, and a </w:t>
      </w:r>
      <w:r w:rsidR="00E93CB2" w:rsidRPr="00E93CB2">
        <w:rPr>
          <w:rFonts w:ascii="Times New Roman" w:hAnsi="Times New Roman" w:cs="Times New Roman"/>
        </w:rPr>
        <w:t>k</w:t>
      </w:r>
      <w:r w:rsidRPr="00E93CB2">
        <w:rPr>
          <w:rFonts w:ascii="Times New Roman" w:hAnsi="Times New Roman" w:cs="Times New Roman"/>
        </w:rPr>
        <w:t>nowledge-</w:t>
      </w:r>
      <w:r w:rsidR="00E93CB2" w:rsidRPr="00E93CB2">
        <w:rPr>
          <w:rFonts w:ascii="Times New Roman" w:hAnsi="Times New Roman" w:cs="Times New Roman"/>
        </w:rPr>
        <w:t>s</w:t>
      </w:r>
      <w:r w:rsidRPr="00E93CB2">
        <w:rPr>
          <w:rFonts w:ascii="Times New Roman" w:hAnsi="Times New Roman" w:cs="Times New Roman"/>
        </w:rPr>
        <w:t>haring program that supports ongoing learning, optimisation and relationship building (Purnomo, 2023; Hsu and Barnes, 2022).</w:t>
      </w:r>
    </w:p>
    <w:p w14:paraId="64EC73BD" w14:textId="550F4EA5" w:rsidR="00EB0AD1" w:rsidRDefault="00D53FB3" w:rsidP="00D53FB3">
      <w:pPr>
        <w:spacing w:line="480" w:lineRule="auto"/>
        <w:rPr>
          <w:rFonts w:ascii="Times New Roman" w:hAnsi="Times New Roman" w:cs="Times New Roman"/>
        </w:rPr>
      </w:pPr>
      <w:r w:rsidRPr="00D53FB3">
        <w:rPr>
          <w:rFonts w:ascii="Times New Roman" w:hAnsi="Times New Roman" w:cs="Times New Roman"/>
        </w:rPr>
        <w:t xml:space="preserve">Digital Marketing Campaign e-WOM (electronic Word of Mouth) will be integrated into the </w:t>
      </w:r>
      <w:r w:rsidR="00EB0AD1">
        <w:rPr>
          <w:rFonts w:ascii="Times New Roman" w:hAnsi="Times New Roman" w:cs="Times New Roman"/>
        </w:rPr>
        <w:t>c</w:t>
      </w:r>
      <w:r w:rsidRPr="00D53FB3">
        <w:rPr>
          <w:rFonts w:ascii="Times New Roman" w:hAnsi="Times New Roman" w:cs="Times New Roman"/>
        </w:rPr>
        <w:t xml:space="preserve">ampaign by encouraging </w:t>
      </w:r>
      <w:r w:rsidR="00E93CB2">
        <w:rPr>
          <w:rFonts w:ascii="Times New Roman" w:hAnsi="Times New Roman" w:cs="Times New Roman"/>
        </w:rPr>
        <w:t>c</w:t>
      </w:r>
      <w:r w:rsidRPr="00D53FB3">
        <w:rPr>
          <w:rFonts w:ascii="Times New Roman" w:hAnsi="Times New Roman" w:cs="Times New Roman"/>
        </w:rPr>
        <w:t xml:space="preserve">onsumers to share </w:t>
      </w:r>
      <w:r w:rsidR="00E93CB2">
        <w:rPr>
          <w:rFonts w:ascii="Times New Roman" w:hAnsi="Times New Roman" w:cs="Times New Roman"/>
        </w:rPr>
        <w:t>r</w:t>
      </w:r>
      <w:r w:rsidRPr="00D53FB3">
        <w:rPr>
          <w:rFonts w:ascii="Times New Roman" w:hAnsi="Times New Roman" w:cs="Times New Roman"/>
        </w:rPr>
        <w:t xml:space="preserve">eview links of Tesla's Energy Products, share </w:t>
      </w:r>
      <w:r w:rsidR="00E93CB2">
        <w:rPr>
          <w:rFonts w:ascii="Times New Roman" w:hAnsi="Times New Roman" w:cs="Times New Roman"/>
        </w:rPr>
        <w:t>a</w:t>
      </w:r>
      <w:r w:rsidRPr="00D53FB3">
        <w:rPr>
          <w:rFonts w:ascii="Times New Roman" w:hAnsi="Times New Roman" w:cs="Times New Roman"/>
        </w:rPr>
        <w:t xml:space="preserve">dvocacy messages about Tesla and engage with other </w:t>
      </w:r>
      <w:r w:rsidR="00E93CB2">
        <w:rPr>
          <w:rFonts w:ascii="Times New Roman" w:hAnsi="Times New Roman" w:cs="Times New Roman"/>
        </w:rPr>
        <w:t>m</w:t>
      </w:r>
      <w:r w:rsidRPr="00D53FB3">
        <w:rPr>
          <w:rFonts w:ascii="Times New Roman" w:hAnsi="Times New Roman" w:cs="Times New Roman"/>
        </w:rPr>
        <w:t xml:space="preserve">embers of the Tesla </w:t>
      </w:r>
      <w:r w:rsidR="00E93CB2">
        <w:rPr>
          <w:rFonts w:ascii="Times New Roman" w:hAnsi="Times New Roman" w:cs="Times New Roman"/>
        </w:rPr>
        <w:t>o</w:t>
      </w:r>
      <w:r w:rsidRPr="00D53FB3">
        <w:rPr>
          <w:rFonts w:ascii="Times New Roman" w:hAnsi="Times New Roman" w:cs="Times New Roman"/>
        </w:rPr>
        <w:t xml:space="preserve">wner </w:t>
      </w:r>
      <w:r w:rsidR="00E93CB2">
        <w:rPr>
          <w:rFonts w:ascii="Times New Roman" w:hAnsi="Times New Roman" w:cs="Times New Roman"/>
        </w:rPr>
        <w:lastRenderedPageBreak/>
        <w:t>c</w:t>
      </w:r>
      <w:r w:rsidRPr="00D53FB3">
        <w:rPr>
          <w:rFonts w:ascii="Times New Roman" w:hAnsi="Times New Roman" w:cs="Times New Roman"/>
        </w:rPr>
        <w:t xml:space="preserve">ommunity. e-WOM is a critical component of the </w:t>
      </w:r>
      <w:r w:rsidR="00E93CB2">
        <w:rPr>
          <w:rFonts w:ascii="Times New Roman" w:hAnsi="Times New Roman" w:cs="Times New Roman"/>
        </w:rPr>
        <w:t>c</w:t>
      </w:r>
      <w:r w:rsidRPr="00D53FB3">
        <w:rPr>
          <w:rFonts w:ascii="Times New Roman" w:hAnsi="Times New Roman" w:cs="Times New Roman"/>
        </w:rPr>
        <w:t xml:space="preserve">ustomer </w:t>
      </w:r>
      <w:r w:rsidR="00E93CB2">
        <w:rPr>
          <w:rFonts w:ascii="Times New Roman" w:hAnsi="Times New Roman" w:cs="Times New Roman"/>
        </w:rPr>
        <w:t>j</w:t>
      </w:r>
      <w:r w:rsidRPr="00D53FB3">
        <w:rPr>
          <w:rFonts w:ascii="Times New Roman" w:hAnsi="Times New Roman" w:cs="Times New Roman"/>
        </w:rPr>
        <w:t xml:space="preserve">ourney in high-involvement, </w:t>
      </w:r>
      <w:r w:rsidR="00E93CB2">
        <w:rPr>
          <w:rFonts w:ascii="Times New Roman" w:hAnsi="Times New Roman" w:cs="Times New Roman"/>
        </w:rPr>
        <w:t>i</w:t>
      </w:r>
      <w:r w:rsidRPr="00D53FB3">
        <w:rPr>
          <w:rFonts w:ascii="Times New Roman" w:hAnsi="Times New Roman" w:cs="Times New Roman"/>
        </w:rPr>
        <w:t>nnovation-</w:t>
      </w:r>
      <w:r w:rsidR="00E93CB2">
        <w:rPr>
          <w:rFonts w:ascii="Times New Roman" w:hAnsi="Times New Roman" w:cs="Times New Roman"/>
        </w:rPr>
        <w:t>d</w:t>
      </w:r>
      <w:r w:rsidRPr="00D53FB3">
        <w:rPr>
          <w:rFonts w:ascii="Times New Roman" w:hAnsi="Times New Roman" w:cs="Times New Roman"/>
        </w:rPr>
        <w:t xml:space="preserve">riven </w:t>
      </w:r>
      <w:r w:rsidR="00E93CB2">
        <w:rPr>
          <w:rFonts w:ascii="Times New Roman" w:hAnsi="Times New Roman" w:cs="Times New Roman"/>
        </w:rPr>
        <w:t>i</w:t>
      </w:r>
      <w:r w:rsidRPr="00D53FB3">
        <w:rPr>
          <w:rFonts w:ascii="Times New Roman" w:hAnsi="Times New Roman" w:cs="Times New Roman"/>
        </w:rPr>
        <w:t xml:space="preserve">ndustries by reducing uncertainty, building trust and creating </w:t>
      </w:r>
      <w:r w:rsidR="00EB0AD1">
        <w:rPr>
          <w:rFonts w:ascii="Times New Roman" w:hAnsi="Times New Roman" w:cs="Times New Roman"/>
        </w:rPr>
        <w:t>s</w:t>
      </w:r>
      <w:r w:rsidRPr="00D53FB3">
        <w:rPr>
          <w:rFonts w:ascii="Times New Roman" w:hAnsi="Times New Roman" w:cs="Times New Roman"/>
        </w:rPr>
        <w:t xml:space="preserve">ocial </w:t>
      </w:r>
      <w:r w:rsidR="00EB0AD1">
        <w:rPr>
          <w:rFonts w:ascii="Times New Roman" w:hAnsi="Times New Roman" w:cs="Times New Roman"/>
        </w:rPr>
        <w:t>p</w:t>
      </w:r>
      <w:r w:rsidRPr="00D53FB3">
        <w:rPr>
          <w:rFonts w:ascii="Times New Roman" w:hAnsi="Times New Roman" w:cs="Times New Roman"/>
        </w:rPr>
        <w:t>roof among prospective customers (Hennig-Thurau et al., 2021).</w:t>
      </w:r>
      <w:r w:rsidR="00EB0AD1">
        <w:rPr>
          <w:rFonts w:ascii="Times New Roman" w:hAnsi="Times New Roman" w:cs="Times New Roman"/>
        </w:rPr>
        <w:t xml:space="preserve"> </w:t>
      </w:r>
      <w:r w:rsidRPr="00D53FB3">
        <w:rPr>
          <w:rFonts w:ascii="Times New Roman" w:hAnsi="Times New Roman" w:cs="Times New Roman"/>
        </w:rPr>
        <w:t xml:space="preserve">Plans for Telsa's communication plan </w:t>
      </w:r>
      <w:r w:rsidR="00EB0AD1" w:rsidRPr="00D53FB3">
        <w:rPr>
          <w:rFonts w:ascii="Times New Roman" w:hAnsi="Times New Roman" w:cs="Times New Roman"/>
        </w:rPr>
        <w:t>includes</w:t>
      </w:r>
      <w:r w:rsidRPr="00D53FB3">
        <w:rPr>
          <w:rFonts w:ascii="Times New Roman" w:hAnsi="Times New Roman" w:cs="Times New Roman"/>
        </w:rPr>
        <w:t xml:space="preserve"> incorporating and enhancing advocacy, promotional (referral) and upgrade value; as well as engaging with users for longer term value through a broader participation in an ecosystem of companies that support Telsa's products.</w:t>
      </w:r>
    </w:p>
    <w:p w14:paraId="72F9F702" w14:textId="77777777" w:rsidR="00EB0AD1" w:rsidRDefault="00D53FB3" w:rsidP="00D53FB3">
      <w:pPr>
        <w:spacing w:line="480" w:lineRule="auto"/>
        <w:rPr>
          <w:rFonts w:ascii="Times New Roman" w:hAnsi="Times New Roman" w:cs="Times New Roman"/>
        </w:rPr>
      </w:pPr>
      <w:r w:rsidRPr="00D53FB3">
        <w:rPr>
          <w:rFonts w:ascii="Times New Roman" w:hAnsi="Times New Roman" w:cs="Times New Roman"/>
        </w:rPr>
        <w:t>The Telsa Communications Campaign will take an integrated approach to communications. A consistent theme of visuals and messaging, as well as narrative for times of promotion and providing education through the sales cycle, will connect the stories told about the Telsa and provide users with confidence about the technology they are purchasing. Supporting, reinforcing and creating a consistent source of brand meaning through all points of communication will be key to the success of this campaign.</w:t>
      </w:r>
    </w:p>
    <w:p w14:paraId="515EE407" w14:textId="79B1558B" w:rsidR="00D53FB3" w:rsidRPr="00EB0AD1" w:rsidRDefault="00D53FB3" w:rsidP="00EB0AD1">
      <w:pPr>
        <w:pStyle w:val="ListParagraph"/>
        <w:numPr>
          <w:ilvl w:val="0"/>
          <w:numId w:val="1"/>
        </w:numPr>
        <w:spacing w:line="480" w:lineRule="auto"/>
        <w:rPr>
          <w:rFonts w:ascii="Times New Roman" w:hAnsi="Times New Roman" w:cs="Times New Roman"/>
          <w:b/>
          <w:bCs/>
        </w:rPr>
      </w:pPr>
      <w:r w:rsidRPr="00EB0AD1">
        <w:rPr>
          <w:rFonts w:ascii="Times New Roman" w:hAnsi="Times New Roman" w:cs="Times New Roman"/>
          <w:b/>
          <w:bCs/>
        </w:rPr>
        <w:t>Digital Channels</w:t>
      </w:r>
    </w:p>
    <w:p w14:paraId="5EDC757D" w14:textId="77777777" w:rsidR="00EB0AD1" w:rsidRDefault="00D53FB3" w:rsidP="00D53FB3">
      <w:pPr>
        <w:spacing w:line="480" w:lineRule="auto"/>
        <w:rPr>
          <w:rFonts w:ascii="Times New Roman" w:hAnsi="Times New Roman" w:cs="Times New Roman"/>
        </w:rPr>
      </w:pPr>
      <w:r w:rsidRPr="00D53FB3">
        <w:rPr>
          <w:rFonts w:ascii="Times New Roman" w:hAnsi="Times New Roman" w:cs="Times New Roman"/>
        </w:rPr>
        <w:t xml:space="preserve">The digital channel strategy for the Telsa Campaign consists of a combination of content driven, community and performance focused channels. Consistent with the current research on the value of both traditional brand equity and digital engagement, the Telsa digital channel strategy is positioned to align with that research (Garcia and Lee, 2022). </w:t>
      </w:r>
      <w:r w:rsidR="00EB0AD1" w:rsidRPr="00D53FB3">
        <w:rPr>
          <w:rFonts w:ascii="Times New Roman" w:hAnsi="Times New Roman" w:cs="Times New Roman"/>
        </w:rPr>
        <w:t>Both</w:t>
      </w:r>
      <w:r w:rsidRPr="00D53FB3">
        <w:rPr>
          <w:rFonts w:ascii="Times New Roman" w:hAnsi="Times New Roman" w:cs="Times New Roman"/>
        </w:rPr>
        <w:t xml:space="preserve"> strategies will use the Telsa online presence, as well as its social media platforms (YouTube and Instagram), to provide content such as educational videos, how-to videos and stories from current users of Telsa products that provide the user with an easier understanding of technology and higher levels of perceived service quality (Parasuraman, et al., 2005). Instagram will present the visual narrative of lifestyle positioning of the Telsa brand, while LinkedIn will create and enhance the perceptions of being a leader in technological advancement by appealing to those </w:t>
      </w:r>
      <w:r w:rsidRPr="00D53FB3">
        <w:rPr>
          <w:rFonts w:ascii="Times New Roman" w:hAnsi="Times New Roman" w:cs="Times New Roman"/>
        </w:rPr>
        <w:lastRenderedPageBreak/>
        <w:t>homeowners who are more environmentally conscious or committed (Morgan-Thomas and Veloutsou, 2011).</w:t>
      </w:r>
    </w:p>
    <w:p w14:paraId="5BDA902C" w14:textId="77777777" w:rsidR="00EB0AD1" w:rsidRDefault="00D53FB3" w:rsidP="00D53FB3">
      <w:pPr>
        <w:spacing w:line="480" w:lineRule="auto"/>
        <w:rPr>
          <w:rFonts w:ascii="Times New Roman" w:hAnsi="Times New Roman" w:cs="Times New Roman"/>
        </w:rPr>
      </w:pPr>
      <w:r w:rsidRPr="00D53FB3">
        <w:rPr>
          <w:rFonts w:ascii="Times New Roman" w:hAnsi="Times New Roman" w:cs="Times New Roman"/>
        </w:rPr>
        <w:t xml:space="preserve">Search engine marketing, retargeting and </w:t>
      </w:r>
      <w:r w:rsidR="00EB0AD1">
        <w:rPr>
          <w:rFonts w:ascii="Times New Roman" w:hAnsi="Times New Roman" w:cs="Times New Roman"/>
        </w:rPr>
        <w:t>p</w:t>
      </w:r>
      <w:r w:rsidRPr="00D53FB3">
        <w:rPr>
          <w:rFonts w:ascii="Times New Roman" w:hAnsi="Times New Roman" w:cs="Times New Roman"/>
        </w:rPr>
        <w:t xml:space="preserve">rogrammatic </w:t>
      </w:r>
      <w:r w:rsidR="00EB0AD1">
        <w:rPr>
          <w:rFonts w:ascii="Times New Roman" w:hAnsi="Times New Roman" w:cs="Times New Roman"/>
        </w:rPr>
        <w:t>d</w:t>
      </w:r>
      <w:r w:rsidRPr="00D53FB3">
        <w:rPr>
          <w:rFonts w:ascii="Times New Roman" w:hAnsi="Times New Roman" w:cs="Times New Roman"/>
        </w:rPr>
        <w:t xml:space="preserve">isplay will capture those users who have shown interest in learning about the Telsa products and provide a seamless transition from those who were using search engines to the consultation and quotation booking process (where applicable). Webinars, virtual consultations and case-by-case, </w:t>
      </w:r>
      <w:r w:rsidR="00EB0AD1" w:rsidRPr="00D53FB3">
        <w:rPr>
          <w:rFonts w:ascii="Times New Roman" w:hAnsi="Times New Roman" w:cs="Times New Roman"/>
        </w:rPr>
        <w:t>scenario-based</w:t>
      </w:r>
      <w:r w:rsidRPr="00D53FB3">
        <w:rPr>
          <w:rFonts w:ascii="Times New Roman" w:hAnsi="Times New Roman" w:cs="Times New Roman"/>
        </w:rPr>
        <w:t xml:space="preserve"> calculators will assist in converting user interest in buying a Telsa into a more informed decision to buy a Telsa. Further helping users to make their decisions about Telsa products will be the information provided to the users through the </w:t>
      </w:r>
      <w:r w:rsidR="00EB0AD1" w:rsidRPr="00D53FB3">
        <w:rPr>
          <w:rFonts w:ascii="Times New Roman" w:hAnsi="Times New Roman" w:cs="Times New Roman"/>
        </w:rPr>
        <w:t>educational</w:t>
      </w:r>
      <w:r w:rsidR="00EB0AD1">
        <w:rPr>
          <w:rFonts w:ascii="Times New Roman" w:hAnsi="Times New Roman" w:cs="Times New Roman"/>
        </w:rPr>
        <w:t>.</w:t>
      </w:r>
      <w:r w:rsidR="00EB0AD1" w:rsidRPr="00D53FB3">
        <w:rPr>
          <w:rFonts w:ascii="Times New Roman" w:hAnsi="Times New Roman" w:cs="Times New Roman"/>
        </w:rPr>
        <w:t xml:space="preserve"> The</w:t>
      </w:r>
      <w:r w:rsidRPr="00D53FB3">
        <w:rPr>
          <w:rFonts w:ascii="Times New Roman" w:hAnsi="Times New Roman" w:cs="Times New Roman"/>
        </w:rPr>
        <w:t xml:space="preserve"> idea of using social networks provides the opportunity for a deeper level of participation and conversation; </w:t>
      </w:r>
      <w:r w:rsidR="00EB0AD1" w:rsidRPr="00D53FB3">
        <w:rPr>
          <w:rFonts w:ascii="Times New Roman" w:hAnsi="Times New Roman" w:cs="Times New Roman"/>
        </w:rPr>
        <w:t>thus,</w:t>
      </w:r>
      <w:r w:rsidRPr="00D53FB3">
        <w:rPr>
          <w:rFonts w:ascii="Times New Roman" w:hAnsi="Times New Roman" w:cs="Times New Roman"/>
        </w:rPr>
        <w:t xml:space="preserve"> continuing to grow the participatory nature of digital communities and how they allow for audience input and engagement. As a result of these conversations and the networks participants build offline (i.e., in-person), stakeholders within that social ecosystem can learn about the products and services, build trust, share experiences through testimonials and gain valuable information about how others have benefited from using the product or service.</w:t>
      </w:r>
    </w:p>
    <w:p w14:paraId="6CB63BF4" w14:textId="717CCD3D" w:rsidR="00D53FB3" w:rsidRPr="00D53FB3" w:rsidRDefault="00D53FB3" w:rsidP="00D53FB3">
      <w:pPr>
        <w:spacing w:line="480" w:lineRule="auto"/>
        <w:rPr>
          <w:rFonts w:ascii="Times New Roman" w:hAnsi="Times New Roman" w:cs="Times New Roman"/>
        </w:rPr>
      </w:pPr>
      <w:r w:rsidRPr="00D53FB3">
        <w:rPr>
          <w:rFonts w:ascii="Times New Roman" w:hAnsi="Times New Roman" w:cs="Times New Roman"/>
        </w:rPr>
        <w:t>This is mirrored in the examples of both Tesla and its reputation for developing a new level of technical and technological advancement. Online reputations support the credibility of companies and thereby increase the likelihood that a company’s products will be perceived as legitimate, therefore also supporting increased likelihood of purchase decisions. Research supports this hybrid alignment, indicating that when a company develops traditional assets, such as a corporate identity, integrated with digital storytelling, it results in a high level of marketing success.</w:t>
      </w:r>
    </w:p>
    <w:p w14:paraId="2626FCB3" w14:textId="77777777" w:rsidR="00D53FB3" w:rsidRPr="00D53FB3" w:rsidRDefault="00D53FB3" w:rsidP="00D53FB3">
      <w:pPr>
        <w:spacing w:line="480" w:lineRule="auto"/>
        <w:rPr>
          <w:rFonts w:ascii="Times New Roman" w:hAnsi="Times New Roman" w:cs="Times New Roman"/>
        </w:rPr>
      </w:pPr>
    </w:p>
    <w:p w14:paraId="5213BE74" w14:textId="77777777" w:rsidR="00EB0AD1" w:rsidRDefault="00EB0AD1" w:rsidP="00D53FB3">
      <w:pPr>
        <w:spacing w:line="480" w:lineRule="auto"/>
        <w:rPr>
          <w:rFonts w:ascii="Times New Roman" w:hAnsi="Times New Roman" w:cs="Times New Roman"/>
        </w:rPr>
      </w:pPr>
    </w:p>
    <w:p w14:paraId="40B918A6" w14:textId="3D931239" w:rsidR="00D53FB3" w:rsidRPr="00EB0AD1" w:rsidRDefault="00D53FB3" w:rsidP="00EB0AD1">
      <w:pPr>
        <w:pStyle w:val="ListParagraph"/>
        <w:numPr>
          <w:ilvl w:val="0"/>
          <w:numId w:val="1"/>
        </w:numPr>
        <w:spacing w:line="480" w:lineRule="auto"/>
        <w:rPr>
          <w:rFonts w:ascii="Times New Roman" w:hAnsi="Times New Roman" w:cs="Times New Roman"/>
          <w:b/>
          <w:bCs/>
        </w:rPr>
      </w:pPr>
      <w:r w:rsidRPr="00EB0AD1">
        <w:rPr>
          <w:rFonts w:ascii="Times New Roman" w:hAnsi="Times New Roman" w:cs="Times New Roman"/>
          <w:b/>
          <w:bCs/>
        </w:rPr>
        <w:lastRenderedPageBreak/>
        <w:t>Measurement, Trust and Evaluation</w:t>
      </w:r>
    </w:p>
    <w:p w14:paraId="532F34B7" w14:textId="77777777" w:rsidR="00EB0AD1" w:rsidRDefault="00D53FB3" w:rsidP="00D53FB3">
      <w:pPr>
        <w:spacing w:line="480" w:lineRule="auto"/>
        <w:rPr>
          <w:rFonts w:ascii="Times New Roman" w:hAnsi="Times New Roman" w:cs="Times New Roman"/>
        </w:rPr>
      </w:pPr>
      <w:r w:rsidRPr="00D53FB3">
        <w:rPr>
          <w:rFonts w:ascii="Times New Roman" w:hAnsi="Times New Roman" w:cs="Times New Roman"/>
        </w:rPr>
        <w:t xml:space="preserve">When evaluating a company's participation and behaviours, it is essential to measure three "holistic" aspects: (1) engagement, (2) behaviour and (3) financial metrics. Metrics that indicate a participant's awareness level </w:t>
      </w:r>
      <w:r w:rsidR="00EB0AD1" w:rsidRPr="00D53FB3">
        <w:rPr>
          <w:rFonts w:ascii="Times New Roman" w:hAnsi="Times New Roman" w:cs="Times New Roman"/>
        </w:rPr>
        <w:t>include</w:t>
      </w:r>
      <w:r w:rsidRPr="00D53FB3">
        <w:rPr>
          <w:rFonts w:ascii="Times New Roman" w:hAnsi="Times New Roman" w:cs="Times New Roman"/>
        </w:rPr>
        <w:t xml:space="preserve"> reach, dwell time, video completion rate and social interaction</w:t>
      </w:r>
      <w:r w:rsidR="00EB0AD1">
        <w:rPr>
          <w:rFonts w:ascii="Times New Roman" w:hAnsi="Times New Roman" w:cs="Times New Roman"/>
        </w:rPr>
        <w:t xml:space="preserve">, </w:t>
      </w:r>
      <w:r w:rsidRPr="00D53FB3">
        <w:rPr>
          <w:rFonts w:ascii="Times New Roman" w:hAnsi="Times New Roman" w:cs="Times New Roman"/>
        </w:rPr>
        <w:t xml:space="preserve">each of these metrics demonstrates levels of salience, </w:t>
      </w:r>
      <w:proofErr w:type="gramStart"/>
      <w:r w:rsidRPr="00D53FB3">
        <w:rPr>
          <w:rFonts w:ascii="Times New Roman" w:hAnsi="Times New Roman" w:cs="Times New Roman"/>
        </w:rPr>
        <w:t>similar to</w:t>
      </w:r>
      <w:proofErr w:type="gramEnd"/>
      <w:r w:rsidRPr="00D53FB3">
        <w:rPr>
          <w:rFonts w:ascii="Times New Roman" w:hAnsi="Times New Roman" w:cs="Times New Roman"/>
        </w:rPr>
        <w:t xml:space="preserve"> perception, and cognitive engagement with the company's brand and messaging. These metrics provide valuable insight on how to facilitate improvement to content across all channels.</w:t>
      </w:r>
    </w:p>
    <w:p w14:paraId="533477ED" w14:textId="77777777" w:rsidR="00EB0AD1" w:rsidRDefault="00D53FB3" w:rsidP="00D53FB3">
      <w:pPr>
        <w:spacing w:line="480" w:lineRule="auto"/>
        <w:rPr>
          <w:rFonts w:ascii="Times New Roman" w:hAnsi="Times New Roman" w:cs="Times New Roman"/>
        </w:rPr>
      </w:pPr>
      <w:r w:rsidRPr="00D53FB3">
        <w:rPr>
          <w:rFonts w:ascii="Times New Roman" w:hAnsi="Times New Roman" w:cs="Times New Roman"/>
        </w:rPr>
        <w:t xml:space="preserve">Metrics that indicate conversion levels (e.g., booked consultations, lead-quality scores, installation uptake, quotation acceptance, and finance-plan engagement) provide evidence of the company's campaign's effectiveness at various stages of the decision-making </w:t>
      </w:r>
      <w:r w:rsidR="00EB0AD1" w:rsidRPr="00D53FB3">
        <w:rPr>
          <w:rFonts w:ascii="Times New Roman" w:hAnsi="Times New Roman" w:cs="Times New Roman"/>
        </w:rPr>
        <w:t>process. A</w:t>
      </w:r>
      <w:r w:rsidRPr="00D53FB3">
        <w:rPr>
          <w:rFonts w:ascii="Times New Roman" w:hAnsi="Times New Roman" w:cs="Times New Roman"/>
        </w:rPr>
        <w:t xml:space="preserve"> digital marketing plan identifies substantial opportunity for Tesla Home Energy Solutions in the growing market of eco-conscious homeowners in the UK. By reinterpreting the Tesla Home Energy Solutions portfolio in terms of an integrated, intelligent, </w:t>
      </w:r>
      <w:r w:rsidR="00EB0AD1" w:rsidRPr="00D53FB3">
        <w:rPr>
          <w:rFonts w:ascii="Times New Roman" w:hAnsi="Times New Roman" w:cs="Times New Roman"/>
        </w:rPr>
        <w:t>environmentally responsible</w:t>
      </w:r>
      <w:r w:rsidRPr="00D53FB3">
        <w:rPr>
          <w:rFonts w:ascii="Times New Roman" w:hAnsi="Times New Roman" w:cs="Times New Roman"/>
        </w:rPr>
        <w:t xml:space="preserve"> investment in the eco-conscious homeowner's future, Tesla has affirmed its position in the domestic energy marketplace. The plan's four interrelated components</w:t>
      </w:r>
      <w:r w:rsidR="00EB0AD1">
        <w:rPr>
          <w:rFonts w:ascii="Times New Roman" w:hAnsi="Times New Roman" w:cs="Times New Roman"/>
        </w:rPr>
        <w:t xml:space="preserve">: </w:t>
      </w:r>
      <w:r w:rsidRPr="00D53FB3">
        <w:rPr>
          <w:rFonts w:ascii="Times New Roman" w:hAnsi="Times New Roman" w:cs="Times New Roman"/>
        </w:rPr>
        <w:t>targeted customer segmentation, values-based positioning of products, integrated digital communications and multi-layered performance evaluation</w:t>
      </w:r>
      <w:r w:rsidR="00EB0AD1">
        <w:rPr>
          <w:rFonts w:ascii="Times New Roman" w:hAnsi="Times New Roman" w:cs="Times New Roman"/>
        </w:rPr>
        <w:t xml:space="preserve">, </w:t>
      </w:r>
      <w:r w:rsidRPr="00D53FB3">
        <w:rPr>
          <w:rFonts w:ascii="Times New Roman" w:hAnsi="Times New Roman" w:cs="Times New Roman"/>
        </w:rPr>
        <w:t>will enable Tesla to establish a strong presence in the residential solar energy market and consolidate its position as the leader in the development of clean energy innovations.</w:t>
      </w:r>
    </w:p>
    <w:p w14:paraId="745DAA98" w14:textId="0D09FCD0" w:rsidR="00D53FB3" w:rsidRDefault="00D53FB3" w:rsidP="00D53FB3">
      <w:pPr>
        <w:spacing w:line="480" w:lineRule="auto"/>
        <w:rPr>
          <w:rFonts w:ascii="Times New Roman" w:hAnsi="Times New Roman" w:cs="Times New Roman"/>
        </w:rPr>
      </w:pPr>
      <w:r w:rsidRPr="00D53FB3">
        <w:rPr>
          <w:rFonts w:ascii="Times New Roman" w:hAnsi="Times New Roman" w:cs="Times New Roman"/>
        </w:rPr>
        <w:t xml:space="preserve">The campaign provides an example of how to leverage customer journey mapping, technological solutions and behaviour insights to reposition an existing product within a newly developed context for a growing consumer base. This approach is consistent with contemporary scholarship in digital marketing, market development and strategic communication (Guilherme and Mendes, 2023; Kotler et al., 2013; Garcia and Lee, 2022) </w:t>
      </w:r>
      <w:r w:rsidRPr="00D53FB3">
        <w:rPr>
          <w:rFonts w:ascii="Times New Roman" w:hAnsi="Times New Roman" w:cs="Times New Roman"/>
        </w:rPr>
        <w:lastRenderedPageBreak/>
        <w:t>and will create long-term, sustainable growth, differentiate the Tesla Home Energy Solutions offering from that of competitors and establish long-term value for the brand within the UK renewable energy marketplace.</w:t>
      </w:r>
    </w:p>
    <w:p w14:paraId="02C81EEC" w14:textId="77777777" w:rsidR="00EB0AD1" w:rsidRDefault="00EB0AD1" w:rsidP="00D53FB3">
      <w:pPr>
        <w:spacing w:line="480" w:lineRule="auto"/>
        <w:rPr>
          <w:rFonts w:ascii="Times New Roman" w:hAnsi="Times New Roman" w:cs="Times New Roman"/>
        </w:rPr>
      </w:pPr>
    </w:p>
    <w:p w14:paraId="6F816B54" w14:textId="77777777" w:rsidR="00EB0AD1" w:rsidRDefault="00EB0AD1" w:rsidP="00D53FB3">
      <w:pPr>
        <w:spacing w:line="480" w:lineRule="auto"/>
        <w:rPr>
          <w:rFonts w:ascii="Times New Roman" w:hAnsi="Times New Roman" w:cs="Times New Roman"/>
        </w:rPr>
      </w:pPr>
    </w:p>
    <w:p w14:paraId="2C7F2F2A" w14:textId="77777777" w:rsidR="00EB0AD1" w:rsidRDefault="00EB0AD1" w:rsidP="00D53FB3">
      <w:pPr>
        <w:spacing w:line="480" w:lineRule="auto"/>
        <w:rPr>
          <w:rFonts w:ascii="Times New Roman" w:hAnsi="Times New Roman" w:cs="Times New Roman"/>
        </w:rPr>
      </w:pPr>
    </w:p>
    <w:p w14:paraId="2A018315" w14:textId="77777777" w:rsidR="00EB0AD1" w:rsidRDefault="00EB0AD1" w:rsidP="00D53FB3">
      <w:pPr>
        <w:spacing w:line="480" w:lineRule="auto"/>
        <w:rPr>
          <w:rFonts w:ascii="Times New Roman" w:hAnsi="Times New Roman" w:cs="Times New Roman"/>
        </w:rPr>
      </w:pPr>
    </w:p>
    <w:p w14:paraId="227090A5" w14:textId="77777777" w:rsidR="00EB0AD1" w:rsidRDefault="00EB0AD1" w:rsidP="00D53FB3">
      <w:pPr>
        <w:spacing w:line="480" w:lineRule="auto"/>
        <w:rPr>
          <w:rFonts w:ascii="Times New Roman" w:hAnsi="Times New Roman" w:cs="Times New Roman"/>
        </w:rPr>
      </w:pPr>
    </w:p>
    <w:p w14:paraId="1AC56159" w14:textId="77777777" w:rsidR="00EB0AD1" w:rsidRDefault="00EB0AD1" w:rsidP="00D53FB3">
      <w:pPr>
        <w:spacing w:line="480" w:lineRule="auto"/>
        <w:rPr>
          <w:rFonts w:ascii="Times New Roman" w:hAnsi="Times New Roman" w:cs="Times New Roman"/>
        </w:rPr>
      </w:pPr>
    </w:p>
    <w:p w14:paraId="6E7BDA22" w14:textId="77777777" w:rsidR="00EB0AD1" w:rsidRDefault="00EB0AD1" w:rsidP="00D53FB3">
      <w:pPr>
        <w:spacing w:line="480" w:lineRule="auto"/>
        <w:rPr>
          <w:rFonts w:ascii="Times New Roman" w:hAnsi="Times New Roman" w:cs="Times New Roman"/>
        </w:rPr>
      </w:pPr>
    </w:p>
    <w:p w14:paraId="75DF5678" w14:textId="77777777" w:rsidR="00EB0AD1" w:rsidRDefault="00EB0AD1" w:rsidP="00D53FB3">
      <w:pPr>
        <w:spacing w:line="480" w:lineRule="auto"/>
        <w:rPr>
          <w:rFonts w:ascii="Times New Roman" w:hAnsi="Times New Roman" w:cs="Times New Roman"/>
        </w:rPr>
      </w:pPr>
    </w:p>
    <w:p w14:paraId="279B3807" w14:textId="77777777" w:rsidR="00EB0AD1" w:rsidRDefault="00EB0AD1" w:rsidP="00D53FB3">
      <w:pPr>
        <w:spacing w:line="480" w:lineRule="auto"/>
        <w:rPr>
          <w:rFonts w:ascii="Times New Roman" w:hAnsi="Times New Roman" w:cs="Times New Roman"/>
        </w:rPr>
      </w:pPr>
    </w:p>
    <w:p w14:paraId="7635C1C8" w14:textId="77777777" w:rsidR="00EB0AD1" w:rsidRDefault="00EB0AD1" w:rsidP="00D53FB3">
      <w:pPr>
        <w:spacing w:line="480" w:lineRule="auto"/>
        <w:rPr>
          <w:rFonts w:ascii="Times New Roman" w:hAnsi="Times New Roman" w:cs="Times New Roman"/>
        </w:rPr>
      </w:pPr>
    </w:p>
    <w:p w14:paraId="5959C9F2" w14:textId="77777777" w:rsidR="00EB0AD1" w:rsidRDefault="00EB0AD1" w:rsidP="00D53FB3">
      <w:pPr>
        <w:spacing w:line="480" w:lineRule="auto"/>
        <w:rPr>
          <w:rFonts w:ascii="Times New Roman" w:hAnsi="Times New Roman" w:cs="Times New Roman"/>
        </w:rPr>
      </w:pPr>
    </w:p>
    <w:p w14:paraId="30CB19E9" w14:textId="77777777" w:rsidR="00EB0AD1" w:rsidRDefault="00EB0AD1" w:rsidP="00D53FB3">
      <w:pPr>
        <w:spacing w:line="480" w:lineRule="auto"/>
        <w:rPr>
          <w:rFonts w:ascii="Times New Roman" w:hAnsi="Times New Roman" w:cs="Times New Roman"/>
        </w:rPr>
      </w:pPr>
    </w:p>
    <w:p w14:paraId="7B7D1035" w14:textId="77777777" w:rsidR="00EB0AD1" w:rsidRDefault="00EB0AD1" w:rsidP="00D53FB3">
      <w:pPr>
        <w:spacing w:line="480" w:lineRule="auto"/>
        <w:rPr>
          <w:rFonts w:ascii="Times New Roman" w:hAnsi="Times New Roman" w:cs="Times New Roman"/>
        </w:rPr>
      </w:pPr>
    </w:p>
    <w:p w14:paraId="443A1D04" w14:textId="77777777" w:rsidR="00EB0AD1" w:rsidRDefault="00EB0AD1" w:rsidP="00D53FB3">
      <w:pPr>
        <w:spacing w:line="480" w:lineRule="auto"/>
        <w:rPr>
          <w:rFonts w:ascii="Times New Roman" w:hAnsi="Times New Roman" w:cs="Times New Roman"/>
        </w:rPr>
      </w:pPr>
    </w:p>
    <w:p w14:paraId="076D5992" w14:textId="77777777" w:rsidR="00EB0AD1" w:rsidRDefault="00EB0AD1" w:rsidP="00D53FB3">
      <w:pPr>
        <w:spacing w:line="480" w:lineRule="auto"/>
        <w:rPr>
          <w:rFonts w:ascii="Times New Roman" w:hAnsi="Times New Roman" w:cs="Times New Roman"/>
        </w:rPr>
      </w:pPr>
    </w:p>
    <w:p w14:paraId="11CA8103" w14:textId="77777777" w:rsidR="00EB0AD1" w:rsidRDefault="00EB0AD1" w:rsidP="00D53FB3">
      <w:pPr>
        <w:spacing w:line="480" w:lineRule="auto"/>
        <w:rPr>
          <w:rFonts w:ascii="Times New Roman" w:hAnsi="Times New Roman" w:cs="Times New Roman"/>
        </w:rPr>
      </w:pPr>
    </w:p>
    <w:p w14:paraId="2A80A07F" w14:textId="77777777" w:rsidR="00EB0AD1" w:rsidRDefault="00EB0AD1" w:rsidP="00D53FB3">
      <w:pPr>
        <w:spacing w:line="480" w:lineRule="auto"/>
        <w:rPr>
          <w:rFonts w:ascii="Times New Roman" w:hAnsi="Times New Roman" w:cs="Times New Roman"/>
        </w:rPr>
      </w:pPr>
    </w:p>
    <w:p w14:paraId="6519F333" w14:textId="6CEA3991" w:rsidR="00EB0AD1" w:rsidRPr="00A8287A" w:rsidRDefault="00EB0AD1" w:rsidP="00D53FB3">
      <w:pPr>
        <w:spacing w:line="480" w:lineRule="auto"/>
        <w:rPr>
          <w:rFonts w:ascii="Times New Roman" w:hAnsi="Times New Roman" w:cs="Times New Roman"/>
          <w:b/>
          <w:bCs/>
        </w:rPr>
      </w:pPr>
      <w:r w:rsidRPr="00A8287A">
        <w:rPr>
          <w:rFonts w:ascii="Times New Roman" w:hAnsi="Times New Roman" w:cs="Times New Roman"/>
          <w:b/>
          <w:bCs/>
        </w:rPr>
        <w:lastRenderedPageBreak/>
        <w:t xml:space="preserve">References </w:t>
      </w:r>
    </w:p>
    <w:p w14:paraId="1974D1FF" w14:textId="63CE0A06" w:rsidR="00E6243C" w:rsidRDefault="00E6243C" w:rsidP="00A8287A">
      <w:pPr>
        <w:spacing w:line="480" w:lineRule="auto"/>
        <w:rPr>
          <w:rFonts w:ascii="Times New Roman" w:hAnsi="Times New Roman" w:cs="Times New Roman"/>
        </w:rPr>
      </w:pPr>
      <w:r w:rsidRPr="00E6243C">
        <w:rPr>
          <w:rFonts w:ascii="Times New Roman" w:hAnsi="Times New Roman" w:cs="Times New Roman"/>
        </w:rPr>
        <w:t xml:space="preserve">Chari, M., &amp; Ferreira, V. F. M. (2025). Strategy as What a Business Should Do Over Time to Succeed: A Case Study of Tesla, Inc. </w:t>
      </w:r>
      <w:r w:rsidRPr="00E6243C">
        <w:rPr>
          <w:rFonts w:ascii="Times New Roman" w:hAnsi="Times New Roman" w:cs="Times New Roman"/>
          <w:i/>
          <w:iCs/>
        </w:rPr>
        <w:t>American Business Review, 28</w:t>
      </w:r>
      <w:r w:rsidRPr="00E6243C">
        <w:rPr>
          <w:rFonts w:ascii="Times New Roman" w:hAnsi="Times New Roman" w:cs="Times New Roman"/>
        </w:rPr>
        <w:t>(1), 15.</w:t>
      </w:r>
    </w:p>
    <w:p w14:paraId="3F8B2D4B" w14:textId="598D369C" w:rsidR="00A8287A"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De Hooge, I. E. (2025). Increasing the purchase intentions for suboptimal products: Comparing potential marketing strategies. </w:t>
      </w:r>
      <w:r w:rsidRPr="00A8287A">
        <w:rPr>
          <w:rFonts w:ascii="Times New Roman" w:hAnsi="Times New Roman" w:cs="Times New Roman"/>
          <w:i/>
          <w:iCs/>
        </w:rPr>
        <w:t>Food Quality and Preference</w:t>
      </w:r>
      <w:r w:rsidRPr="00A8287A">
        <w:rPr>
          <w:rFonts w:ascii="Times New Roman" w:hAnsi="Times New Roman" w:cs="Times New Roman"/>
        </w:rPr>
        <w:t>, 123, 105314.</w:t>
      </w:r>
    </w:p>
    <w:p w14:paraId="4BE7AEEC" w14:textId="5D73D3A4" w:rsidR="00A8287A" w:rsidRPr="00A8287A"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Flanagan, K. (2015). </w:t>
      </w:r>
      <w:r w:rsidRPr="00A8287A">
        <w:rPr>
          <w:rFonts w:ascii="Times New Roman" w:hAnsi="Times New Roman" w:cs="Times New Roman"/>
          <w:i/>
          <w:iCs/>
        </w:rPr>
        <w:t>Content marketing strategy guide</w:t>
      </w:r>
      <w:r w:rsidRPr="00A8287A">
        <w:rPr>
          <w:rFonts w:ascii="Times New Roman" w:hAnsi="Times New Roman" w:cs="Times New Roman"/>
        </w:rPr>
        <w:t>. HubSpot Blog.</w:t>
      </w:r>
    </w:p>
    <w:p w14:paraId="186566A4" w14:textId="77777777" w:rsidR="00A8287A" w:rsidRPr="00A8287A"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Goodman, J. (2000). Strategies for driving traffic to your site. </w:t>
      </w:r>
      <w:r w:rsidRPr="00A8287A">
        <w:rPr>
          <w:rFonts w:ascii="Times New Roman" w:hAnsi="Times New Roman" w:cs="Times New Roman"/>
          <w:i/>
          <w:iCs/>
        </w:rPr>
        <w:t>Journal of Direct, Data and Digital Marketing Practice</w:t>
      </w:r>
      <w:r w:rsidRPr="00A8287A">
        <w:rPr>
          <w:rFonts w:ascii="Times New Roman" w:hAnsi="Times New Roman" w:cs="Times New Roman"/>
        </w:rPr>
        <w:t>, 2, 138–147.</w:t>
      </w:r>
    </w:p>
    <w:p w14:paraId="1E73673C" w14:textId="77777777" w:rsidR="00A8287A" w:rsidRPr="00A8287A"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Guilherme, A. C., &amp; Mendes, A. C. (2023). Strategic growth decisions and the Ansoff matrix. </w:t>
      </w:r>
      <w:r w:rsidRPr="00A8287A">
        <w:rPr>
          <w:rFonts w:ascii="Times New Roman" w:hAnsi="Times New Roman" w:cs="Times New Roman"/>
          <w:i/>
          <w:iCs/>
        </w:rPr>
        <w:t>International Journal of Retail &amp; Distribution Management, 51</w:t>
      </w:r>
      <w:r w:rsidRPr="00A8287A">
        <w:rPr>
          <w:rFonts w:ascii="Times New Roman" w:hAnsi="Times New Roman" w:cs="Times New Roman"/>
        </w:rPr>
        <w:t>(4), 533–548.</w:t>
      </w:r>
    </w:p>
    <w:p w14:paraId="2035CBF9" w14:textId="6C208F10" w:rsidR="00A8287A" w:rsidRPr="00A8287A"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HubSpot. (2015). </w:t>
      </w:r>
      <w:r w:rsidRPr="00A8287A">
        <w:rPr>
          <w:rFonts w:ascii="Times New Roman" w:hAnsi="Times New Roman" w:cs="Times New Roman"/>
          <w:i/>
          <w:iCs/>
        </w:rPr>
        <w:t>Internet marketing company.</w:t>
      </w:r>
      <w:r w:rsidRPr="00A8287A">
        <w:rPr>
          <w:rFonts w:ascii="Times New Roman" w:hAnsi="Times New Roman" w:cs="Times New Roman"/>
        </w:rPr>
        <w:t xml:space="preserve"> </w:t>
      </w:r>
      <w:hyperlink r:id="rId7" w:history="1">
        <w:r w:rsidRPr="00A12926">
          <w:rPr>
            <w:rStyle w:val="Hyperlink"/>
            <w:rFonts w:ascii="Times New Roman" w:hAnsi="Times New Roman" w:cs="Times New Roman"/>
          </w:rPr>
          <w:t>https://hubspot.com</w:t>
        </w:r>
      </w:hyperlink>
      <w:r>
        <w:rPr>
          <w:rFonts w:ascii="Times New Roman" w:hAnsi="Times New Roman" w:cs="Times New Roman"/>
        </w:rPr>
        <w:t xml:space="preserve"> </w:t>
      </w:r>
    </w:p>
    <w:p w14:paraId="78E61DDC" w14:textId="77777777" w:rsidR="00A8287A" w:rsidRPr="00A8287A"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Kotler, P., </w:t>
      </w:r>
      <w:proofErr w:type="spellStart"/>
      <w:r w:rsidRPr="00A8287A">
        <w:rPr>
          <w:rFonts w:ascii="Times New Roman" w:hAnsi="Times New Roman" w:cs="Times New Roman"/>
        </w:rPr>
        <w:t>Kartajaya</w:t>
      </w:r>
      <w:proofErr w:type="spellEnd"/>
      <w:r w:rsidRPr="00A8287A">
        <w:rPr>
          <w:rFonts w:ascii="Times New Roman" w:hAnsi="Times New Roman" w:cs="Times New Roman"/>
        </w:rPr>
        <w:t xml:space="preserve">, H., &amp; Setiawan, I. (2010). </w:t>
      </w:r>
      <w:r w:rsidRPr="00A8287A">
        <w:rPr>
          <w:rFonts w:ascii="Times New Roman" w:hAnsi="Times New Roman" w:cs="Times New Roman"/>
          <w:i/>
          <w:iCs/>
        </w:rPr>
        <w:t>Marketing 3.0.</w:t>
      </w:r>
      <w:r w:rsidRPr="00A8287A">
        <w:rPr>
          <w:rFonts w:ascii="Times New Roman" w:hAnsi="Times New Roman" w:cs="Times New Roman"/>
        </w:rPr>
        <w:t xml:space="preserve"> John Wiley &amp; Sons.</w:t>
      </w:r>
    </w:p>
    <w:p w14:paraId="4012214D" w14:textId="77777777" w:rsidR="00A8287A" w:rsidRPr="00A8287A"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Kotler, P., Keller, K. L., Goodman, M., &amp; Hansen, T. (2012). </w:t>
      </w:r>
      <w:r w:rsidRPr="00A8287A">
        <w:rPr>
          <w:rFonts w:ascii="Times New Roman" w:hAnsi="Times New Roman" w:cs="Times New Roman"/>
          <w:i/>
          <w:iCs/>
        </w:rPr>
        <w:t>Marketing management</w:t>
      </w:r>
      <w:r w:rsidRPr="00A8287A">
        <w:rPr>
          <w:rFonts w:ascii="Times New Roman" w:hAnsi="Times New Roman" w:cs="Times New Roman"/>
        </w:rPr>
        <w:t xml:space="preserve"> (2nd European ed.). Pearson Education.</w:t>
      </w:r>
    </w:p>
    <w:p w14:paraId="6194FA42" w14:textId="77777777" w:rsidR="00A8287A" w:rsidRPr="00A8287A"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Kotler, P., Wong, V., Saunders, J., &amp; Armstrong, G. (2013). </w:t>
      </w:r>
      <w:r w:rsidRPr="00A8287A">
        <w:rPr>
          <w:rFonts w:ascii="Times New Roman" w:hAnsi="Times New Roman" w:cs="Times New Roman"/>
          <w:i/>
          <w:iCs/>
        </w:rPr>
        <w:t>Principles of marketing</w:t>
      </w:r>
      <w:r w:rsidRPr="00A8287A">
        <w:rPr>
          <w:rFonts w:ascii="Times New Roman" w:hAnsi="Times New Roman" w:cs="Times New Roman"/>
        </w:rPr>
        <w:t xml:space="preserve"> (6th European ed.). Pearson Education.</w:t>
      </w:r>
    </w:p>
    <w:p w14:paraId="7600D453" w14:textId="77777777" w:rsidR="00A8287A"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Lemon, K. N., &amp; Verhoef, P. C. (2016). Understanding customer experience throughout the customer journey. </w:t>
      </w:r>
      <w:r w:rsidRPr="00A8287A">
        <w:rPr>
          <w:rFonts w:ascii="Times New Roman" w:hAnsi="Times New Roman" w:cs="Times New Roman"/>
          <w:i/>
          <w:iCs/>
        </w:rPr>
        <w:t>Journal of Marketing, 80</w:t>
      </w:r>
      <w:r w:rsidRPr="00A8287A">
        <w:rPr>
          <w:rFonts w:ascii="Times New Roman" w:hAnsi="Times New Roman" w:cs="Times New Roman"/>
        </w:rPr>
        <w:t>(6), 69–96.</w:t>
      </w:r>
    </w:p>
    <w:p w14:paraId="2A004055" w14:textId="1C6CB8E6" w:rsidR="00E6243C" w:rsidRDefault="00E6243C" w:rsidP="00A8287A">
      <w:pPr>
        <w:spacing w:line="480" w:lineRule="auto"/>
        <w:rPr>
          <w:rFonts w:ascii="Times New Roman" w:hAnsi="Times New Roman" w:cs="Times New Roman"/>
        </w:rPr>
      </w:pPr>
      <w:r w:rsidRPr="00E6243C">
        <w:rPr>
          <w:rFonts w:ascii="Times New Roman" w:hAnsi="Times New Roman" w:cs="Times New Roman"/>
        </w:rPr>
        <w:t xml:space="preserve">Lu, Z. (2025, July). An Analysis of Tesla’s Market Position and Future Prospects. In </w:t>
      </w:r>
      <w:r w:rsidRPr="00E6243C">
        <w:rPr>
          <w:rFonts w:ascii="Times New Roman" w:hAnsi="Times New Roman" w:cs="Times New Roman"/>
          <w:i/>
          <w:iCs/>
        </w:rPr>
        <w:t>2025 International Conference on Financial Risk and Investment Management (ICFRIM 2025) (pp. 919-928).</w:t>
      </w:r>
      <w:r w:rsidRPr="00E6243C">
        <w:rPr>
          <w:rFonts w:ascii="Times New Roman" w:hAnsi="Times New Roman" w:cs="Times New Roman"/>
        </w:rPr>
        <w:t xml:space="preserve"> Atlantis Press.</w:t>
      </w:r>
    </w:p>
    <w:p w14:paraId="14540A1E" w14:textId="518275BB" w:rsidR="00E6243C" w:rsidRDefault="00E6243C" w:rsidP="00A8287A">
      <w:pPr>
        <w:spacing w:line="480" w:lineRule="auto"/>
        <w:rPr>
          <w:rFonts w:ascii="Times New Roman" w:hAnsi="Times New Roman" w:cs="Times New Roman"/>
        </w:rPr>
      </w:pPr>
      <w:r w:rsidRPr="00E6243C">
        <w:rPr>
          <w:rFonts w:ascii="Times New Roman" w:hAnsi="Times New Roman" w:cs="Times New Roman"/>
        </w:rPr>
        <w:lastRenderedPageBreak/>
        <w:t xml:space="preserve">Lei, C. (2025). Analysis of Tesla International Strategies. In </w:t>
      </w:r>
      <w:r w:rsidRPr="00E6243C">
        <w:rPr>
          <w:rFonts w:ascii="Times New Roman" w:hAnsi="Times New Roman" w:cs="Times New Roman"/>
          <w:i/>
          <w:iCs/>
        </w:rPr>
        <w:t>Sustainable Data Management: Navigating Big Data, Communication Technology, and Business Digital Leadership. Volume</w:t>
      </w:r>
      <w:r w:rsidRPr="00E6243C">
        <w:rPr>
          <w:rFonts w:ascii="Times New Roman" w:hAnsi="Times New Roman" w:cs="Times New Roman"/>
        </w:rPr>
        <w:t xml:space="preserve"> 1 (pp. 237-246). Cham: Springer Nature Switzerland.</w:t>
      </w:r>
    </w:p>
    <w:p w14:paraId="6B57D89B" w14:textId="315DC4A1" w:rsidR="00E6243C" w:rsidRPr="00A8287A" w:rsidRDefault="00E6243C" w:rsidP="00A8287A">
      <w:pPr>
        <w:spacing w:line="480" w:lineRule="auto"/>
        <w:rPr>
          <w:rFonts w:ascii="Times New Roman" w:hAnsi="Times New Roman" w:cs="Times New Roman"/>
        </w:rPr>
      </w:pPr>
      <w:r w:rsidRPr="00E6243C">
        <w:rPr>
          <w:rFonts w:ascii="Times New Roman" w:hAnsi="Times New Roman" w:cs="Times New Roman"/>
        </w:rPr>
        <w:t xml:space="preserve">Li, Y. (2025, February). Financial Analysis of the Company Tesla. In </w:t>
      </w:r>
      <w:r w:rsidRPr="00E6243C">
        <w:rPr>
          <w:rFonts w:ascii="Times New Roman" w:hAnsi="Times New Roman" w:cs="Times New Roman"/>
          <w:i/>
          <w:iCs/>
        </w:rPr>
        <w:t>International Workshop on Navigating the Digital Business Frontier for Sustainable Financial Innovation (ICDEBA 2024) (pp. 566-575).</w:t>
      </w:r>
      <w:r w:rsidRPr="00E6243C">
        <w:rPr>
          <w:rFonts w:ascii="Times New Roman" w:hAnsi="Times New Roman" w:cs="Times New Roman"/>
        </w:rPr>
        <w:t xml:space="preserve"> Atlantis Press.</w:t>
      </w:r>
    </w:p>
    <w:p w14:paraId="26625891" w14:textId="77777777" w:rsidR="00A8287A"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Morgan-Thomas, A., &amp; </w:t>
      </w:r>
      <w:proofErr w:type="spellStart"/>
      <w:r w:rsidRPr="00A8287A">
        <w:rPr>
          <w:rFonts w:ascii="Times New Roman" w:hAnsi="Times New Roman" w:cs="Times New Roman"/>
        </w:rPr>
        <w:t>Veloutsou</w:t>
      </w:r>
      <w:proofErr w:type="spellEnd"/>
      <w:r w:rsidRPr="00A8287A">
        <w:rPr>
          <w:rFonts w:ascii="Times New Roman" w:hAnsi="Times New Roman" w:cs="Times New Roman"/>
        </w:rPr>
        <w:t>, C. (2011). Beyond technology acceptance: Brand relationships and online brand experience</w:t>
      </w:r>
      <w:r w:rsidRPr="00A8287A">
        <w:rPr>
          <w:rFonts w:ascii="Times New Roman" w:hAnsi="Times New Roman" w:cs="Times New Roman"/>
          <w:i/>
          <w:iCs/>
        </w:rPr>
        <w:t>. Journal of Business Research, 66</w:t>
      </w:r>
      <w:r w:rsidRPr="00A8287A">
        <w:rPr>
          <w:rFonts w:ascii="Times New Roman" w:hAnsi="Times New Roman" w:cs="Times New Roman"/>
        </w:rPr>
        <w:t>(1), 21–27.</w:t>
      </w:r>
    </w:p>
    <w:p w14:paraId="28815459" w14:textId="0EAE8E13" w:rsidR="00E6243C" w:rsidRDefault="00E6243C" w:rsidP="00A8287A">
      <w:pPr>
        <w:spacing w:line="480" w:lineRule="auto"/>
        <w:rPr>
          <w:rFonts w:ascii="Times New Roman" w:hAnsi="Times New Roman" w:cs="Times New Roman"/>
        </w:rPr>
      </w:pPr>
      <w:r w:rsidRPr="00E6243C">
        <w:rPr>
          <w:rFonts w:ascii="Times New Roman" w:hAnsi="Times New Roman" w:cs="Times New Roman"/>
        </w:rPr>
        <w:t xml:space="preserve">Ma, Z. (2025, August). Analysing the Challenges and Opportunities of Tesla: a SWOT Approach. In </w:t>
      </w:r>
      <w:r w:rsidRPr="00E6243C">
        <w:rPr>
          <w:rFonts w:ascii="Times New Roman" w:hAnsi="Times New Roman" w:cs="Times New Roman"/>
          <w:i/>
          <w:iCs/>
        </w:rPr>
        <w:t>2025 5th International Conference on Enterprise Management and Economic Development (ICEMED 2025) (pp. 670-675).</w:t>
      </w:r>
      <w:r w:rsidRPr="00E6243C">
        <w:rPr>
          <w:rFonts w:ascii="Times New Roman" w:hAnsi="Times New Roman" w:cs="Times New Roman"/>
        </w:rPr>
        <w:t xml:space="preserve"> Atlantis Press.</w:t>
      </w:r>
    </w:p>
    <w:p w14:paraId="739AC075" w14:textId="7CA51656" w:rsidR="00A43B05" w:rsidRPr="00A8287A" w:rsidRDefault="00A43B05" w:rsidP="00A8287A">
      <w:pPr>
        <w:spacing w:line="480" w:lineRule="auto"/>
        <w:rPr>
          <w:rFonts w:ascii="Times New Roman" w:hAnsi="Times New Roman" w:cs="Times New Roman"/>
        </w:rPr>
      </w:pPr>
      <w:r w:rsidRPr="00A43B05">
        <w:rPr>
          <w:rFonts w:ascii="Times New Roman" w:hAnsi="Times New Roman" w:cs="Times New Roman"/>
        </w:rPr>
        <w:t xml:space="preserve">Market Segmentation and Product Positioning in Competitive Markets. (2025). </w:t>
      </w:r>
      <w:r w:rsidRPr="00A43B05">
        <w:rPr>
          <w:rFonts w:ascii="Times New Roman" w:hAnsi="Times New Roman" w:cs="Times New Roman"/>
          <w:i/>
          <w:iCs/>
        </w:rPr>
        <w:t>International Journal of Scientific Trends, 4</w:t>
      </w:r>
      <w:r w:rsidRPr="00A43B05">
        <w:rPr>
          <w:rFonts w:ascii="Times New Roman" w:hAnsi="Times New Roman" w:cs="Times New Roman"/>
        </w:rPr>
        <w:t xml:space="preserve">(2), 72-76. </w:t>
      </w:r>
      <w:hyperlink r:id="rId8" w:history="1">
        <w:r w:rsidRPr="00A12926">
          <w:rPr>
            <w:rStyle w:val="Hyperlink"/>
            <w:rFonts w:ascii="Times New Roman" w:hAnsi="Times New Roman" w:cs="Times New Roman"/>
          </w:rPr>
          <w:t>https://scientifictrends.org/index.php/ijst/article/view/500</w:t>
        </w:r>
      </w:hyperlink>
      <w:r>
        <w:rPr>
          <w:rFonts w:ascii="Times New Roman" w:hAnsi="Times New Roman" w:cs="Times New Roman"/>
        </w:rPr>
        <w:t xml:space="preserve"> </w:t>
      </w:r>
    </w:p>
    <w:p w14:paraId="2CBF714A" w14:textId="77777777" w:rsidR="00A8287A"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Okazaki, S. (2006). Online brand personality. </w:t>
      </w:r>
      <w:r w:rsidRPr="00A8287A">
        <w:rPr>
          <w:rFonts w:ascii="Times New Roman" w:hAnsi="Times New Roman" w:cs="Times New Roman"/>
          <w:i/>
          <w:iCs/>
        </w:rPr>
        <w:t>International Marketing Review, 23</w:t>
      </w:r>
      <w:r w:rsidRPr="00A8287A">
        <w:rPr>
          <w:rFonts w:ascii="Times New Roman" w:hAnsi="Times New Roman" w:cs="Times New Roman"/>
        </w:rPr>
        <w:t>(3), 279–303.</w:t>
      </w:r>
    </w:p>
    <w:p w14:paraId="34FE27E9" w14:textId="29549406" w:rsidR="00A8287A" w:rsidRPr="00A8287A"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Parasuraman, A., Zeithaml, V. A., &amp; Malhotra, V. (2005). E-S-QUAL: Assessing electronic service quality. </w:t>
      </w:r>
      <w:r w:rsidRPr="00A8287A">
        <w:rPr>
          <w:rFonts w:ascii="Times New Roman" w:hAnsi="Times New Roman" w:cs="Times New Roman"/>
          <w:i/>
          <w:iCs/>
        </w:rPr>
        <w:t>Journal of Service Research, 7</w:t>
      </w:r>
      <w:r w:rsidRPr="00A8287A">
        <w:rPr>
          <w:rFonts w:ascii="Times New Roman" w:hAnsi="Times New Roman" w:cs="Times New Roman"/>
        </w:rPr>
        <w:t>(3), 213–233.</w:t>
      </w:r>
    </w:p>
    <w:p w14:paraId="6AC0D004" w14:textId="77777777" w:rsidR="00A8287A"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Purnomo, Y. J. (2023). Digital marketing strategy to increase sales conversion. </w:t>
      </w:r>
      <w:r w:rsidRPr="00A8287A">
        <w:rPr>
          <w:rFonts w:ascii="Times New Roman" w:hAnsi="Times New Roman" w:cs="Times New Roman"/>
          <w:i/>
          <w:iCs/>
        </w:rPr>
        <w:t>ADMAN, 1</w:t>
      </w:r>
      <w:r w:rsidRPr="00A8287A">
        <w:rPr>
          <w:rFonts w:ascii="Times New Roman" w:hAnsi="Times New Roman" w:cs="Times New Roman"/>
        </w:rPr>
        <w:t>(2), 54–62.</w:t>
      </w:r>
    </w:p>
    <w:p w14:paraId="73810FB6" w14:textId="3EE6BFFC" w:rsidR="00A8287A" w:rsidRPr="00A8287A" w:rsidRDefault="00A8287A" w:rsidP="00A8287A">
      <w:pPr>
        <w:spacing w:line="480" w:lineRule="auto"/>
        <w:rPr>
          <w:rFonts w:ascii="Times New Roman" w:hAnsi="Times New Roman" w:cs="Times New Roman"/>
        </w:rPr>
      </w:pPr>
      <w:proofErr w:type="spellStart"/>
      <w:r w:rsidRPr="00A8287A">
        <w:rPr>
          <w:rFonts w:ascii="Times New Roman" w:hAnsi="Times New Roman" w:cs="Times New Roman"/>
        </w:rPr>
        <w:t>Rahardja</w:t>
      </w:r>
      <w:proofErr w:type="spellEnd"/>
      <w:r w:rsidRPr="00A8287A">
        <w:rPr>
          <w:rFonts w:ascii="Times New Roman" w:hAnsi="Times New Roman" w:cs="Times New Roman"/>
        </w:rPr>
        <w:t xml:space="preserve">, U., &amp; Aini, Q. (2025). Evaluating the effectiveness of digital marketing campaigns through conversion rates and engagement levels using </w:t>
      </w:r>
      <w:r w:rsidRPr="00A8287A">
        <w:rPr>
          <w:rFonts w:ascii="Times New Roman" w:hAnsi="Times New Roman" w:cs="Times New Roman"/>
        </w:rPr>
        <w:t>Anova</w:t>
      </w:r>
      <w:r w:rsidRPr="00A8287A">
        <w:rPr>
          <w:rFonts w:ascii="Times New Roman" w:hAnsi="Times New Roman" w:cs="Times New Roman"/>
        </w:rPr>
        <w:t xml:space="preserve"> and chi-square tests. </w:t>
      </w:r>
      <w:r w:rsidRPr="00A8287A">
        <w:rPr>
          <w:rFonts w:ascii="Times New Roman" w:hAnsi="Times New Roman" w:cs="Times New Roman"/>
          <w:i/>
          <w:iCs/>
        </w:rPr>
        <w:t>Journal of Digital Market and Digital Currency, 2</w:t>
      </w:r>
      <w:r w:rsidRPr="00A8287A">
        <w:rPr>
          <w:rFonts w:ascii="Times New Roman" w:hAnsi="Times New Roman" w:cs="Times New Roman"/>
        </w:rPr>
        <w:t>(1), 26-45.</w:t>
      </w:r>
    </w:p>
    <w:p w14:paraId="4E5B483B" w14:textId="77777777" w:rsidR="00A8287A" w:rsidRPr="00A8287A" w:rsidRDefault="00A8287A" w:rsidP="00A8287A">
      <w:pPr>
        <w:spacing w:line="480" w:lineRule="auto"/>
        <w:rPr>
          <w:rFonts w:ascii="Times New Roman" w:hAnsi="Times New Roman" w:cs="Times New Roman"/>
        </w:rPr>
      </w:pPr>
      <w:r w:rsidRPr="00A8287A">
        <w:rPr>
          <w:rFonts w:ascii="Times New Roman" w:hAnsi="Times New Roman" w:cs="Times New Roman"/>
        </w:rPr>
        <w:lastRenderedPageBreak/>
        <w:t xml:space="preserve">Tikkanen, H., et al. (2009). Success factors in virtual-world marketing. </w:t>
      </w:r>
      <w:r w:rsidRPr="00A8287A">
        <w:rPr>
          <w:rFonts w:ascii="Times New Roman" w:hAnsi="Times New Roman" w:cs="Times New Roman"/>
          <w:i/>
          <w:iCs/>
        </w:rPr>
        <w:t>Management Decision, 47</w:t>
      </w:r>
      <w:r w:rsidRPr="00A8287A">
        <w:rPr>
          <w:rFonts w:ascii="Times New Roman" w:hAnsi="Times New Roman" w:cs="Times New Roman"/>
        </w:rPr>
        <w:t>(8), 1357–1381.</w:t>
      </w:r>
    </w:p>
    <w:p w14:paraId="6065A660" w14:textId="09A015DF" w:rsidR="00A8287A"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Yu, S., Liu, Y., &amp; Hyun, E.-J. (2024). Website sophistication and consumer traffic. </w:t>
      </w:r>
      <w:r w:rsidRPr="00A8287A">
        <w:rPr>
          <w:rFonts w:ascii="Times New Roman" w:hAnsi="Times New Roman" w:cs="Times New Roman"/>
          <w:i/>
          <w:iCs/>
        </w:rPr>
        <w:t>Journal of Theoretical and Applied Electronic Commerce Research, 19</w:t>
      </w:r>
      <w:r w:rsidRPr="00A8287A">
        <w:rPr>
          <w:rFonts w:ascii="Times New Roman" w:hAnsi="Times New Roman" w:cs="Times New Roman"/>
        </w:rPr>
        <w:t>(3), 2051–2069</w:t>
      </w:r>
      <w:r>
        <w:rPr>
          <w:rFonts w:ascii="Times New Roman" w:hAnsi="Times New Roman" w:cs="Times New Roman"/>
        </w:rPr>
        <w:t>.</w:t>
      </w:r>
    </w:p>
    <w:p w14:paraId="158C1AAD" w14:textId="60CF3E90" w:rsidR="00EB0AD1" w:rsidRPr="00D53FB3" w:rsidRDefault="00A8287A" w:rsidP="00A8287A">
      <w:pPr>
        <w:spacing w:line="480" w:lineRule="auto"/>
        <w:rPr>
          <w:rFonts w:ascii="Times New Roman" w:hAnsi="Times New Roman" w:cs="Times New Roman"/>
        </w:rPr>
      </w:pPr>
      <w:r w:rsidRPr="00A8287A">
        <w:rPr>
          <w:rFonts w:ascii="Times New Roman" w:hAnsi="Times New Roman" w:cs="Times New Roman"/>
        </w:rPr>
        <w:t xml:space="preserve">Yeh, T. F., Chang, Y. C., Yang, S. Y., &amp; Yang, C. C. (2025). Effect of successful aging on technology acceptance: The moderating role of selection, optimization, and compensation strategies. </w:t>
      </w:r>
      <w:r w:rsidRPr="00A8287A">
        <w:rPr>
          <w:rFonts w:ascii="Times New Roman" w:hAnsi="Times New Roman" w:cs="Times New Roman"/>
          <w:i/>
          <w:iCs/>
        </w:rPr>
        <w:t>Social Science Computer Review, 43</w:t>
      </w:r>
      <w:r w:rsidRPr="00A8287A">
        <w:rPr>
          <w:rFonts w:ascii="Times New Roman" w:hAnsi="Times New Roman" w:cs="Times New Roman"/>
        </w:rPr>
        <w:t>(3), 649-671.</w:t>
      </w:r>
    </w:p>
    <w:sectPr w:rsidR="00EB0AD1" w:rsidRPr="00D53FB3" w:rsidSect="00A43B05">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837D9C" w14:textId="77777777" w:rsidR="006904BA" w:rsidRDefault="006904BA" w:rsidP="00D53FB3">
      <w:pPr>
        <w:spacing w:after="0" w:line="240" w:lineRule="auto"/>
      </w:pPr>
      <w:r>
        <w:separator/>
      </w:r>
    </w:p>
  </w:endnote>
  <w:endnote w:type="continuationSeparator" w:id="0">
    <w:p w14:paraId="650CA304" w14:textId="77777777" w:rsidR="006904BA" w:rsidRDefault="006904BA" w:rsidP="00D53F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1691668"/>
      <w:docPartObj>
        <w:docPartGallery w:val="Page Numbers (Bottom of Page)"/>
        <w:docPartUnique/>
      </w:docPartObj>
    </w:sdtPr>
    <w:sdtEndPr>
      <w:rPr>
        <w:noProof/>
      </w:rPr>
    </w:sdtEndPr>
    <w:sdtContent>
      <w:p w14:paraId="49493E95" w14:textId="104DB2FE" w:rsidR="00D53FB3" w:rsidRDefault="00D53F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31C918" w14:textId="77777777" w:rsidR="00D53FB3" w:rsidRDefault="00D53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14922" w14:textId="77777777" w:rsidR="006904BA" w:rsidRDefault="006904BA" w:rsidP="00D53FB3">
      <w:pPr>
        <w:spacing w:after="0" w:line="240" w:lineRule="auto"/>
      </w:pPr>
      <w:r>
        <w:separator/>
      </w:r>
    </w:p>
  </w:footnote>
  <w:footnote w:type="continuationSeparator" w:id="0">
    <w:p w14:paraId="11FB9664" w14:textId="77777777" w:rsidR="006904BA" w:rsidRDefault="006904BA" w:rsidP="00D53F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653A92"/>
    <w:multiLevelType w:val="hybridMultilevel"/>
    <w:tmpl w:val="390E4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0433F4"/>
    <w:multiLevelType w:val="hybridMultilevel"/>
    <w:tmpl w:val="88FCC7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5559432">
    <w:abstractNumId w:val="0"/>
  </w:num>
  <w:num w:numId="2" w16cid:durableId="4408806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FB3"/>
    <w:rsid w:val="006904BA"/>
    <w:rsid w:val="00A43B05"/>
    <w:rsid w:val="00A8287A"/>
    <w:rsid w:val="00D02960"/>
    <w:rsid w:val="00D53FB3"/>
    <w:rsid w:val="00E6243C"/>
    <w:rsid w:val="00E93CB2"/>
    <w:rsid w:val="00EB0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9E51E"/>
  <w15:chartTrackingRefBased/>
  <w15:docId w15:val="{8A7D688A-2E3A-445A-958A-4D614D60F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3F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3F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3F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3F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3F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3F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3F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3F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3F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3F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3F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3F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3F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3F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3F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3F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3F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3FB3"/>
    <w:rPr>
      <w:rFonts w:eastAsiaTheme="majorEastAsia" w:cstheme="majorBidi"/>
      <w:color w:val="272727" w:themeColor="text1" w:themeTint="D8"/>
    </w:rPr>
  </w:style>
  <w:style w:type="paragraph" w:styleId="Title">
    <w:name w:val="Title"/>
    <w:basedOn w:val="Normal"/>
    <w:next w:val="Normal"/>
    <w:link w:val="TitleChar"/>
    <w:uiPriority w:val="10"/>
    <w:qFormat/>
    <w:rsid w:val="00D53F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3F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3F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3F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3FB3"/>
    <w:pPr>
      <w:spacing w:before="160"/>
      <w:jc w:val="center"/>
    </w:pPr>
    <w:rPr>
      <w:i/>
      <w:iCs/>
      <w:color w:val="404040" w:themeColor="text1" w:themeTint="BF"/>
    </w:rPr>
  </w:style>
  <w:style w:type="character" w:customStyle="1" w:styleId="QuoteChar">
    <w:name w:val="Quote Char"/>
    <w:basedOn w:val="DefaultParagraphFont"/>
    <w:link w:val="Quote"/>
    <w:uiPriority w:val="29"/>
    <w:rsid w:val="00D53FB3"/>
    <w:rPr>
      <w:i/>
      <w:iCs/>
      <w:color w:val="404040" w:themeColor="text1" w:themeTint="BF"/>
    </w:rPr>
  </w:style>
  <w:style w:type="paragraph" w:styleId="ListParagraph">
    <w:name w:val="List Paragraph"/>
    <w:basedOn w:val="Normal"/>
    <w:uiPriority w:val="34"/>
    <w:qFormat/>
    <w:rsid w:val="00D53FB3"/>
    <w:pPr>
      <w:ind w:left="720"/>
      <w:contextualSpacing/>
    </w:pPr>
  </w:style>
  <w:style w:type="character" w:styleId="IntenseEmphasis">
    <w:name w:val="Intense Emphasis"/>
    <w:basedOn w:val="DefaultParagraphFont"/>
    <w:uiPriority w:val="21"/>
    <w:qFormat/>
    <w:rsid w:val="00D53FB3"/>
    <w:rPr>
      <w:i/>
      <w:iCs/>
      <w:color w:val="0F4761" w:themeColor="accent1" w:themeShade="BF"/>
    </w:rPr>
  </w:style>
  <w:style w:type="paragraph" w:styleId="IntenseQuote">
    <w:name w:val="Intense Quote"/>
    <w:basedOn w:val="Normal"/>
    <w:next w:val="Normal"/>
    <w:link w:val="IntenseQuoteChar"/>
    <w:uiPriority w:val="30"/>
    <w:qFormat/>
    <w:rsid w:val="00D53F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3FB3"/>
    <w:rPr>
      <w:i/>
      <w:iCs/>
      <w:color w:val="0F4761" w:themeColor="accent1" w:themeShade="BF"/>
    </w:rPr>
  </w:style>
  <w:style w:type="character" w:styleId="IntenseReference">
    <w:name w:val="Intense Reference"/>
    <w:basedOn w:val="DefaultParagraphFont"/>
    <w:uiPriority w:val="32"/>
    <w:qFormat/>
    <w:rsid w:val="00D53FB3"/>
    <w:rPr>
      <w:b/>
      <w:bCs/>
      <w:smallCaps/>
      <w:color w:val="0F4761" w:themeColor="accent1" w:themeShade="BF"/>
      <w:spacing w:val="5"/>
    </w:rPr>
  </w:style>
  <w:style w:type="paragraph" w:styleId="Header">
    <w:name w:val="header"/>
    <w:basedOn w:val="Normal"/>
    <w:link w:val="HeaderChar"/>
    <w:uiPriority w:val="99"/>
    <w:unhideWhenUsed/>
    <w:rsid w:val="00D53F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FB3"/>
  </w:style>
  <w:style w:type="paragraph" w:styleId="Footer">
    <w:name w:val="footer"/>
    <w:basedOn w:val="Normal"/>
    <w:link w:val="FooterChar"/>
    <w:uiPriority w:val="99"/>
    <w:unhideWhenUsed/>
    <w:rsid w:val="00D53F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FB3"/>
  </w:style>
  <w:style w:type="character" w:styleId="Hyperlink">
    <w:name w:val="Hyperlink"/>
    <w:basedOn w:val="DefaultParagraphFont"/>
    <w:uiPriority w:val="99"/>
    <w:unhideWhenUsed/>
    <w:rsid w:val="00A8287A"/>
    <w:rPr>
      <w:color w:val="467886" w:themeColor="hyperlink"/>
      <w:u w:val="single"/>
    </w:rPr>
  </w:style>
  <w:style w:type="character" w:styleId="UnresolvedMention">
    <w:name w:val="Unresolved Mention"/>
    <w:basedOn w:val="DefaultParagraphFont"/>
    <w:uiPriority w:val="99"/>
    <w:semiHidden/>
    <w:unhideWhenUsed/>
    <w:rsid w:val="00A8287A"/>
    <w:rPr>
      <w:color w:val="605E5C"/>
      <w:shd w:val="clear" w:color="auto" w:fill="E1DFDD"/>
    </w:rPr>
  </w:style>
  <w:style w:type="paragraph" w:styleId="NoSpacing">
    <w:name w:val="No Spacing"/>
    <w:link w:val="NoSpacingChar"/>
    <w:uiPriority w:val="1"/>
    <w:qFormat/>
    <w:rsid w:val="00A43B0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43B0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ientifictrends.org/index.php/ijst/article/view/500" TargetMode="External"/><Relationship Id="rId3" Type="http://schemas.openxmlformats.org/officeDocument/2006/relationships/settings" Target="settings.xml"/><Relationship Id="rId7" Type="http://schemas.openxmlformats.org/officeDocument/2006/relationships/hyperlink" Target="https://hubspo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TotalTime>
  <Pages>14</Pages>
  <Words>2824</Words>
  <Characters>16103</Characters>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cp:keywords/>
  <dc:description/>
  <dcterms:created xsi:type="dcterms:W3CDTF">2026-01-04T20:16:00Z</dcterms:created>
  <dcterms:modified xsi:type="dcterms:W3CDTF">2026-01-04T21:16:00Z</dcterms:modified>
</cp:coreProperties>
</file>