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47554" w14:textId="2C808DC5" w:rsidR="0083119C" w:rsidRDefault="0083119C" w:rsidP="005031C6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>
        <w:rPr>
          <w:noProof/>
        </w:rPr>
        <w:drawing>
          <wp:inline distT="0" distB="0" distL="0" distR="0" wp14:anchorId="67C62499" wp14:editId="27CE8792">
            <wp:extent cx="3248025" cy="1581150"/>
            <wp:effectExtent l="0" t="0" r="635" b="1270"/>
            <wp:docPr id="129144691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87823E2E-2335-4FC8-9F03-D14211B9B9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44691" name="Picture 12914469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92D84F3">
        <w:rPr>
          <w:rFonts w:eastAsia="Times New Roman" w:cs="Times New Roman"/>
          <w:color w:val="000000" w:themeColor="text1"/>
          <w:lang w:val="en-US"/>
        </w:rPr>
        <w:t xml:space="preserve"> </w:t>
      </w:r>
      <w:r w:rsidR="005031C6">
        <w:rPr>
          <w:rFonts w:eastAsia="Times New Roman" w:cs="Times New Roman"/>
          <w:noProof/>
          <w:color w:val="000000" w:themeColor="text1"/>
          <w:lang w:val="en-US"/>
        </w:rPr>
        <w:drawing>
          <wp:inline distT="0" distB="0" distL="0" distR="0" wp14:anchorId="083A1DAB" wp14:editId="489EFC55">
            <wp:extent cx="3893906" cy="1228708"/>
            <wp:effectExtent l="0" t="0" r="0" b="0"/>
            <wp:docPr id="1341282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3" t="21497" r="1991" b="23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906" cy="122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5F327" w14:textId="0B659531" w:rsidR="0083119C" w:rsidRDefault="0083119C" w:rsidP="0083119C">
      <w:pPr>
        <w:spacing w:after="120"/>
        <w:jc w:val="both"/>
        <w:rPr>
          <w:rFonts w:eastAsia="Times New Roman" w:cs="Times New Roman"/>
          <w:color w:val="000000" w:themeColor="text1"/>
          <w:lang w:val="en-US"/>
        </w:rPr>
      </w:pPr>
    </w:p>
    <w:p w14:paraId="13EDFEA1" w14:textId="58C7702F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b/>
          <w:bCs/>
          <w:color w:val="000000" w:themeColor="text1"/>
          <w:lang w:val="en-US"/>
        </w:rPr>
        <w:t>MODULE NAME:</w:t>
      </w:r>
      <w:r w:rsidRPr="792D84F3">
        <w:rPr>
          <w:rFonts w:eastAsia="Times New Roman" w:cs="Times New Roman"/>
          <w:color w:val="000000" w:themeColor="text1"/>
          <w:lang w:val="en-US"/>
        </w:rPr>
        <w:t xml:space="preserve"> </w:t>
      </w:r>
      <w:r w:rsidR="00DC0E8A" w:rsidRPr="00DC0E8A">
        <w:rPr>
          <w:rFonts w:eastAsia="Times New Roman" w:cs="Times New Roman"/>
        </w:rPr>
        <w:t>Study Skills for Psychology</w:t>
      </w:r>
    </w:p>
    <w:p w14:paraId="2C4E29B3" w14:textId="39661674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b/>
          <w:bCs/>
          <w:color w:val="000000" w:themeColor="text1"/>
          <w:lang w:val="en-US"/>
        </w:rPr>
        <w:t xml:space="preserve">MODULE CODE: </w:t>
      </w:r>
      <w:r w:rsidR="00DC0E8A" w:rsidRPr="00DC0E8A">
        <w:rPr>
          <w:rFonts w:eastAsia="Times New Roman" w:cs="Times New Roman"/>
        </w:rPr>
        <w:t>MWPS4005</w:t>
      </w:r>
    </w:p>
    <w:p w14:paraId="4DA28F3E" w14:textId="62176E66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b/>
          <w:bCs/>
          <w:color w:val="000000" w:themeColor="text1"/>
          <w:lang w:val="en-US"/>
        </w:rPr>
        <w:t xml:space="preserve">SEMESTER: </w:t>
      </w:r>
      <w:r w:rsidR="00172561" w:rsidRPr="00172561">
        <w:rPr>
          <w:rFonts w:eastAsia="Times New Roman" w:cs="Times New Roman"/>
          <w:color w:val="000000" w:themeColor="text1"/>
          <w:lang w:val="en-US"/>
        </w:rPr>
        <w:t>J</w:t>
      </w:r>
      <w:r w:rsidR="00172561" w:rsidRPr="792D84F3">
        <w:rPr>
          <w:rFonts w:eastAsia="Times New Roman" w:cs="Times New Roman"/>
          <w:color w:val="000000" w:themeColor="text1"/>
          <w:lang w:val="en-US"/>
        </w:rPr>
        <w:t>une</w:t>
      </w:r>
      <w:r w:rsidRPr="792D84F3">
        <w:rPr>
          <w:rFonts w:eastAsia="Times New Roman" w:cs="Times New Roman"/>
          <w:color w:val="000000" w:themeColor="text1"/>
          <w:lang w:val="en-US"/>
        </w:rPr>
        <w:t xml:space="preserve"> 2026</w:t>
      </w:r>
    </w:p>
    <w:p w14:paraId="705E27D8" w14:textId="6B9CCFE2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b/>
          <w:bCs/>
          <w:color w:val="000000" w:themeColor="text1"/>
          <w:lang w:val="en-US"/>
        </w:rPr>
        <w:t xml:space="preserve">LECTURER’S NAME: </w:t>
      </w:r>
      <w:r w:rsidR="00DC0E8A" w:rsidRPr="00DC0E8A">
        <w:rPr>
          <w:rFonts w:eastAsia="Times New Roman" w:cs="Times New Roman"/>
          <w:color w:val="000000" w:themeColor="text1"/>
        </w:rPr>
        <w:t>Karen Eaton-Thomas</w:t>
      </w:r>
    </w:p>
    <w:p w14:paraId="672B8001" w14:textId="77777777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color w:val="000000" w:themeColor="text1"/>
          <w:lang w:val="en-US"/>
        </w:rPr>
        <w:t xml:space="preserve"> </w:t>
      </w:r>
    </w:p>
    <w:p w14:paraId="0ADA8DFE" w14:textId="77777777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b/>
          <w:bCs/>
          <w:color w:val="000000" w:themeColor="text1"/>
          <w:lang w:val="en-US"/>
        </w:rPr>
        <w:t>ASSIGNMENT (WRITTEN REPORT)</w:t>
      </w:r>
    </w:p>
    <w:p w14:paraId="7D8604C3" w14:textId="77777777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792D84F3">
        <w:rPr>
          <w:rFonts w:eastAsia="Times New Roman" w:cs="Times New Roman"/>
          <w:color w:val="000000" w:themeColor="text1"/>
          <w:lang w:val="en-US"/>
        </w:rPr>
        <w:t xml:space="preserve"> </w:t>
      </w:r>
    </w:p>
    <w:p w14:paraId="1971B596" w14:textId="77777777" w:rsidR="0083119C" w:rsidRDefault="0083119C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 w:rsidRPr="52C0146B">
        <w:rPr>
          <w:rFonts w:eastAsia="Times New Roman" w:cs="Times New Roman"/>
          <w:b/>
          <w:bCs/>
          <w:color w:val="000000" w:themeColor="text1"/>
          <w:lang w:val="en-US"/>
        </w:rPr>
        <w:t>ASSIGNMENT TITLE:</w:t>
      </w:r>
    </w:p>
    <w:p w14:paraId="3A500200" w14:textId="203ECD44" w:rsidR="0083119C" w:rsidRDefault="00DC0E8A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>
        <w:rPr>
          <w:rFonts w:eastAsia="Times New Roman" w:cs="Times New Roman"/>
          <w:color w:val="000000" w:themeColor="text1"/>
          <w:lang w:val="en-US"/>
        </w:rPr>
        <w:t>E-Portfolio</w:t>
      </w:r>
    </w:p>
    <w:p w14:paraId="2A6990EB" w14:textId="77777777" w:rsidR="0083119C" w:rsidRDefault="0083119C" w:rsidP="0083119C">
      <w:pPr>
        <w:spacing w:after="120"/>
        <w:jc w:val="center"/>
        <w:rPr>
          <w:rFonts w:eastAsia="Times New Roman" w:cs="Times New Roman"/>
          <w:b/>
          <w:bCs/>
          <w:color w:val="000000" w:themeColor="text1"/>
          <w:lang w:val="en-US"/>
        </w:rPr>
      </w:pPr>
      <w:r>
        <w:rPr>
          <w:rFonts w:eastAsia="Times New Roman" w:cs="Times New Roman"/>
          <w:b/>
          <w:bCs/>
          <w:color w:val="000000" w:themeColor="text1"/>
          <w:lang w:val="en-US"/>
        </w:rPr>
        <w:t>DATE OF SUBMISSION:</w:t>
      </w:r>
    </w:p>
    <w:p w14:paraId="2EE955D3" w14:textId="0BC9990A" w:rsidR="0083119C" w:rsidRDefault="00F80096" w:rsidP="0083119C">
      <w:pPr>
        <w:spacing w:after="120"/>
        <w:jc w:val="center"/>
        <w:rPr>
          <w:rFonts w:eastAsia="Times New Roman" w:cs="Times New Roman"/>
          <w:color w:val="000000" w:themeColor="text1"/>
          <w:lang w:val="en-US"/>
        </w:rPr>
      </w:pPr>
      <w:r>
        <w:rPr>
          <w:rFonts w:eastAsia="Times New Roman" w:cs="Times New Roman"/>
          <w:color w:val="000000" w:themeColor="text1"/>
          <w:lang w:val="en-US"/>
        </w:rPr>
        <w:t>7</w:t>
      </w:r>
      <w:r w:rsidRPr="00F80096">
        <w:rPr>
          <w:rFonts w:eastAsia="Times New Roman" w:cs="Times New Roman"/>
          <w:color w:val="000000" w:themeColor="text1"/>
          <w:vertAlign w:val="superscript"/>
          <w:lang w:val="en-US"/>
        </w:rPr>
        <w:t>th</w:t>
      </w:r>
      <w:r>
        <w:rPr>
          <w:rFonts w:eastAsia="Times New Roman" w:cs="Times New Roman"/>
          <w:color w:val="000000" w:themeColor="text1"/>
          <w:lang w:val="en-US"/>
        </w:rPr>
        <w:t xml:space="preserve"> September </w:t>
      </w:r>
      <w:r w:rsidR="00FC6430">
        <w:rPr>
          <w:rFonts w:eastAsia="Times New Roman" w:cs="Times New Roman"/>
          <w:color w:val="000000" w:themeColor="text1"/>
          <w:lang w:val="en-US"/>
        </w:rPr>
        <w:t>2026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4785"/>
        <w:gridCol w:w="3810"/>
      </w:tblGrid>
      <w:tr w:rsidR="0083119C" w14:paraId="46E0B2D6" w14:textId="77777777" w:rsidTr="0074141D">
        <w:trPr>
          <w:trHeight w:val="180"/>
        </w:trPr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88E39F2" w14:textId="77777777" w:rsidR="0083119C" w:rsidRDefault="0083119C" w:rsidP="0074141D">
            <w:pPr>
              <w:spacing w:after="120"/>
              <w:jc w:val="center"/>
              <w:rPr>
                <w:rFonts w:eastAsia="Times New Roman" w:cs="Times New Roman"/>
                <w:lang w:val="en-US"/>
              </w:rPr>
            </w:pPr>
            <w:r w:rsidRPr="792D84F3">
              <w:rPr>
                <w:rFonts w:eastAsia="Times New Roman" w:cs="Times New Roman"/>
                <w:b/>
                <w:bCs/>
                <w:lang w:val="en-US"/>
              </w:rPr>
              <w:t>STUDENT’S NAME</w:t>
            </w:r>
          </w:p>
        </w:tc>
        <w:tc>
          <w:tcPr>
            <w:tcW w:w="3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351DEE5" w14:textId="77777777" w:rsidR="0083119C" w:rsidRDefault="0083119C" w:rsidP="0074141D">
            <w:pPr>
              <w:spacing w:after="120"/>
              <w:jc w:val="center"/>
              <w:rPr>
                <w:rFonts w:eastAsia="Times New Roman" w:cs="Times New Roman"/>
                <w:lang w:val="en-US"/>
              </w:rPr>
            </w:pPr>
            <w:r w:rsidRPr="792D84F3">
              <w:rPr>
                <w:rFonts w:eastAsia="Times New Roman" w:cs="Times New Roman"/>
                <w:b/>
                <w:bCs/>
                <w:lang w:val="en-US"/>
              </w:rPr>
              <w:t>MATRIC NO. / STUDENT ID</w:t>
            </w:r>
          </w:p>
        </w:tc>
      </w:tr>
      <w:tr w:rsidR="0083119C" w14:paraId="54554F0A" w14:textId="77777777" w:rsidTr="0074141D">
        <w:trPr>
          <w:trHeight w:val="180"/>
        </w:trPr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53985B3" w14:textId="5B835620" w:rsidR="0083119C" w:rsidRDefault="009A3CF7" w:rsidP="0074141D">
            <w:pPr>
              <w:jc w:val="center"/>
              <w:rPr>
                <w:rFonts w:eastAsia="Times New Roman" w:cs="Times New Roman"/>
                <w:lang w:val="en-US"/>
              </w:rPr>
            </w:pPr>
            <w:r w:rsidRPr="00DF5AE2">
              <w:rPr>
                <w:rFonts w:eastAsia="Times New Roman" w:cs="Times New Roman"/>
                <w:lang w:val="en-US"/>
              </w:rPr>
              <w:t>Natalia Alyssa Binti Badaruddin</w:t>
            </w:r>
          </w:p>
        </w:tc>
        <w:tc>
          <w:tcPr>
            <w:tcW w:w="38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ACAE237" w14:textId="4671D525" w:rsidR="0083119C" w:rsidRDefault="00FC6430" w:rsidP="00FC6430">
            <w:pPr>
              <w:jc w:val="center"/>
              <w:rPr>
                <w:rFonts w:eastAsia="Times New Roman" w:cs="Times New Roman"/>
                <w:lang w:val="en-US"/>
              </w:rPr>
            </w:pPr>
            <w:r w:rsidRPr="00FC6430">
              <w:rPr>
                <w:rFonts w:eastAsia="Times New Roman" w:cs="Times New Roman"/>
              </w:rPr>
              <w:t>2538282</w:t>
            </w:r>
          </w:p>
        </w:tc>
      </w:tr>
    </w:tbl>
    <w:p w14:paraId="413CB896" w14:textId="1DDB2F7A" w:rsidR="00BB2201" w:rsidRDefault="00BB2201" w:rsidP="006E0BDB">
      <w:pPr>
        <w:jc w:val="both"/>
      </w:pPr>
    </w:p>
    <w:p w14:paraId="451C5738" w14:textId="77777777" w:rsidR="008B6048" w:rsidRDefault="00BB2201" w:rsidP="008B6048">
      <w:pPr>
        <w:spacing w:line="259" w:lineRule="auto"/>
      </w:pPr>
      <w:r>
        <w:br w:type="page"/>
      </w:r>
    </w:p>
    <w:p w14:paraId="3429B2D7" w14:textId="020ECD16" w:rsidR="008B6048" w:rsidRPr="00172561" w:rsidRDefault="008B6048" w:rsidP="008B6048">
      <w:pPr>
        <w:spacing w:line="259" w:lineRule="auto"/>
        <w:jc w:val="center"/>
      </w:pPr>
      <w:r>
        <w:rPr>
          <w:b/>
          <w:bCs/>
        </w:rPr>
        <w:lastRenderedPageBreak/>
        <w:t>Acknowledgement</w:t>
      </w:r>
    </w:p>
    <w:p w14:paraId="7CB925DF" w14:textId="34A0BFE2" w:rsidR="008B6048" w:rsidRDefault="008B6048" w:rsidP="003C25C2">
      <w:pPr>
        <w:jc w:val="both"/>
      </w:pPr>
      <w:r>
        <w:t xml:space="preserve">I confirm that I have not used any AI tools in the research and creation of this assignment. I </w:t>
      </w:r>
      <w:r w:rsidR="003C25C2">
        <w:t>c</w:t>
      </w:r>
      <w:r>
        <w:t>onfirm that I have not presented any AI generated materials as my own</w:t>
      </w:r>
      <w:r w:rsidR="003C25C2">
        <w:t xml:space="preserve"> </w:t>
      </w:r>
      <w:r>
        <w:t>work. I confirm I have copies of my drafts, notes, and other resources I used, which I</w:t>
      </w:r>
      <w:r w:rsidR="003C25C2">
        <w:t xml:space="preserve"> </w:t>
      </w:r>
      <w:r>
        <w:t>may be asked to provide in evidence</w:t>
      </w:r>
      <w:r w:rsidR="00172561">
        <w:t>.</w:t>
      </w:r>
    </w:p>
    <w:p w14:paraId="44845015" w14:textId="77777777" w:rsidR="00BB2201" w:rsidRDefault="00BB2201" w:rsidP="003C25C2">
      <w:pPr>
        <w:spacing w:line="259" w:lineRule="auto"/>
      </w:pPr>
    </w:p>
    <w:p w14:paraId="459F7B91" w14:textId="77777777" w:rsidR="008B6048" w:rsidRDefault="008B6048">
      <w:pPr>
        <w:spacing w:line="259" w:lineRule="auto"/>
        <w:rPr>
          <w:b/>
          <w:bCs/>
        </w:rPr>
      </w:pPr>
      <w:r>
        <w:rPr>
          <w:b/>
          <w:bCs/>
        </w:rPr>
        <w:br w:type="page"/>
      </w:r>
    </w:p>
    <w:p w14:paraId="60184350" w14:textId="3DECEF27" w:rsidR="00AD22FB" w:rsidRPr="00050A1C" w:rsidRDefault="00BB2201" w:rsidP="00050A1C">
      <w:pPr>
        <w:pStyle w:val="HeadingL1"/>
      </w:pPr>
      <w:r w:rsidRPr="00050A1C">
        <w:lastRenderedPageBreak/>
        <w:t>Task 1</w:t>
      </w:r>
      <w:r w:rsidR="00FF508A" w:rsidRPr="00050A1C">
        <w:t xml:space="preserve"> (</w:t>
      </w:r>
      <w:r w:rsidR="00211FC1" w:rsidRPr="00050A1C">
        <w:t>Paraphrase- 600 words</w:t>
      </w:r>
      <w:r w:rsidR="00FF508A" w:rsidRPr="00050A1C">
        <w:t>)</w:t>
      </w:r>
    </w:p>
    <w:p w14:paraId="405B9E15" w14:textId="77777777" w:rsidR="00945AB2" w:rsidRDefault="008F6379" w:rsidP="00032389">
      <w:pPr>
        <w:ind w:firstLine="720"/>
        <w:jc w:val="both"/>
      </w:pPr>
      <w:r>
        <w:t>Conformity, by definition, refers to the act of</w:t>
      </w:r>
      <w:r w:rsidR="00CE3A15">
        <w:t xml:space="preserve"> submitting </w:t>
      </w:r>
      <w:r w:rsidR="0059505F">
        <w:t>to</w:t>
      </w:r>
      <w:r w:rsidR="00773506">
        <w:t xml:space="preserve"> </w:t>
      </w:r>
      <w:r w:rsidR="00206C82">
        <w:t>a</w:t>
      </w:r>
      <w:r w:rsidR="00A801F9">
        <w:t>n invisible social obligation norm</w:t>
      </w:r>
      <w:r w:rsidR="00BC7203">
        <w:t>.</w:t>
      </w:r>
      <w:r w:rsidR="00426B92">
        <w:t xml:space="preserve"> </w:t>
      </w:r>
      <w:r w:rsidR="00516129">
        <w:t xml:space="preserve">While there is no </w:t>
      </w:r>
      <w:r w:rsidR="00B32076">
        <w:t xml:space="preserve">legal </w:t>
      </w:r>
      <w:r w:rsidR="00516129">
        <w:t xml:space="preserve">law indicating how an individual should behave or act within </w:t>
      </w:r>
      <w:r w:rsidR="00751A8F">
        <w:t xml:space="preserve">a </w:t>
      </w:r>
      <w:r w:rsidR="00516129">
        <w:t xml:space="preserve">social circle, </w:t>
      </w:r>
      <w:r w:rsidR="00B32076">
        <w:t xml:space="preserve">there is an </w:t>
      </w:r>
      <w:r w:rsidR="00751A8F">
        <w:t xml:space="preserve">unspoken </w:t>
      </w:r>
      <w:r w:rsidR="00B32076">
        <w:t>understanding of how one should</w:t>
      </w:r>
      <w:r w:rsidR="00242F78">
        <w:t xml:space="preserve"> carry themselves if they wish to </w:t>
      </w:r>
      <w:r w:rsidR="009F2208">
        <w:t>be accepted and retained within said social circle</w:t>
      </w:r>
      <w:r w:rsidR="004962F1">
        <w:t xml:space="preserve">. This social circle can manifest in one of two ways: </w:t>
      </w:r>
      <w:r w:rsidR="00C70F07">
        <w:t xml:space="preserve">membership groups or reference groups. The former referring to familial or friendship ties while the latter </w:t>
      </w:r>
      <w:r w:rsidR="001B41CE">
        <w:t>refers to</w:t>
      </w:r>
      <w:r w:rsidR="00FA245E">
        <w:t xml:space="preserve"> adhering to an ideal (person or persons)</w:t>
      </w:r>
      <w:r w:rsidR="00151299">
        <w:t>.</w:t>
      </w:r>
      <w:r w:rsidR="00220801">
        <w:t xml:space="preserve"> An individual subscribes themselves to th</w:t>
      </w:r>
      <w:r w:rsidR="003D002E">
        <w:t>is</w:t>
      </w:r>
      <w:r w:rsidR="00220801">
        <w:t xml:space="preserve"> idea</w:t>
      </w:r>
      <w:r w:rsidR="00293190">
        <w:t>l</w:t>
      </w:r>
      <w:r w:rsidR="003D002E">
        <w:t xml:space="preserve"> as to </w:t>
      </w:r>
      <w:r w:rsidR="00E62A30">
        <w:t xml:space="preserve">be accepted </w:t>
      </w:r>
      <w:r w:rsidR="003E4BD8">
        <w:t xml:space="preserve">by those around them and avoid being a social outcast. </w:t>
      </w:r>
    </w:p>
    <w:p w14:paraId="2DD4F01F" w14:textId="3306348A" w:rsidR="00CC5803" w:rsidRDefault="00F2714B" w:rsidP="00945AB2">
      <w:pPr>
        <w:ind w:firstLine="720"/>
        <w:jc w:val="both"/>
      </w:pPr>
      <w:r>
        <w:t>One such subscription model is called the majority influence</w:t>
      </w:r>
      <w:r w:rsidR="006F5ACB">
        <w:t>. This occurs when</w:t>
      </w:r>
      <w:r w:rsidR="001910D9">
        <w:t xml:space="preserve"> </w:t>
      </w:r>
      <w:r w:rsidR="0041594C">
        <w:t xml:space="preserve">the individuals in the group </w:t>
      </w:r>
      <w:r w:rsidR="00D15A39">
        <w:t xml:space="preserve">who </w:t>
      </w:r>
      <w:r w:rsidR="0041594C">
        <w:t>conform</w:t>
      </w:r>
      <w:r w:rsidR="00D15A39">
        <w:t>s</w:t>
      </w:r>
      <w:r w:rsidR="0041594C">
        <w:t xml:space="preserve"> to an idea/ideal far</w:t>
      </w:r>
      <w:r w:rsidR="001619AC">
        <w:t xml:space="preserve"> outnumber </w:t>
      </w:r>
      <w:r w:rsidR="00D15A39">
        <w:t>the ones who do not.</w:t>
      </w:r>
      <w:r w:rsidR="00F6129E">
        <w:t xml:space="preserve"> </w:t>
      </w:r>
      <w:r w:rsidR="002F7AF6">
        <w:t xml:space="preserve">A study conducted </w:t>
      </w:r>
      <w:r w:rsidR="00113912">
        <w:t xml:space="preserve">by </w:t>
      </w:r>
      <w:r w:rsidR="00144B2D">
        <w:t xml:space="preserve">Muzafer </w:t>
      </w:r>
      <w:r w:rsidR="00113912">
        <w:t xml:space="preserve">Sherif in </w:t>
      </w:r>
      <w:r w:rsidR="00C4720A">
        <w:t>1935 set out to test</w:t>
      </w:r>
      <w:r w:rsidR="0074116A">
        <w:t xml:space="preserve"> group conformity</w:t>
      </w:r>
      <w:r w:rsidR="002B0210">
        <w:t>.</w:t>
      </w:r>
      <w:r w:rsidR="002A6B83">
        <w:t xml:space="preserve"> As illustrated by Sheri</w:t>
      </w:r>
      <w:r w:rsidR="00B00D27">
        <w:t>f (1937),</w:t>
      </w:r>
      <w:r w:rsidR="002B0210">
        <w:t xml:space="preserve"> </w:t>
      </w:r>
      <w:r w:rsidR="00B00D27">
        <w:t>h</w:t>
      </w:r>
      <w:r w:rsidR="00945AB2">
        <w:t xml:space="preserve">e </w:t>
      </w:r>
      <w:r w:rsidR="00606206">
        <w:t xml:space="preserve">used a visual trick of light called </w:t>
      </w:r>
      <w:r w:rsidR="00606206">
        <w:rPr>
          <w:i/>
          <w:iCs/>
        </w:rPr>
        <w:t xml:space="preserve">The Autokinetic </w:t>
      </w:r>
      <w:r w:rsidR="007F35CA">
        <w:rPr>
          <w:i/>
          <w:iCs/>
        </w:rPr>
        <w:t>Effect</w:t>
      </w:r>
      <w:r w:rsidR="007F35CA">
        <w:t xml:space="preserve"> in which </w:t>
      </w:r>
      <w:r w:rsidR="00803595">
        <w:t>a spot of light</w:t>
      </w:r>
      <w:r w:rsidR="00632D36">
        <w:t xml:space="preserve"> illuminated a dark room</w:t>
      </w:r>
      <w:r w:rsidR="00F1671B">
        <w:t xml:space="preserve"> in a fixed position</w:t>
      </w:r>
      <w:r w:rsidR="00105E72">
        <w:t>.</w:t>
      </w:r>
      <w:r w:rsidR="00F3614E">
        <w:t xml:space="preserve"> </w:t>
      </w:r>
      <w:r w:rsidR="00B71A93">
        <w:t>However, h</w:t>
      </w:r>
      <w:r w:rsidR="00F3614E">
        <w:t>e</w:t>
      </w:r>
      <w:r w:rsidR="00B25646">
        <w:t xml:space="preserve"> </w:t>
      </w:r>
      <w:r w:rsidR="003F771A">
        <w:t xml:space="preserve">told the participants that he was going to move the light and </w:t>
      </w:r>
      <w:r w:rsidR="00B15796">
        <w:t>instructed</w:t>
      </w:r>
      <w:r w:rsidR="0073635A">
        <w:t xml:space="preserve"> the</w:t>
      </w:r>
      <w:r w:rsidR="003F771A">
        <w:t>m</w:t>
      </w:r>
      <w:r w:rsidR="0073635A">
        <w:t xml:space="preserve"> </w:t>
      </w:r>
      <w:r w:rsidR="00002E18">
        <w:t xml:space="preserve">to roughly measure the distance between the originating point and the </w:t>
      </w:r>
      <w:r w:rsidR="00C00EAA">
        <w:t>next</w:t>
      </w:r>
      <w:r w:rsidR="00AD7477">
        <w:t xml:space="preserve"> point</w:t>
      </w:r>
      <w:r w:rsidR="00762E91">
        <w:t>. After which, he took the estimates</w:t>
      </w:r>
      <w:r w:rsidR="00692BDB">
        <w:t xml:space="preserve"> from </w:t>
      </w:r>
      <w:r w:rsidR="00237D2A">
        <w:t>the individuals separately</w:t>
      </w:r>
      <w:r w:rsidR="00C42900">
        <w:t xml:space="preserve">. He then placed these individuals in groups </w:t>
      </w:r>
      <w:r w:rsidR="001B5E34">
        <w:t xml:space="preserve">where </w:t>
      </w:r>
      <w:r w:rsidR="00210545">
        <w:t>they all</w:t>
      </w:r>
      <w:r w:rsidR="00C42900">
        <w:t xml:space="preserve"> be</w:t>
      </w:r>
      <w:r w:rsidR="007868B0">
        <w:t>came exposed to</w:t>
      </w:r>
      <w:r w:rsidR="001B5E34">
        <w:t xml:space="preserve"> each other</w:t>
      </w:r>
      <w:r w:rsidR="007868B0">
        <w:t>’s answers</w:t>
      </w:r>
      <w:r w:rsidR="00B059B3">
        <w:t xml:space="preserve"> and </w:t>
      </w:r>
      <w:r w:rsidR="00021E63">
        <w:t xml:space="preserve">when prompted to give their estimates again, their answers </w:t>
      </w:r>
      <w:r w:rsidR="00772EEC">
        <w:t xml:space="preserve">become similar to each other. Sherif’s </w:t>
      </w:r>
      <w:r w:rsidR="00647E58">
        <w:t>study showed that even with the absence</w:t>
      </w:r>
      <w:r w:rsidR="003D447A">
        <w:t xml:space="preserve"> of </w:t>
      </w:r>
      <w:r w:rsidR="00B83F72">
        <w:t>pressure</w:t>
      </w:r>
      <w:r w:rsidR="00D67156">
        <w:t xml:space="preserve">, a norm was still established </w:t>
      </w:r>
      <w:r w:rsidR="006819F0">
        <w:t>once</w:t>
      </w:r>
      <w:r w:rsidR="00581154">
        <w:t xml:space="preserve"> individuals</w:t>
      </w:r>
      <w:r w:rsidR="00A75E81">
        <w:t xml:space="preserve"> pooled their answers together</w:t>
      </w:r>
      <w:r w:rsidR="006E0990">
        <w:t>.</w:t>
      </w:r>
      <w:r w:rsidR="00113710">
        <w:t xml:space="preserve"> </w:t>
      </w:r>
    </w:p>
    <w:p w14:paraId="2536E1FF" w14:textId="653A6FC4" w:rsidR="00BB2201" w:rsidRDefault="005B601B" w:rsidP="00945AB2">
      <w:pPr>
        <w:ind w:firstLine="720"/>
        <w:jc w:val="both"/>
      </w:pPr>
      <w:r>
        <w:t xml:space="preserve">In contrast, </w:t>
      </w:r>
      <w:r w:rsidR="00113710">
        <w:t xml:space="preserve">Asch’s </w:t>
      </w:r>
      <w:r w:rsidR="00A34976">
        <w:t>study</w:t>
      </w:r>
      <w:r w:rsidR="00A23890">
        <w:t xml:space="preserve"> involved</w:t>
      </w:r>
      <w:r w:rsidR="00A44145">
        <w:t xml:space="preserve"> ‘stooges’</w:t>
      </w:r>
      <w:r w:rsidR="003E7905">
        <w:t>; participants who were in on the study and were instructed to give the wrong answer</w:t>
      </w:r>
      <w:r w:rsidR="009B52E4">
        <w:t xml:space="preserve"> </w:t>
      </w:r>
      <w:r w:rsidR="0081136C">
        <w:fldChar w:fldCharType="begin"/>
      </w:r>
      <w:r w:rsidR="0081136C">
        <w:instrText xml:space="preserve"> ADDIN EN.CITE &lt;EndNote&gt;&lt;Cite&gt;&lt;Author&gt;Asch&lt;/Author&gt;&lt;Year&gt;1956&lt;/Year&gt;&lt;RecNum&gt;154&lt;/RecNum&gt;&lt;DisplayText&gt;(Asch, 1956)&lt;/DisplayText&gt;&lt;record&gt;&lt;rec-number&gt;154&lt;/rec-number&gt;&lt;foreign-keys&gt;&lt;key app="EN" db-id="0eaps2ztk5a9xwe29x45evd9v5ft5tv2vpss" timestamp="1788718346"&gt;154&lt;/key&gt;&lt;/foreign-keys&gt;&lt;ref-type name="Journal Article"&gt;17&lt;/ref-type&gt;&lt;contributors&gt;&lt;authors&gt;&lt;author&gt;Asch, Solomon E&lt;/author&gt;&lt;/authors&gt;&lt;/contributors&gt;&lt;titles&gt;&lt;title&gt;Studies of independence and conformity: I. A minority of one against a unanimous majority&lt;/title&gt;&lt;secondary-title&gt;Psychological monographs: General and applied&lt;/secondary-title&gt;&lt;/titles&gt;&lt;periodical&gt;&lt;full-title&gt;Psychological monographs: General and applied&lt;/full-title&gt;&lt;/periodical&gt;&lt;pages&gt;1&lt;/pages&gt;&lt;volume&gt;70&lt;/volume&gt;&lt;number&gt;9&lt;/number&gt;&lt;dates&gt;&lt;year&gt;1956&lt;/year&gt;&lt;/dates&gt;&lt;isbn&gt;0096-9753&lt;/isbn&gt;&lt;urls&gt;&lt;/urls&gt;&lt;/record&gt;&lt;/Cite&gt;&lt;/EndNote&gt;</w:instrText>
      </w:r>
      <w:r w:rsidR="0081136C">
        <w:fldChar w:fldCharType="separate"/>
      </w:r>
      <w:r w:rsidR="0081136C">
        <w:rPr>
          <w:noProof/>
        </w:rPr>
        <w:t>(Asch, 1956)</w:t>
      </w:r>
      <w:r w:rsidR="0081136C">
        <w:fldChar w:fldCharType="end"/>
      </w:r>
      <w:r w:rsidR="003F67AC">
        <w:t>. The real participant was referred to as the ‘naive’</w:t>
      </w:r>
      <w:r w:rsidR="00196310">
        <w:t xml:space="preserve"> and were in the dark about the stooges’ </w:t>
      </w:r>
      <w:r w:rsidR="001C743A">
        <w:t>degree of involvement</w:t>
      </w:r>
      <w:r w:rsidR="0009531F">
        <w:t>. It was performed as such; both the stooges and the naïve were placed in a room and shown</w:t>
      </w:r>
      <w:r w:rsidR="002A644D">
        <w:t xml:space="preserve"> a control line on one surface</w:t>
      </w:r>
      <w:r w:rsidR="006817AB">
        <w:t>. Another surface showed three lines of varying length</w:t>
      </w:r>
      <w:r w:rsidR="00300EE6">
        <w:t>s with options A,</w:t>
      </w:r>
      <w:r w:rsidR="00410372">
        <w:t xml:space="preserve"> </w:t>
      </w:r>
      <w:r w:rsidR="00300EE6">
        <w:t>B, and C</w:t>
      </w:r>
      <w:r w:rsidR="00410372">
        <w:t xml:space="preserve"> beneath them and participants were asked to choose which</w:t>
      </w:r>
      <w:r w:rsidR="00884725">
        <w:t xml:space="preserve"> w</w:t>
      </w:r>
      <w:r w:rsidR="003D06CF">
        <w:t>as</w:t>
      </w:r>
      <w:r w:rsidR="00884725">
        <w:t xml:space="preserve"> the closest length</w:t>
      </w:r>
      <w:r w:rsidR="00CE33E6">
        <w:t xml:space="preserve"> to the control line</w:t>
      </w:r>
      <w:r w:rsidR="001C1DFC">
        <w:t>.</w:t>
      </w:r>
      <w:r w:rsidR="005737FC">
        <w:t xml:space="preserve"> </w:t>
      </w:r>
      <w:r w:rsidR="00EE6FA0">
        <w:t>Asch carried out</w:t>
      </w:r>
      <w:r w:rsidR="00667167">
        <w:t xml:space="preserve"> different adaptations of this study with the stooges </w:t>
      </w:r>
      <w:r w:rsidR="0007177C">
        <w:t xml:space="preserve">instructed to give </w:t>
      </w:r>
      <w:r w:rsidR="00F12452">
        <w:t xml:space="preserve">either </w:t>
      </w:r>
      <w:r w:rsidR="0007177C">
        <w:t>the wrong answer (</w:t>
      </w:r>
      <w:r w:rsidR="000466AD">
        <w:t xml:space="preserve">referred to as the </w:t>
      </w:r>
      <w:r w:rsidR="00625CB4">
        <w:t>clinical trials</w:t>
      </w:r>
      <w:r w:rsidR="0007177C">
        <w:t>)</w:t>
      </w:r>
      <w:r w:rsidR="00625CB4">
        <w:t xml:space="preserve"> or the right answer (neutral trials)</w:t>
      </w:r>
      <w:r w:rsidR="001A1CCF">
        <w:t>.</w:t>
      </w:r>
      <w:r w:rsidR="004646E1">
        <w:t xml:space="preserve"> The stooges</w:t>
      </w:r>
      <w:r w:rsidR="00115CC1">
        <w:t xml:space="preserve"> would then be asked to give their answer so that the naïve participant would always be the last to give their response.</w:t>
      </w:r>
      <w:r w:rsidR="005C5FCE">
        <w:t xml:space="preserve"> </w:t>
      </w:r>
      <w:r w:rsidR="00BC6953">
        <w:t>Different v</w:t>
      </w:r>
      <w:r w:rsidR="00DC12FD">
        <w:t>ariations of the study</w:t>
      </w:r>
      <w:r w:rsidR="007D167B">
        <w:t xml:space="preserve"> were conducted by Asch and</w:t>
      </w:r>
      <w:r w:rsidR="00FE4F43">
        <w:t xml:space="preserve"> said percentage</w:t>
      </w:r>
      <w:r w:rsidR="00BC6953">
        <w:t xml:space="preserve"> fluctuated in accordance to the situation.</w:t>
      </w:r>
      <w:r w:rsidR="005600D2">
        <w:t xml:space="preserve"> When the ratio of stooges and naïve were 3:1, </w:t>
      </w:r>
      <w:r w:rsidR="0057589B">
        <w:t>conformity was found to be</w:t>
      </w:r>
      <w:r w:rsidR="00F31853">
        <w:t xml:space="preserve"> 32</w:t>
      </w:r>
      <w:r w:rsidR="00241215">
        <w:t>%</w:t>
      </w:r>
      <w:r w:rsidR="0057589B">
        <w:t xml:space="preserve">. </w:t>
      </w:r>
      <w:r w:rsidR="00481017">
        <w:t xml:space="preserve">When </w:t>
      </w:r>
      <w:r w:rsidR="00DF5E95">
        <w:t xml:space="preserve">one stooge was asked to align their answer </w:t>
      </w:r>
      <w:r w:rsidR="00DF5E95">
        <w:lastRenderedPageBreak/>
        <w:t>with the naïve participant</w:t>
      </w:r>
      <w:r w:rsidR="00B57E55">
        <w:t>, that percentage went</w:t>
      </w:r>
      <w:r w:rsidR="00EA183C">
        <w:t xml:space="preserve"> down to</w:t>
      </w:r>
      <w:r w:rsidR="00241215">
        <w:t xml:space="preserve"> 5.5%</w:t>
      </w:r>
      <w:r w:rsidR="003C2033">
        <w:t>.</w:t>
      </w:r>
      <w:r w:rsidR="00156F89">
        <w:t xml:space="preserve"> </w:t>
      </w:r>
      <w:r w:rsidR="00E94B37">
        <w:t xml:space="preserve">This shows that </w:t>
      </w:r>
      <w:r w:rsidR="00C20F29">
        <w:t>unity</w:t>
      </w:r>
      <w:r w:rsidR="00A02689">
        <w:t xml:space="preserve"> </w:t>
      </w:r>
      <w:r w:rsidR="00097D4B">
        <w:t>amongst stooges held the largest weight when it comes to conformity.</w:t>
      </w:r>
    </w:p>
    <w:p w14:paraId="141E7A0C" w14:textId="1CE4FC77" w:rsidR="00555570" w:rsidRDefault="002076A9" w:rsidP="00794719">
      <w:pPr>
        <w:ind w:firstLine="720"/>
        <w:jc w:val="both"/>
      </w:pPr>
      <w:r>
        <w:t>But why</w:t>
      </w:r>
      <w:r w:rsidR="00437D09">
        <w:t xml:space="preserve"> the need for conformity? The answer may lie between two reasonings</w:t>
      </w:r>
      <w:r w:rsidR="00BA21B3">
        <w:t xml:space="preserve"> given by Deutsch and Gerard</w:t>
      </w:r>
      <w:r w:rsidR="00874609">
        <w:t xml:space="preserve"> (1955)</w:t>
      </w:r>
      <w:r w:rsidR="00437D09">
        <w:t>; Informational Social Influence (</w:t>
      </w:r>
      <w:r w:rsidR="00C91E99">
        <w:t>ISI</w:t>
      </w:r>
      <w:r w:rsidR="00437D09">
        <w:t>)</w:t>
      </w:r>
      <w:r w:rsidR="00C91E99">
        <w:t xml:space="preserve"> and Normative Social Influence (</w:t>
      </w:r>
      <w:r w:rsidR="00AB60D6">
        <w:t>NSI</w:t>
      </w:r>
      <w:r w:rsidR="00C91E99">
        <w:t>)</w:t>
      </w:r>
      <w:r w:rsidR="009C60C4">
        <w:t>. The former ba</w:t>
      </w:r>
      <w:r w:rsidR="00614706">
        <w:t>s</w:t>
      </w:r>
      <w:r w:rsidR="009C60C4">
        <w:t>ing on the fact that people</w:t>
      </w:r>
      <w:r w:rsidR="001B3B41">
        <w:t xml:space="preserve"> find it necessary </w:t>
      </w:r>
      <w:r w:rsidR="00934BAB">
        <w:t xml:space="preserve">to perceive reality correctly and </w:t>
      </w:r>
      <w:r w:rsidR="00674FEA">
        <w:t xml:space="preserve">rely on others </w:t>
      </w:r>
      <w:r w:rsidR="005E0871">
        <w:t xml:space="preserve">when we believe our </w:t>
      </w:r>
      <w:r w:rsidR="00E01071">
        <w:t xml:space="preserve">perception </w:t>
      </w:r>
      <w:r w:rsidR="00270772">
        <w:t>to be skewed</w:t>
      </w:r>
      <w:r w:rsidR="00782099">
        <w:t xml:space="preserve">. </w:t>
      </w:r>
      <w:r w:rsidR="005C2995">
        <w:t>The latte</w:t>
      </w:r>
      <w:r w:rsidR="00924E72">
        <w:t>r</w:t>
      </w:r>
      <w:r w:rsidR="008A7333">
        <w:t xml:space="preserve"> regards to</w:t>
      </w:r>
      <w:r w:rsidR="001929C7">
        <w:t xml:space="preserve"> people’s need to be</w:t>
      </w:r>
      <w:r w:rsidR="0048203F">
        <w:t xml:space="preserve"> welcomed </w:t>
      </w:r>
      <w:r w:rsidR="00985D3E">
        <w:t>into the community</w:t>
      </w:r>
      <w:r w:rsidR="00146677">
        <w:t xml:space="preserve"> and think the only way to do so is to align their thinking</w:t>
      </w:r>
      <w:r w:rsidR="00F15F1B">
        <w:t xml:space="preserve"> with others.</w:t>
      </w:r>
      <w:r w:rsidR="00307CAC">
        <w:t xml:space="preserve"> </w:t>
      </w:r>
      <w:r w:rsidR="00D93045">
        <w:t>As for</w:t>
      </w:r>
      <w:r w:rsidR="00555570">
        <w:t xml:space="preserve"> min</w:t>
      </w:r>
      <w:r w:rsidR="00346FD7">
        <w:t>ority influence</w:t>
      </w:r>
      <w:r w:rsidR="00D93045">
        <w:t>, it</w:t>
      </w:r>
      <w:r w:rsidR="00346FD7">
        <w:t xml:space="preserve"> is not as straightforward</w:t>
      </w:r>
      <w:r w:rsidR="00631535">
        <w:t xml:space="preserve"> as its opposition</w:t>
      </w:r>
      <w:r w:rsidR="00446912">
        <w:t xml:space="preserve">. </w:t>
      </w:r>
      <w:r w:rsidR="00F96C18">
        <w:t xml:space="preserve">Seeing as the numbers are in lack, minority influence relies </w:t>
      </w:r>
      <w:r w:rsidR="000B5E56">
        <w:t xml:space="preserve">on </w:t>
      </w:r>
      <w:r w:rsidR="00950591">
        <w:t xml:space="preserve">how they express themselves to others. </w:t>
      </w:r>
      <w:r w:rsidR="00022EC3">
        <w:t>As stated by Moscovic</w:t>
      </w:r>
      <w:r w:rsidR="005B1CFE">
        <w:t>i</w:t>
      </w:r>
      <w:r w:rsidR="00AB274A">
        <w:t xml:space="preserve"> (1985)</w:t>
      </w:r>
      <w:r w:rsidR="00022EC3">
        <w:t xml:space="preserve">, </w:t>
      </w:r>
      <w:r w:rsidR="005B1CFE">
        <w:t>w</w:t>
      </w:r>
      <w:r w:rsidR="00950591">
        <w:t>hen</w:t>
      </w:r>
      <w:r w:rsidR="00D329AF">
        <w:t xml:space="preserve"> seen</w:t>
      </w:r>
      <w:r w:rsidR="00022EC3">
        <w:t xml:space="preserve"> to have a personal stake or investment i</w:t>
      </w:r>
      <w:r w:rsidR="005B1CFE">
        <w:t>n the matter at hand,</w:t>
      </w:r>
      <w:r w:rsidR="00560276">
        <w:t xml:space="preserve"> </w:t>
      </w:r>
      <w:r w:rsidR="00D074AB">
        <w:t>others regard them more sincerely, believing t</w:t>
      </w:r>
      <w:r w:rsidR="00AE71F7">
        <w:t>he view comes from originality as opposed to</w:t>
      </w:r>
      <w:r w:rsidR="00717C5E">
        <w:t xml:space="preserve"> blatant agreement</w:t>
      </w:r>
      <w:r w:rsidR="009454B0">
        <w:t xml:space="preserve"> </w:t>
      </w:r>
      <w:r w:rsidR="00014A9E">
        <w:t xml:space="preserve">followed </w:t>
      </w:r>
      <w:r w:rsidR="009454B0">
        <w:t>by others.</w:t>
      </w:r>
    </w:p>
    <w:p w14:paraId="1538007F" w14:textId="39A1DDB2" w:rsidR="00696E77" w:rsidRDefault="00AD325C" w:rsidP="00945AB2">
      <w:pPr>
        <w:ind w:firstLine="720"/>
        <w:jc w:val="both"/>
      </w:pPr>
      <w:r>
        <w:t xml:space="preserve">Aside from majority and minority influence models, there are also risky shift, group polarisation, and </w:t>
      </w:r>
      <w:r w:rsidR="004961F8">
        <w:t xml:space="preserve">groupthink. </w:t>
      </w:r>
      <w:r w:rsidR="00262295">
        <w:t>Risky shift</w:t>
      </w:r>
      <w:r w:rsidR="006A3357">
        <w:t xml:space="preserve"> occurs when</w:t>
      </w:r>
      <w:r w:rsidR="00287161">
        <w:t xml:space="preserve"> the decision-making process done by the group</w:t>
      </w:r>
      <w:r w:rsidR="000C2AF3">
        <w:t xml:space="preserve"> results in</w:t>
      </w:r>
      <w:r w:rsidR="005C0AFA">
        <w:t xml:space="preserve"> a riskier outcome</w:t>
      </w:r>
      <w:r w:rsidR="006044E9">
        <w:t xml:space="preserve"> as compared to when making the decisions individually.</w:t>
      </w:r>
      <w:r w:rsidR="00ED2C32">
        <w:t xml:space="preserve"> It’s a part of group polarisation, in which</w:t>
      </w:r>
      <w:r w:rsidR="0038453D">
        <w:t xml:space="preserve"> the group reaches</w:t>
      </w:r>
      <w:r w:rsidR="00117BC4">
        <w:t xml:space="preserve"> to an extreme decision. This extreme</w:t>
      </w:r>
      <w:r w:rsidR="007F52B1">
        <w:t xml:space="preserve"> decision can fall between opposite ends of</w:t>
      </w:r>
      <w:r w:rsidR="006044E9">
        <w:t xml:space="preserve"> </w:t>
      </w:r>
      <w:r w:rsidR="00A15744">
        <w:t xml:space="preserve">the </w:t>
      </w:r>
      <w:r w:rsidR="00D77781">
        <w:t xml:space="preserve">risk spectrum so </w:t>
      </w:r>
      <w:r w:rsidR="00A15744">
        <w:t>it can either be overtly risk</w:t>
      </w:r>
      <w:r w:rsidR="007D5992">
        <w:t>y</w:t>
      </w:r>
      <w:r w:rsidR="00A15744">
        <w:t xml:space="preserve"> or overtly safe. </w:t>
      </w:r>
      <w:r w:rsidR="00563444">
        <w:t>It’s said that informational exchange is the catalyst</w:t>
      </w:r>
      <w:r w:rsidR="00A9778C">
        <w:t xml:space="preserve"> as sharing insights with one another can make</w:t>
      </w:r>
      <w:r w:rsidR="001A1EC6">
        <w:t xml:space="preserve"> previously unknown information come to light. As such, members of the group that did not have the knowledge of certain aspects</w:t>
      </w:r>
      <w:r w:rsidR="00876813">
        <w:t xml:space="preserve"> become enlightened by their peers. </w:t>
      </w:r>
      <w:r w:rsidR="00D3777E">
        <w:t>Finally, there’s groupthink.</w:t>
      </w:r>
      <w:r w:rsidR="00C372B2">
        <w:t xml:space="preserve"> </w:t>
      </w:r>
      <w:r w:rsidR="001B5F70">
        <w:t>This is when</w:t>
      </w:r>
      <w:r w:rsidR="00697FF2">
        <w:t xml:space="preserve"> the group prioritizes </w:t>
      </w:r>
      <w:r w:rsidR="00D53D57">
        <w:t xml:space="preserve">unity over </w:t>
      </w:r>
      <w:r w:rsidR="008011D5">
        <w:t>logical reasoning when it comes to decision-making.</w:t>
      </w:r>
      <w:r w:rsidR="00AC569F">
        <w:t xml:space="preserve"> </w:t>
      </w:r>
      <w:r w:rsidR="003A521C">
        <w:t>According to Hewstone and Martin (201</w:t>
      </w:r>
      <w:r w:rsidR="00F9168E">
        <w:t>0</w:t>
      </w:r>
      <w:r w:rsidR="003A521C">
        <w:t>), groupthink</w:t>
      </w:r>
      <w:r w:rsidR="00A43DF5">
        <w:t xml:space="preserve"> occurs when NSI consumes the thinking of the group over PSI</w:t>
      </w:r>
      <w:r w:rsidR="00E235CD">
        <w:t>.</w:t>
      </w:r>
    </w:p>
    <w:p w14:paraId="0EBA0DAB" w14:textId="23D764D5" w:rsidR="00097D4B" w:rsidRPr="00762E91" w:rsidRDefault="007D5992" w:rsidP="00945AB2">
      <w:pPr>
        <w:ind w:firstLine="720"/>
        <w:jc w:val="both"/>
      </w:pPr>
      <w:r>
        <w:t>Overall, w</w:t>
      </w:r>
      <w:r w:rsidR="00222AF7">
        <w:t>hile</w:t>
      </w:r>
      <w:r w:rsidR="00E7042F">
        <w:t xml:space="preserve"> some think that</w:t>
      </w:r>
      <w:r w:rsidR="00222AF7">
        <w:t xml:space="preserve"> the thought of conformity may</w:t>
      </w:r>
      <w:r w:rsidR="00E7042F">
        <w:t xml:space="preserve"> </w:t>
      </w:r>
      <w:r w:rsidR="00222AF7">
        <w:t xml:space="preserve">be akin to </w:t>
      </w:r>
      <w:r w:rsidR="00F34B35">
        <w:t>being sheep</w:t>
      </w:r>
      <w:r w:rsidR="00E7042F">
        <w:t xml:space="preserve"> or cogs in a machine, it can be said that conformity may</w:t>
      </w:r>
      <w:r w:rsidR="00737208">
        <w:t xml:space="preserve"> serve to be advantageous when it comes to the want of a social life.</w:t>
      </w:r>
      <w:r w:rsidR="00F30077">
        <w:t xml:space="preserve"> Furthermore, it may prove useful in instances</w:t>
      </w:r>
      <w:r w:rsidR="009F63DA">
        <w:t xml:space="preserve"> where we ourselves have gaps in knowledge necessary to make a sound decision</w:t>
      </w:r>
      <w:r w:rsidR="001E6EBB">
        <w:t xml:space="preserve"> and the voice of reason may come from others.</w:t>
      </w:r>
      <w:r w:rsidR="006565C0">
        <w:t xml:space="preserve"> On the other hand, blindly following for the sake of maintaining harmony and </w:t>
      </w:r>
      <w:r w:rsidR="002E6A99">
        <w:t>mitigating all forms of discussion in place of peace may sow</w:t>
      </w:r>
      <w:r w:rsidR="00750FFB">
        <w:t xml:space="preserve"> </w:t>
      </w:r>
      <w:r w:rsidR="004C7A45">
        <w:t xml:space="preserve">a </w:t>
      </w:r>
      <w:r w:rsidR="00750FFB">
        <w:t>more hazardous consequence</w:t>
      </w:r>
      <w:r w:rsidR="00025532">
        <w:t>.</w:t>
      </w:r>
      <w:r w:rsidR="004C7A45">
        <w:t xml:space="preserve"> </w:t>
      </w:r>
    </w:p>
    <w:p w14:paraId="262DA163" w14:textId="3F950E88" w:rsidR="007F19B5" w:rsidRDefault="007F19B5">
      <w:pPr>
        <w:spacing w:line="259" w:lineRule="auto"/>
        <w:rPr>
          <w:b/>
          <w:bCs/>
        </w:rPr>
      </w:pPr>
      <w:r>
        <w:rPr>
          <w:b/>
          <w:bCs/>
        </w:rPr>
        <w:br w:type="page"/>
      </w:r>
    </w:p>
    <w:p w14:paraId="545B60C1" w14:textId="12322362" w:rsidR="007F19B5" w:rsidRDefault="007F19B5" w:rsidP="007F19B5">
      <w:pPr>
        <w:jc w:val="center"/>
        <w:rPr>
          <w:b/>
          <w:bCs/>
        </w:rPr>
      </w:pPr>
      <w:r>
        <w:rPr>
          <w:b/>
          <w:bCs/>
        </w:rPr>
        <w:lastRenderedPageBreak/>
        <w:t>Task 2</w:t>
      </w:r>
    </w:p>
    <w:p w14:paraId="4B38BB5C" w14:textId="2E8775B0" w:rsidR="0002493B" w:rsidRDefault="0002493B" w:rsidP="00C00032">
      <w:pPr>
        <w:pStyle w:val="HeadingL2"/>
      </w:pPr>
      <w:r>
        <w:t>First article</w:t>
      </w:r>
      <w:r w:rsidR="008A0B7B">
        <w:t xml:space="preserve"> (</w:t>
      </w:r>
      <w:r w:rsidR="008A0B7B" w:rsidRPr="008A0B7B">
        <w:t>Gender: how stubborn are the stereotypes?</w:t>
      </w:r>
      <w:r w:rsidR="008A0B7B">
        <w:t>)</w:t>
      </w:r>
    </w:p>
    <w:p w14:paraId="13A6C439" w14:textId="3A5D2CD2" w:rsidR="007F19B5" w:rsidRDefault="008C398C" w:rsidP="000062E1">
      <w:pPr>
        <w:jc w:val="both"/>
      </w:pPr>
      <w:r>
        <w:tab/>
      </w:r>
      <w:r w:rsidR="00FC430F">
        <w:t>Gender stereotypes are a prevalent issue</w:t>
      </w:r>
      <w:r w:rsidR="002469A7">
        <w:t xml:space="preserve"> that still very much runs rabid in our world. </w:t>
      </w:r>
      <w:r w:rsidR="00D65039">
        <w:t>It</w:t>
      </w:r>
      <w:r w:rsidR="00CE7D51">
        <w:t xml:space="preserve"> comes in two main formats</w:t>
      </w:r>
      <w:r w:rsidR="00600F51">
        <w:t>; descriptive</w:t>
      </w:r>
      <w:r w:rsidR="00C538BE">
        <w:t xml:space="preserve"> stereoty</w:t>
      </w:r>
      <w:r w:rsidR="00D80ACB">
        <w:t>pes and prescriptive stereotypes</w:t>
      </w:r>
      <w:r w:rsidR="002D08FB">
        <w:t>. Descripti</w:t>
      </w:r>
      <w:r w:rsidR="00CE7D51">
        <w:t xml:space="preserve">ve </w:t>
      </w:r>
      <w:r w:rsidR="00650B89">
        <w:t>stereotype</w:t>
      </w:r>
      <w:r w:rsidR="00D1438E">
        <w:t xml:space="preserve"> suggests typical behaviour one should exhibit</w:t>
      </w:r>
      <w:r w:rsidR="00676D3E">
        <w:t>.</w:t>
      </w:r>
      <w:r w:rsidR="002005B2">
        <w:t xml:space="preserve"> </w:t>
      </w:r>
      <w:r w:rsidR="006A4920">
        <w:t>Whereas,</w:t>
      </w:r>
      <w:r w:rsidR="001A5649">
        <w:t xml:space="preserve"> </w:t>
      </w:r>
      <w:r w:rsidR="006A4920">
        <w:t>p</w:t>
      </w:r>
      <w:r w:rsidR="001A5649">
        <w:t xml:space="preserve">rescriptive stereotype </w:t>
      </w:r>
      <w:r w:rsidR="00957256">
        <w:t>demand</w:t>
      </w:r>
      <w:r w:rsidR="00143CD2">
        <w:t>s your behaviour follow rigid</w:t>
      </w:r>
      <w:r w:rsidR="00E05FAC">
        <w:t xml:space="preserve"> lines</w:t>
      </w:r>
      <w:r w:rsidR="00BB24EF">
        <w:t>.</w:t>
      </w:r>
      <w:r w:rsidR="00AE66BA">
        <w:t xml:space="preserve"> Simple</w:t>
      </w:r>
      <w:r w:rsidR="0066795F">
        <w:t xml:space="preserve"> attributes such as traits had </w:t>
      </w:r>
      <w:r w:rsidR="00E05FAC">
        <w:t>somehow been assigned</w:t>
      </w:r>
      <w:r w:rsidR="00BB5BD3">
        <w:t xml:space="preserve"> gender and whether </w:t>
      </w:r>
      <w:r w:rsidR="00DA0613">
        <w:t xml:space="preserve">you have it or not, most of society will deem you either less a woman </w:t>
      </w:r>
      <w:r w:rsidR="00752B9B">
        <w:t>or more of it.</w:t>
      </w:r>
      <w:r w:rsidR="00E914CC">
        <w:t xml:space="preserve"> </w:t>
      </w:r>
      <w:r w:rsidR="00363AD6">
        <w:t>Emotional intelligence, empathy, and the scope</w:t>
      </w:r>
      <w:r w:rsidR="005F1C90">
        <w:t xml:space="preserve"> of normal human emotions</w:t>
      </w:r>
      <w:r w:rsidR="002F5844">
        <w:t xml:space="preserve"> are traits women </w:t>
      </w:r>
      <w:r w:rsidR="003C24DA">
        <w:t xml:space="preserve">have while agency, autonomy, and leadership </w:t>
      </w:r>
      <w:r w:rsidR="00B80766">
        <w:t>are what men have</w:t>
      </w:r>
      <w:r w:rsidR="00FD5E88">
        <w:t>; this is what has been deemed by most cultures in the world</w:t>
      </w:r>
      <w:r w:rsidR="00F03CFA">
        <w:t xml:space="preserve">. A study </w:t>
      </w:r>
      <w:r w:rsidR="00AA6AD1">
        <w:t xml:space="preserve">found that </w:t>
      </w:r>
      <w:r w:rsidR="006940AF">
        <w:t>alliance men may have for women in regards to equality, breaks down when</w:t>
      </w:r>
      <w:r w:rsidR="00753C66">
        <w:t xml:space="preserve"> they believe</w:t>
      </w:r>
      <w:r w:rsidR="000168DF">
        <w:t xml:space="preserve"> that their privilege would be forfeit </w:t>
      </w:r>
      <w:r w:rsidR="00812125">
        <w:t>for the progression of said equality; this is known as zero sum belief</w:t>
      </w:r>
      <w:r w:rsidR="00296F3C">
        <w:t xml:space="preserve"> </w:t>
      </w:r>
      <w:r w:rsidR="0041283F">
        <w:fldChar w:fldCharType="begin"/>
      </w:r>
      <w:r w:rsidR="0041283F">
        <w:instrText xml:space="preserve"> ADDIN EN.CITE &lt;EndNote&gt;&lt;Cite&gt;&lt;Author&gt;Davidai&lt;/Author&gt;&lt;Year&gt;2023&lt;/Year&gt;&lt;RecNum&gt;158&lt;/RecNum&gt;&lt;DisplayText&gt;(Davidai &amp;amp; Tepper, 2023)&lt;/DisplayText&gt;&lt;record&gt;&lt;rec-number&gt;158&lt;/rec-number&gt;&lt;foreign-keys&gt;&lt;key app="EN" db-id="0eaps2ztk5a9xwe29x45evd9v5ft5tv2vpss" timestamp="1788719578"&gt;158&lt;/key&gt;&lt;/foreign-keys&gt;&lt;ref-type name="Journal Article"&gt;17&lt;/ref-type&gt;&lt;contributors&gt;&lt;authors&gt;&lt;author&gt;Davidai, Shai&lt;/author&gt;&lt;author&gt;Tepper, Stephanie J&lt;/author&gt;&lt;/authors&gt;&lt;/contributors&gt;&lt;titles&gt;&lt;title&gt;The psychology of zero-sum beliefs&lt;/title&gt;&lt;secondary-title&gt;Nature Reviews Psychology&lt;/secondary-title&gt;&lt;/titles&gt;&lt;periodical&gt;&lt;full-title&gt;Nature Reviews Psychology&lt;/full-title&gt;&lt;/periodical&gt;&lt;pages&gt;472-482&lt;/pages&gt;&lt;volume&gt;2&lt;/volume&gt;&lt;number&gt;8&lt;/number&gt;&lt;dates&gt;&lt;year&gt;2023&lt;/year&gt;&lt;/dates&gt;&lt;isbn&gt;2731-0574&lt;/isbn&gt;&lt;urls&gt;&lt;/urls&gt;&lt;/record&gt;&lt;/Cite&gt;&lt;/EndNote&gt;</w:instrText>
      </w:r>
      <w:r w:rsidR="0041283F">
        <w:fldChar w:fldCharType="separate"/>
      </w:r>
      <w:r w:rsidR="0041283F">
        <w:rPr>
          <w:noProof/>
        </w:rPr>
        <w:t>(Davidai &amp; Tepper, 2023)</w:t>
      </w:r>
      <w:r w:rsidR="0041283F">
        <w:fldChar w:fldCharType="end"/>
      </w:r>
      <w:r w:rsidR="00812125">
        <w:t xml:space="preserve">. </w:t>
      </w:r>
      <w:r w:rsidR="00321E9A">
        <w:t xml:space="preserve">There’s </w:t>
      </w:r>
      <w:r w:rsidR="00CA4226">
        <w:t>also the ‘Nordic Paradox’, a finding that countries with more egalitarian social</w:t>
      </w:r>
      <w:r w:rsidR="00D54606">
        <w:t xml:space="preserve"> structures, suffer higher reported cases of partner and partner domestic violence</w:t>
      </w:r>
      <w:r w:rsidR="00544CD6">
        <w:t xml:space="preserve"> </w:t>
      </w:r>
      <w:r w:rsidR="00B77CA1">
        <w:fldChar w:fldCharType="begin"/>
      </w:r>
      <w:r w:rsidR="00B77CA1">
        <w:instrText xml:space="preserve"> ADDIN EN.CITE &lt;EndNote&gt;&lt;Cite&gt;&lt;Author&gt;Wemrell&lt;/Author&gt;&lt;Year&gt;2019&lt;/Year&gt;&lt;RecNum&gt;159&lt;/RecNum&gt;&lt;DisplayText&gt;(Wemrell et al., 2019)&lt;/DisplayText&gt;&lt;record&gt;&lt;rec-number&gt;159&lt;/rec-number&gt;&lt;foreign-keys&gt;&lt;key app="EN" db-id="0eaps2ztk5a9xwe29x45evd9v5ft5tv2vpss" timestamp="1788719808"&gt;159&lt;/key&gt;&lt;/foreign-keys&gt;&lt;ref-type name="Journal Article"&gt;17&lt;/ref-type&gt;&lt;contributors&gt;&lt;authors&gt;&lt;author&gt;Wemrell, Maria&lt;/author&gt;&lt;author&gt;Stjernlöf, Sara&lt;/author&gt;&lt;author&gt;Aenishänslin, Justine&lt;/author&gt;&lt;author&gt;Lila, Marisol&lt;/author&gt;&lt;author&gt;Gracia</w:instrText>
      </w:r>
      <w:r w:rsidR="00B77CA1">
        <w:rPr>
          <w:rFonts w:hint="eastAsia"/>
        </w:rPr>
        <w:instrText>, Enrique&lt;/author&gt;&lt;author&gt;Ivert, Anna</w:instrText>
      </w:r>
      <w:r w:rsidR="00B77CA1">
        <w:rPr>
          <w:rFonts w:hint="eastAsia"/>
        </w:rPr>
        <w:instrText>‐</w:instrText>
      </w:r>
      <w:r w:rsidR="00B77CA1">
        <w:rPr>
          <w:rFonts w:hint="eastAsia"/>
        </w:rPr>
        <w:instrText>Karin&lt;/author&gt;&lt;/authors&gt;&lt;/contributors&gt;&lt;titles&gt;&lt;title&gt;Towards understanding the Nordic paradox: A review of qualitative interview studies on intimate partner violence against women (IPVAW) in Sweden&lt;/title&gt;&lt;secondary-</w:instrText>
      </w:r>
      <w:r w:rsidR="00B77CA1">
        <w:instrText>title&gt;Sociology Compass&lt;/secondary-title&gt;&lt;/titles&gt;&lt;periodical&gt;&lt;full-title&gt;Sociology Compass&lt;/full-title&gt;&lt;/periodical&gt;&lt;pages&gt;e12699&lt;/pages&gt;&lt;volume&gt;13&lt;/volume&gt;&lt;number&gt;6&lt;/number&gt;&lt;dates&gt;&lt;year&gt;2019&lt;/year&gt;&lt;/dates&gt;&lt;isbn&gt;1751-9020&lt;/isbn&gt;&lt;urls&gt;&lt;/urls&gt;&lt;/record&gt;&lt;/Cite&gt;&lt;/EndNote&gt;</w:instrText>
      </w:r>
      <w:r w:rsidR="00B77CA1">
        <w:fldChar w:fldCharType="separate"/>
      </w:r>
      <w:r w:rsidR="00B77CA1">
        <w:rPr>
          <w:noProof/>
        </w:rPr>
        <w:t>(Wemrell et al., 2019)</w:t>
      </w:r>
      <w:r w:rsidR="00B77CA1">
        <w:fldChar w:fldCharType="end"/>
      </w:r>
      <w:r w:rsidR="00177421">
        <w:t>.</w:t>
      </w:r>
      <w:r w:rsidR="008813A1">
        <w:t xml:space="preserve"> However, this finding may be due to the fact that women in those countries </w:t>
      </w:r>
      <w:r w:rsidR="00290C54">
        <w:t>are safer and more supported</w:t>
      </w:r>
      <w:r w:rsidR="00742169">
        <w:t>, hence being more confident in going to the authorities</w:t>
      </w:r>
      <w:r w:rsidR="002A3A8C">
        <w:t>.</w:t>
      </w:r>
      <w:r w:rsidR="00CC7782">
        <w:t xml:space="preserve"> In any regard,</w:t>
      </w:r>
      <w:r w:rsidR="00F0639E">
        <w:t xml:space="preserve"> </w:t>
      </w:r>
      <w:r w:rsidR="00EE62E1">
        <w:t>changes from social etiquette to policy changes must take place</w:t>
      </w:r>
      <w:r w:rsidR="0047186E">
        <w:t xml:space="preserve"> for global change in gender equality.</w:t>
      </w:r>
    </w:p>
    <w:p w14:paraId="18E695FA" w14:textId="7F4E6D6A" w:rsidR="0047186E" w:rsidRDefault="0047186E" w:rsidP="0047186E">
      <w:pPr>
        <w:pStyle w:val="HeadingL2"/>
      </w:pPr>
      <w:r>
        <w:t>Second article</w:t>
      </w:r>
      <w:r w:rsidR="008A0B7B">
        <w:t xml:space="preserve"> (</w:t>
      </w:r>
      <w:r w:rsidR="008A0B7B" w:rsidRPr="008A0B7B">
        <w:t>Why we cheat</w:t>
      </w:r>
      <w:r w:rsidR="008A0B7B">
        <w:t>)</w:t>
      </w:r>
    </w:p>
    <w:p w14:paraId="1F11AC64" w14:textId="3F56BD45" w:rsidR="0047186E" w:rsidRDefault="00152EF4" w:rsidP="00152EF4">
      <w:pPr>
        <w:jc w:val="both"/>
      </w:pPr>
      <w:r>
        <w:tab/>
      </w:r>
      <w:r w:rsidR="001816EA">
        <w:t xml:space="preserve">The act of cheating can be done by anyone, anywhere. </w:t>
      </w:r>
      <w:r w:rsidR="00BE400A">
        <w:t xml:space="preserve">It </w:t>
      </w:r>
      <w:r w:rsidR="00286B5F">
        <w:t>can</w:t>
      </w:r>
      <w:r w:rsidR="00112F53">
        <w:t xml:space="preserve"> be</w:t>
      </w:r>
      <w:r w:rsidR="00286B5F">
        <w:t xml:space="preserve"> done in </w:t>
      </w:r>
      <w:r w:rsidR="00112F53">
        <w:t xml:space="preserve">important competitions or even in word games. But what drives this behaviour? </w:t>
      </w:r>
      <w:r w:rsidR="00044A0E">
        <w:t>Take the meat-</w:t>
      </w:r>
      <w:r w:rsidR="00987F0B">
        <w:t>paradox</w:t>
      </w:r>
      <w:r w:rsidR="009F3753">
        <w:t>—The thinking that animals</w:t>
      </w:r>
      <w:r w:rsidR="00E86A55">
        <w:t xml:space="preserve"> deserve</w:t>
      </w:r>
      <w:r w:rsidR="00044A0E">
        <w:t xml:space="preserve"> </w:t>
      </w:r>
      <w:r w:rsidR="00222707">
        <w:t>care</w:t>
      </w:r>
      <w:r w:rsidR="00ED0138">
        <w:t xml:space="preserve"> and protection while simultaneously being a meat eater</w:t>
      </w:r>
      <w:r w:rsidR="00064515">
        <w:t xml:space="preserve"> </w:t>
      </w:r>
      <w:r w:rsidR="003B62D6">
        <w:fldChar w:fldCharType="begin"/>
      </w:r>
      <w:r w:rsidR="003B62D6">
        <w:instrText xml:space="preserve"> ADDIN EN.CITE &lt;EndNote&gt;&lt;Cite&gt;&lt;Author&gt;Gradidge&lt;/Author&gt;&lt;Year&gt;2021&lt;/Year&gt;&lt;RecNum&gt;160&lt;/RecNum&gt;&lt;DisplayText&gt;(Gradidge et al., 2021)&lt;/DisplayText&gt;&lt;record&gt;&lt;rec-number&gt;160&lt;/rec-number&gt;&lt;foreign-keys&gt;&lt;key app="EN" db-id="0eaps2ztk5a9xwe29x45evd9v5ft5tv2vpss" timestamp="1788720057"&gt;160&lt;/key&gt;&lt;/foreign-keys&gt;&lt;ref-type name="Journal Article"&gt;17&lt;/ref-type&gt;&lt;contributors&gt;&lt;authors&gt;&lt;author&gt;Gradidge, Sarah&lt;/author&gt;&lt;author&gt;Zawisza, Magdalena&lt;/author&gt;&lt;author&gt;Harvey, Annelie J&lt;/author&gt;&lt;author&gt;McDermott, Daragh T&lt;/author&gt;&lt;/authors&gt;&lt;/contributors&gt;&lt;titles&gt;&lt;title&gt;A structured literature review of the meat paradox&lt;/title&gt;&lt;secondary-title&gt;Social Psychological Bulletin&lt;/secondary-title&gt;&lt;/titles&gt;&lt;periodical&gt;&lt;full-title&gt;Social Psychological Bulletin&lt;/full-title&gt;&lt;/periodical&gt;&lt;pages&gt;1-26&lt;/pages&gt;&lt;volume&gt;16&lt;/volume&gt;&lt;number&gt;3&lt;/number&gt;&lt;dates&gt;&lt;year&gt;2021&lt;/year&gt;&lt;/dates&gt;&lt;isbn&gt;2569-653X&lt;/isbn&gt;&lt;urls&gt;&lt;/urls&gt;&lt;/record&gt;&lt;/Cite&gt;&lt;/EndNote&gt;</w:instrText>
      </w:r>
      <w:r w:rsidR="003B62D6">
        <w:fldChar w:fldCharType="separate"/>
      </w:r>
      <w:r w:rsidR="003B62D6">
        <w:rPr>
          <w:noProof/>
        </w:rPr>
        <w:t>(Gradidge et al., 2021)</w:t>
      </w:r>
      <w:r w:rsidR="003B62D6">
        <w:fldChar w:fldCharType="end"/>
      </w:r>
      <w:r w:rsidR="00ED0138">
        <w:t>.</w:t>
      </w:r>
      <w:r w:rsidR="00F9570D">
        <w:t xml:space="preserve"> </w:t>
      </w:r>
      <w:r w:rsidR="004960B7">
        <w:t xml:space="preserve">An act of cognitive dissonance that requires many </w:t>
      </w:r>
      <w:r w:rsidR="000C078A">
        <w:t xml:space="preserve">mental </w:t>
      </w:r>
      <w:r w:rsidR="00E04522">
        <w:t xml:space="preserve">hurdles to overcome as </w:t>
      </w:r>
      <w:r w:rsidR="000B05A0">
        <w:t xml:space="preserve">thought and action does not seem to coincide. </w:t>
      </w:r>
      <w:r w:rsidR="00434A30">
        <w:t xml:space="preserve">Such is the baseline when it comes </w:t>
      </w:r>
      <w:r w:rsidR="004B13E8">
        <w:t>to the moral quandary of being dishonest for the sake of personal gain</w:t>
      </w:r>
      <w:r w:rsidR="007154EC">
        <w:t xml:space="preserve"> and satisfaction. Even in low-stakes situation</w:t>
      </w:r>
      <w:r w:rsidR="00C15222">
        <w:t xml:space="preserve"> when one might not earn as much, people have </w:t>
      </w:r>
      <w:r w:rsidR="00E50CFD">
        <w:t xml:space="preserve">been </w:t>
      </w:r>
      <w:r w:rsidR="00C15222">
        <w:t xml:space="preserve">found to cheat </w:t>
      </w:r>
      <w:r w:rsidR="00E50CFD">
        <w:t xml:space="preserve">for even just a bit of financial gain. </w:t>
      </w:r>
      <w:r w:rsidR="00A42608">
        <w:t xml:space="preserve">The same degree of dishonesty is apparent even in situations where there is no monetary </w:t>
      </w:r>
      <w:r w:rsidR="00DA57A2">
        <w:t>advantage; a coin flip toss</w:t>
      </w:r>
      <w:r w:rsidR="00917CC7">
        <w:t xml:space="preserve"> to assign tasks between yourself and another person. In this</w:t>
      </w:r>
      <w:r w:rsidR="00762EF3">
        <w:t xml:space="preserve"> case where one desires a particular task, </w:t>
      </w:r>
      <w:r w:rsidR="00AD123D">
        <w:t>manipulation is a tactic used to cheat the other out of that task</w:t>
      </w:r>
      <w:r w:rsidR="003B5080">
        <w:t xml:space="preserve"> believing this selfish act</w:t>
      </w:r>
      <w:r w:rsidR="00BF5287">
        <w:t xml:space="preserve"> to be justified. In th</w:t>
      </w:r>
      <w:r w:rsidR="00F60810">
        <w:t>e</w:t>
      </w:r>
      <w:r w:rsidR="00BF5287">
        <w:t xml:space="preserve"> same vein, people who appear morally superior may not actually judge themselves with the same</w:t>
      </w:r>
      <w:r w:rsidR="00F60810">
        <w:t xml:space="preserve"> harshness as </w:t>
      </w:r>
      <w:r w:rsidR="00F60810">
        <w:lastRenderedPageBreak/>
        <w:t>they would others</w:t>
      </w:r>
      <w:r w:rsidR="00A10EC6">
        <w:t xml:space="preserve">. </w:t>
      </w:r>
      <w:r w:rsidR="00A873B9">
        <w:t>Cheating is a selfish attribute</w:t>
      </w:r>
      <w:r w:rsidR="0039679C">
        <w:t xml:space="preserve"> one can have and it can come from any tax bracket</w:t>
      </w:r>
      <w:r w:rsidR="00080ACD">
        <w:t xml:space="preserve"> and</w:t>
      </w:r>
      <w:r w:rsidR="0039679C">
        <w:t xml:space="preserve"> in any social membership groups</w:t>
      </w:r>
      <w:r w:rsidR="00080ACD">
        <w:t>.</w:t>
      </w:r>
    </w:p>
    <w:p w14:paraId="595DB0E7" w14:textId="7EB45935" w:rsidR="00080ACD" w:rsidRDefault="00456427" w:rsidP="00080ACD">
      <w:pPr>
        <w:pStyle w:val="HeadingL2"/>
      </w:pPr>
      <w:r>
        <w:t>Third article</w:t>
      </w:r>
      <w:r w:rsidR="008A0B7B">
        <w:t xml:space="preserve"> (</w:t>
      </w:r>
      <w:r w:rsidR="00C158D2" w:rsidRPr="00C158D2">
        <w:t>Workplace friendships</w:t>
      </w:r>
      <w:r w:rsidR="008A0B7B">
        <w:t>)</w:t>
      </w:r>
    </w:p>
    <w:p w14:paraId="16C31D30" w14:textId="1E571C7A" w:rsidR="00C158D2" w:rsidRPr="008E456A" w:rsidRDefault="00C158D2" w:rsidP="001F5001">
      <w:pPr>
        <w:jc w:val="both"/>
      </w:pPr>
      <w:r>
        <w:tab/>
      </w:r>
      <w:r w:rsidR="00E96158">
        <w:t>Friendships formed in the work environment has both pros and cons.</w:t>
      </w:r>
      <w:r w:rsidR="000B6DD5">
        <w:t xml:space="preserve"> </w:t>
      </w:r>
      <w:r w:rsidR="00A51AAA">
        <w:t xml:space="preserve">The benefits of it </w:t>
      </w:r>
      <w:r w:rsidR="006847B8">
        <w:t>are</w:t>
      </w:r>
      <w:r w:rsidR="00A51AAA">
        <w:t xml:space="preserve"> that </w:t>
      </w:r>
      <w:r w:rsidR="006847B8">
        <w:t>through this bond, a</w:t>
      </w:r>
      <w:r w:rsidR="00E4443D">
        <w:t xml:space="preserve"> better</w:t>
      </w:r>
      <w:r w:rsidR="006847B8">
        <w:t xml:space="preserve"> workplace environment is formed which leads to </w:t>
      </w:r>
      <w:r w:rsidR="00E4443D">
        <w:t>better</w:t>
      </w:r>
      <w:r w:rsidR="003A2FB9">
        <w:t xml:space="preserve"> relationship built between coworkers </w:t>
      </w:r>
      <w:r w:rsidR="00522DF6">
        <w:t>that fosters trust and community</w:t>
      </w:r>
      <w:r w:rsidR="005C7BFC">
        <w:t xml:space="preserve"> </w:t>
      </w:r>
      <w:r w:rsidR="005C7BFC">
        <w:fldChar w:fldCharType="begin"/>
      </w:r>
      <w:r w:rsidR="005C7BFC">
        <w:instrText xml:space="preserve"> ADDIN EN.CITE &lt;EndNote&gt;&lt;Cite&gt;&lt;Author&gt;Zarankin&lt;/Author&gt;&lt;Year&gt;2019&lt;/Year&gt;&lt;RecNum&gt;161&lt;/RecNum&gt;&lt;DisplayText&gt;(Zarankin &amp;amp; Kunkel, 2019)&lt;/DisplayText&gt;&lt;record&gt;&lt;rec-number&gt;161&lt;/rec-number&gt;&lt;foreign-keys&gt;&lt;key app="EN" db-id="0eaps2ztk5a9xwe29x45evd9v5ft5tv2vpss" timestamp="1788720220"&gt;161&lt;/key&gt;&lt;/foreign-keys&gt;&lt;ref-type name="Journal Article"&gt;17&lt;/ref-type&gt;&lt;contributors&gt;&lt;authors&gt;&lt;author&gt;Zarankin, Tal G&lt;/author&gt;&lt;author&gt;Kunkel, Danylle&lt;/author&gt;&lt;/authors&gt;&lt;/contributors&gt;&lt;titles&gt;&lt;title&gt;Colleagues and Friends: A Theoretical Framework of Workplace Friendship&lt;/title&gt;&lt;secondary-title&gt;Journal of Organizational Psychology&lt;/secondary-title&gt;&lt;/titles&gt;&lt;periodical&gt;&lt;full-title&gt;Journal of Organizational Psychology&lt;/full-title&gt;&lt;/periodical&gt;&lt;volume&gt;19&lt;/volume&gt;&lt;number&gt;5&lt;/number&gt;&lt;dates&gt;&lt;year&gt;2019&lt;/year&gt;&lt;/dates&gt;&lt;isbn&gt;2158-3609&lt;/isbn&gt;&lt;urls&gt;&lt;/urls&gt;&lt;/record&gt;&lt;/Cite&gt;&lt;/EndNote&gt;</w:instrText>
      </w:r>
      <w:r w:rsidR="005C7BFC">
        <w:fldChar w:fldCharType="separate"/>
      </w:r>
      <w:r w:rsidR="005C7BFC">
        <w:rPr>
          <w:noProof/>
        </w:rPr>
        <w:t>(Zarankin &amp; Kunkel, 2019)</w:t>
      </w:r>
      <w:r w:rsidR="005C7BFC">
        <w:fldChar w:fldCharType="end"/>
      </w:r>
      <w:r w:rsidR="00522DF6">
        <w:t xml:space="preserve">. In that regard, it can boost collaboration and </w:t>
      </w:r>
      <w:r w:rsidR="00B74FDD">
        <w:t xml:space="preserve">confidence to be more outspoken on ideas and suggestions. </w:t>
      </w:r>
      <w:r w:rsidR="00B045D2">
        <w:t>However, it is also a double edged-sword</w:t>
      </w:r>
      <w:r w:rsidR="00405CAD">
        <w:t>.</w:t>
      </w:r>
      <w:r w:rsidR="00B83D2B">
        <w:t xml:space="preserve"> Zarankin &amp; Kunkel (2019) details that</w:t>
      </w:r>
      <w:r w:rsidR="00DC0BE0">
        <w:t xml:space="preserve"> </w:t>
      </w:r>
      <w:r w:rsidR="00B83D2B">
        <w:t>a</w:t>
      </w:r>
      <w:r w:rsidR="00DC0BE0">
        <w:t xml:space="preserve"> personal bond may warrant unprofessional behaviours to be displayed. </w:t>
      </w:r>
      <w:r w:rsidR="00DB0F62">
        <w:t>Gossip can</w:t>
      </w:r>
      <w:r w:rsidR="00C90F48">
        <w:t xml:space="preserve"> overtake factual information and cause discord between one another. Furthermore,</w:t>
      </w:r>
      <w:r w:rsidR="008C32D2">
        <w:t xml:space="preserve"> certain</w:t>
      </w:r>
      <w:r w:rsidR="00BB6469">
        <w:t xml:space="preserve"> use cases of humour</w:t>
      </w:r>
      <w:r w:rsidR="008C32D2">
        <w:t xml:space="preserve"> may cross the boundary of another even if malicious intent was not present. Additionally, t</w:t>
      </w:r>
      <w:r w:rsidR="00DC0BE0">
        <w:t>he</w:t>
      </w:r>
      <w:r w:rsidR="0079472E">
        <w:t xml:space="preserve"> risk of favouritism increases and the establishment of ‘cronyism’</w:t>
      </w:r>
      <w:r w:rsidR="001F5001">
        <w:t xml:space="preserve"> may appear</w:t>
      </w:r>
      <w:r w:rsidR="00AC6484">
        <w:t xml:space="preserve"> </w:t>
      </w:r>
      <w:r w:rsidR="003D2A3E">
        <w:fldChar w:fldCharType="begin"/>
      </w:r>
      <w:r w:rsidR="003D2A3E">
        <w:instrText xml:space="preserve"> ADDIN EN.CITE &lt;EndNote&gt;&lt;Cite&gt;&lt;Author&gt;Ali&lt;/Author&gt;&lt;Year&gt;2022&lt;/Year&gt;&lt;RecNum&gt;162&lt;/RecNum&gt;&lt;DisplayText&gt;(Ali et al., 2022)&lt;/DisplayText&gt;&lt;record&gt;&lt;rec-number&gt;162&lt;/rec-number&gt;&lt;foreign-keys&gt;&lt;key app="EN" db-id="0eaps2ztk5a9xwe29x45evd9v5ft5tv2vpss" timestamp="1788720399"&gt;162&lt;/key&gt;&lt;/foreign-keys&gt;&lt;ref-type name="Journal Article"&gt;17&lt;/ref-type&gt;&lt;contributors&gt;&lt;authors&gt;&lt;author&gt;Ali, Shahab&lt;/author&gt;&lt;author&gt;Shahzad, Farrukh&lt;/author&gt;&lt;author&gt;Hussain, Iftikhar&lt;/author&gt;&lt;author&gt;Yongjian, Pu&lt;/author&gt;&lt;author&gt;Khan, Muhammad Mahroof&lt;/author&gt;&lt;author&gt;Iqbal, Zafar&lt;/author&gt;&lt;/authors&gt;&lt;/contributors&gt;&lt;titles&gt;&lt;title&gt;The outcomes of organizational cronyism: A social exchange theory perspective&lt;/title&gt;&lt;secondary-title&gt;Frontiers in Psychology&lt;/secondary-title&gt;&lt;/titles&gt;&lt;periodical&gt;&lt;full-title&gt;Frontiers in Psychology&lt;/full-title&gt;&lt;/periodical&gt;&lt;pages&gt;805262&lt;/pages&gt;&lt;volume&gt;13&lt;/volume&gt;&lt;dates&gt;&lt;year&gt;2022&lt;/year&gt;&lt;/dates&gt;&lt;isbn&gt;1664-1078&lt;/isbn&gt;&lt;urls&gt;&lt;/urls&gt;&lt;/record&gt;&lt;/Cite&gt;&lt;/EndNote&gt;</w:instrText>
      </w:r>
      <w:r w:rsidR="003D2A3E">
        <w:fldChar w:fldCharType="separate"/>
      </w:r>
      <w:r w:rsidR="003D2A3E">
        <w:rPr>
          <w:noProof/>
        </w:rPr>
        <w:t>(Ali et al., 2022)</w:t>
      </w:r>
      <w:r w:rsidR="003D2A3E">
        <w:fldChar w:fldCharType="end"/>
      </w:r>
      <w:r w:rsidR="001F5001">
        <w:t xml:space="preserve">. </w:t>
      </w:r>
      <w:r w:rsidR="0086498B">
        <w:t>This may occur when there is a friendship that balances on a precarious power</w:t>
      </w:r>
      <w:r w:rsidR="00F5250A">
        <w:t xml:space="preserve"> dynamic that can happen between superior and subordinate. </w:t>
      </w:r>
      <w:r w:rsidR="00A927DC">
        <w:t>The possibility of associating a deep personal bond</w:t>
      </w:r>
      <w:r w:rsidR="000526E0">
        <w:t xml:space="preserve"> with workplace performance becomes high and can lead to</w:t>
      </w:r>
      <w:r w:rsidR="008629D6">
        <w:t xml:space="preserve"> unfair biasness all round. Promoting someone simply because they are a friend instead </w:t>
      </w:r>
      <w:r w:rsidR="00123C1D">
        <w:t>of evaluating their skills and abilities</w:t>
      </w:r>
      <w:r w:rsidR="00E364A4">
        <w:t xml:space="preserve"> can invite issues into the workplace environment.</w:t>
      </w:r>
      <w:r w:rsidR="00F61418">
        <w:t xml:space="preserve"> As such, there</w:t>
      </w:r>
      <w:r w:rsidR="001B77BC">
        <w:t xml:space="preserve"> are established avenues to navigate this slippery slope</w:t>
      </w:r>
      <w:r w:rsidR="00700644">
        <w:t xml:space="preserve"> as well as</w:t>
      </w:r>
      <w:r w:rsidR="0078064A">
        <w:t xml:space="preserve"> practices to ensure</w:t>
      </w:r>
      <w:r w:rsidR="004F1B6E">
        <w:t xml:space="preserve"> balance and fairness throughout.</w:t>
      </w:r>
      <w:r w:rsidR="001B77BC">
        <w:t xml:space="preserve"> </w:t>
      </w:r>
      <w:r w:rsidR="00F61418">
        <w:t xml:space="preserve"> </w:t>
      </w:r>
    </w:p>
    <w:p w14:paraId="62415FA2" w14:textId="00FEA6D7" w:rsidR="007F19B5" w:rsidRDefault="007F19B5">
      <w:pPr>
        <w:spacing w:line="259" w:lineRule="auto"/>
        <w:rPr>
          <w:b/>
          <w:bCs/>
        </w:rPr>
      </w:pPr>
      <w:r>
        <w:rPr>
          <w:b/>
          <w:bCs/>
        </w:rPr>
        <w:br w:type="page"/>
      </w:r>
    </w:p>
    <w:p w14:paraId="4453498A" w14:textId="37611F61" w:rsidR="007F19B5" w:rsidRDefault="007F19B5" w:rsidP="007F19B5">
      <w:pPr>
        <w:jc w:val="center"/>
        <w:rPr>
          <w:b/>
          <w:bCs/>
        </w:rPr>
      </w:pPr>
      <w:r>
        <w:rPr>
          <w:b/>
          <w:bCs/>
        </w:rPr>
        <w:lastRenderedPageBreak/>
        <w:t>Task 3</w:t>
      </w:r>
    </w:p>
    <w:p w14:paraId="0053BC62" w14:textId="77777777" w:rsidR="00E0465C" w:rsidRDefault="00E0465C" w:rsidP="00EB37DD">
      <w:pPr>
        <w:ind w:left="720" w:hanging="720"/>
        <w:jc w:val="both"/>
      </w:pPr>
      <w:r w:rsidRPr="00494F44">
        <w:t>Bennett, P. (2011). </w:t>
      </w:r>
      <w:r w:rsidRPr="00494F44">
        <w:rPr>
          <w:i/>
          <w:iCs/>
        </w:rPr>
        <w:t>EBOOK: Abnormal And Clinical Psychology: An Introductory Textbook</w:t>
      </w:r>
      <w:r w:rsidRPr="00494F44">
        <w:t>. McGraw-Hill Education (UK).</w:t>
      </w:r>
    </w:p>
    <w:p w14:paraId="276EB1ED" w14:textId="77777777" w:rsidR="00E0465C" w:rsidRDefault="00E0465C" w:rsidP="00705A27">
      <w:pPr>
        <w:ind w:left="720" w:hanging="720"/>
        <w:jc w:val="both"/>
      </w:pPr>
      <w:r w:rsidRPr="00497239">
        <w:t>Computerised cognitive behavioural therapy</w:t>
      </w:r>
      <w:r w:rsidRPr="00F0024F">
        <w:t xml:space="preserve"> </w:t>
      </w:r>
      <w:r>
        <w:t xml:space="preserve">(2017, </w:t>
      </w:r>
      <w:r w:rsidRPr="00497239">
        <w:t>September</w:t>
      </w:r>
      <w:r>
        <w:t xml:space="preserve"> 10) </w:t>
      </w:r>
      <w:r w:rsidRPr="00F0024F">
        <w:t>[Audio podcast episode]</w:t>
      </w:r>
      <w:r>
        <w:t>,</w:t>
      </w:r>
      <w:r w:rsidRPr="00F0024F">
        <w:t> </w:t>
      </w:r>
      <w:r w:rsidRPr="00497239">
        <w:rPr>
          <w:i/>
          <w:iCs/>
        </w:rPr>
        <w:t>Mental Health Foundation</w:t>
      </w:r>
      <w:r w:rsidRPr="00F0024F">
        <w:t xml:space="preserve"> </w:t>
      </w:r>
      <w:r>
        <w:t>Mental Health Foundation</w:t>
      </w:r>
      <w:r w:rsidRPr="00F0024F">
        <w:t xml:space="preserve">. </w:t>
      </w:r>
      <w:hyperlink r:id="rId7" w:history="1">
        <w:r w:rsidRPr="00D463C2">
          <w:rPr>
            <w:rStyle w:val="Hyperlink"/>
          </w:rPr>
          <w:t>http://www.mentalhealth.org.uk/podcastsand-videos/computerised-cognitivebehavioural-therapy</w:t>
        </w:r>
      </w:hyperlink>
    </w:p>
    <w:p w14:paraId="5CAC9F06" w14:textId="77777777" w:rsidR="00E0465C" w:rsidRDefault="00E0465C" w:rsidP="00EB37DD">
      <w:pPr>
        <w:ind w:left="720" w:hanging="720"/>
        <w:jc w:val="both"/>
      </w:pPr>
      <w:r w:rsidRPr="009A0F79">
        <w:t>Davey, G. C. (20</w:t>
      </w:r>
      <w:r>
        <w:t>14</w:t>
      </w:r>
      <w:r w:rsidRPr="009A0F79">
        <w:t>). </w:t>
      </w:r>
      <w:r w:rsidRPr="009A0F79">
        <w:rPr>
          <w:i/>
          <w:iCs/>
        </w:rPr>
        <w:t>Psychopathology: Research, assessment and treatment in clinical psychology</w:t>
      </w:r>
      <w:r>
        <w:rPr>
          <w:i/>
          <w:iCs/>
        </w:rPr>
        <w:t xml:space="preserve"> </w:t>
      </w:r>
      <w:r>
        <w:t>(2</w:t>
      </w:r>
      <w:r w:rsidRPr="0092174E">
        <w:rPr>
          <w:vertAlign w:val="superscript"/>
        </w:rPr>
        <w:t>nd</w:t>
      </w:r>
      <w:r>
        <w:t xml:space="preserve"> ed.)</w:t>
      </w:r>
      <w:r w:rsidRPr="009A0F79">
        <w:t>. John Wiley &amp; Sons.</w:t>
      </w:r>
    </w:p>
    <w:p w14:paraId="655D8DCE" w14:textId="77777777" w:rsidR="00E0465C" w:rsidRPr="00FC787C" w:rsidRDefault="00E0465C" w:rsidP="00E0465C">
      <w:pPr>
        <w:ind w:left="720" w:hanging="720"/>
        <w:jc w:val="both"/>
      </w:pPr>
      <w:r>
        <w:t xml:space="preserve">Day, S. (2016). </w:t>
      </w:r>
      <w:r w:rsidRPr="00CF36D3">
        <w:t xml:space="preserve">Families experience of Poverty Stigma in Education. </w:t>
      </w:r>
      <w:r>
        <w:t xml:space="preserve">In </w:t>
      </w:r>
      <w:r w:rsidRPr="00213E8C">
        <w:rPr>
          <w:i/>
          <w:iCs/>
        </w:rPr>
        <w:t>Psychology</w:t>
      </w:r>
      <w:r>
        <w:rPr>
          <w:i/>
          <w:iCs/>
        </w:rPr>
        <w:t xml:space="preserve"> 46</w:t>
      </w:r>
      <w:r>
        <w:t xml:space="preserve">(6), </w:t>
      </w:r>
      <w:r w:rsidRPr="005B1671">
        <w:t>369-375</w:t>
      </w:r>
      <w:r>
        <w:t>.</w:t>
      </w:r>
    </w:p>
    <w:p w14:paraId="511615DD" w14:textId="77777777" w:rsidR="00E0465C" w:rsidRDefault="00E0465C" w:rsidP="00EB37DD">
      <w:pPr>
        <w:ind w:left="720" w:hanging="720"/>
        <w:jc w:val="both"/>
      </w:pPr>
      <w:r w:rsidRPr="00E330C7">
        <w:t>Evans, L., Mitchell, I., &amp; Jones, S. (2006). Psychological responses to sport injury: A review of current research. In</w:t>
      </w:r>
      <w:r>
        <w:t xml:space="preserve"> S.</w:t>
      </w:r>
      <w:r w:rsidRPr="00E330C7">
        <w:t xml:space="preserve"> </w:t>
      </w:r>
      <w:r w:rsidRPr="00EF205B">
        <w:t>Hanton &amp; S. D.</w:t>
      </w:r>
      <w:r>
        <w:t xml:space="preserve"> </w:t>
      </w:r>
      <w:r w:rsidRPr="00EF205B">
        <w:t>Mellalieu, (</w:t>
      </w:r>
      <w:r>
        <w:t>Eds</w:t>
      </w:r>
      <w:r w:rsidRPr="00EF205B">
        <w:t>). </w:t>
      </w:r>
      <w:r w:rsidRPr="00EF205B">
        <w:rPr>
          <w:i/>
          <w:iCs/>
        </w:rPr>
        <w:t>Literature reviews in sport psychology</w:t>
      </w:r>
      <w:r>
        <w:t xml:space="preserve"> </w:t>
      </w:r>
      <w:r w:rsidRPr="00E330C7">
        <w:t>(pp. 289-319)</w:t>
      </w:r>
      <w:r w:rsidRPr="00EF205B">
        <w:t xml:space="preserve"> Nova Science Publishers, Inc.</w:t>
      </w:r>
    </w:p>
    <w:p w14:paraId="5751AD0E" w14:textId="77777777" w:rsidR="00E0465C" w:rsidRPr="00697801" w:rsidRDefault="00E0465C" w:rsidP="00EB37DD">
      <w:pPr>
        <w:ind w:left="720" w:hanging="720"/>
        <w:jc w:val="both"/>
      </w:pPr>
      <w:r w:rsidRPr="00697801">
        <w:t xml:space="preserve">Geekie, J., &amp; Read, J. (2009). </w:t>
      </w:r>
      <w:r w:rsidRPr="00697801">
        <w:rPr>
          <w:i/>
          <w:iCs/>
        </w:rPr>
        <w:t>Making sense of madness: Contesting the meaning of schizophrenia</w:t>
      </w:r>
      <w:r w:rsidRPr="00697801">
        <w:t xml:space="preserve">. Routledge. </w:t>
      </w:r>
    </w:p>
    <w:p w14:paraId="7368CFE5" w14:textId="77777777" w:rsidR="00E0465C" w:rsidRDefault="00E0465C" w:rsidP="00EB37DD">
      <w:pPr>
        <w:ind w:left="720" w:hanging="720"/>
        <w:jc w:val="both"/>
      </w:pPr>
      <w:r w:rsidRPr="004F6611">
        <w:t xml:space="preserve">Hefferon, K., &amp; Boniwell, I. (2011). </w:t>
      </w:r>
      <w:r w:rsidRPr="004F6611">
        <w:rPr>
          <w:i/>
          <w:iCs/>
        </w:rPr>
        <w:t>Positive psychology: Theory, research and applications</w:t>
      </w:r>
      <w:r w:rsidRPr="004F6611">
        <w:t>. McGraw-Hill Education (UK).</w:t>
      </w:r>
    </w:p>
    <w:p w14:paraId="16FC6DEB" w14:textId="77777777" w:rsidR="00E0465C" w:rsidRDefault="00E0465C" w:rsidP="00EB37DD">
      <w:pPr>
        <w:ind w:left="720" w:hanging="720"/>
        <w:jc w:val="both"/>
      </w:pPr>
      <w:r w:rsidRPr="00EF63FD">
        <w:t>Hill, E. M. (2016). The role of narcissism in health-risk and health-protective behaviors. </w:t>
      </w:r>
      <w:r w:rsidRPr="00EF63FD">
        <w:rPr>
          <w:i/>
          <w:iCs/>
        </w:rPr>
        <w:t>Journal of health psychology</w:t>
      </w:r>
      <w:r w:rsidRPr="00EF63FD">
        <w:t>, </w:t>
      </w:r>
      <w:r w:rsidRPr="00EF63FD">
        <w:rPr>
          <w:i/>
          <w:iCs/>
        </w:rPr>
        <w:t>21</w:t>
      </w:r>
      <w:r w:rsidRPr="00EF63FD">
        <w:t>(9), 2021-2032.</w:t>
      </w:r>
    </w:p>
    <w:p w14:paraId="6D118F3C" w14:textId="77777777" w:rsidR="00E0465C" w:rsidRDefault="00E0465C" w:rsidP="00EB37DD">
      <w:pPr>
        <w:ind w:left="720" w:hanging="720"/>
        <w:jc w:val="both"/>
      </w:pPr>
      <w:r w:rsidRPr="00C73F76">
        <w:t xml:space="preserve">Mazzetti, G., Schaufeli, W., &amp; Guglielmi, D. (2014). Are Workaholics Born or Made? Relations of Workaholism </w:t>
      </w:r>
      <w:r w:rsidRPr="00C73F76">
        <w:t>with</w:t>
      </w:r>
      <w:r w:rsidRPr="00C73F76">
        <w:t xml:space="preserve"> Person Characteristics and Overwork Climate. </w:t>
      </w:r>
      <w:r w:rsidRPr="00C73F76">
        <w:rPr>
          <w:i/>
          <w:iCs/>
        </w:rPr>
        <w:t>International Journal of Stress Management</w:t>
      </w:r>
      <w:r w:rsidRPr="00C73F76">
        <w:t>,</w:t>
      </w:r>
      <w:r w:rsidRPr="00C73F76">
        <w:rPr>
          <w:i/>
          <w:iCs/>
        </w:rPr>
        <w:t xml:space="preserve"> 21</w:t>
      </w:r>
      <w:r w:rsidRPr="00C73F76">
        <w:t xml:space="preserve">, 227-254. </w:t>
      </w:r>
      <w:hyperlink r:id="rId8" w:history="1">
        <w:r w:rsidRPr="00D463C2">
          <w:rPr>
            <w:rStyle w:val="Hyperlink"/>
          </w:rPr>
          <w:t>https://doi.org/10.1037/a0035700</w:t>
        </w:r>
      </w:hyperlink>
    </w:p>
    <w:p w14:paraId="55B0D9D8" w14:textId="77777777" w:rsidR="00E0465C" w:rsidRDefault="00E0465C" w:rsidP="00EB37DD">
      <w:pPr>
        <w:ind w:left="720" w:hanging="720"/>
        <w:jc w:val="both"/>
      </w:pPr>
      <w:r w:rsidRPr="005E61ED">
        <w:t>Mohamed, S. (2012). </w:t>
      </w:r>
      <w:r w:rsidRPr="005E61ED">
        <w:rPr>
          <w:i/>
          <w:iCs/>
        </w:rPr>
        <w:t>Stigma and mental illness: are there cultural differences?</w:t>
      </w:r>
      <w:r w:rsidRPr="005E61ED">
        <w:t> (Doctoral dissertation, University of East Anglia).</w:t>
      </w:r>
    </w:p>
    <w:p w14:paraId="7CA226C8" w14:textId="77777777" w:rsidR="00E0465C" w:rsidRDefault="00E0465C" w:rsidP="00EB37DD">
      <w:pPr>
        <w:ind w:left="720" w:hanging="720"/>
        <w:jc w:val="both"/>
      </w:pPr>
      <w:r w:rsidRPr="00691C77">
        <w:t xml:space="preserve">Phelps, C., Minou, M., Baker, A., Hughes, C., French, H., Hawkins, W., Leeuwenberg, A., Crabtree, R., &amp; Hutchings, P. B. (2017). Necessary but not sufficient? Engaging young people in the development of an avatar-based online intervention designed to provide psychosocial support to young people affected by their own or a family member's </w:t>
      </w:r>
      <w:r w:rsidRPr="00691C77">
        <w:lastRenderedPageBreak/>
        <w:t>cancer diagnosis. </w:t>
      </w:r>
      <w:r w:rsidRPr="00691C77">
        <w:rPr>
          <w:i/>
          <w:iCs/>
        </w:rPr>
        <w:t xml:space="preserve">Health expectations: </w:t>
      </w:r>
      <w:r>
        <w:rPr>
          <w:i/>
          <w:iCs/>
        </w:rPr>
        <w:t>A</w:t>
      </w:r>
      <w:r w:rsidRPr="00691C77">
        <w:rPr>
          <w:i/>
          <w:iCs/>
        </w:rPr>
        <w:t>n international journal of public participation in health care and health policy</w:t>
      </w:r>
      <w:r w:rsidRPr="00691C77">
        <w:t>, </w:t>
      </w:r>
      <w:r w:rsidRPr="00691C77">
        <w:rPr>
          <w:i/>
          <w:iCs/>
        </w:rPr>
        <w:t>20</w:t>
      </w:r>
      <w:r w:rsidRPr="00691C77">
        <w:t xml:space="preserve">(3), 459–470. </w:t>
      </w:r>
      <w:hyperlink r:id="rId9" w:history="1">
        <w:r w:rsidRPr="00D463C2">
          <w:rPr>
            <w:rStyle w:val="Hyperlink"/>
          </w:rPr>
          <w:t>https://doi.org/10.1111/hex.12473</w:t>
        </w:r>
      </w:hyperlink>
    </w:p>
    <w:p w14:paraId="73B6B566" w14:textId="77777777" w:rsidR="00E0465C" w:rsidRDefault="00E0465C" w:rsidP="00EB37DD">
      <w:pPr>
        <w:ind w:left="720" w:hanging="720"/>
        <w:jc w:val="both"/>
      </w:pPr>
      <w:r w:rsidRPr="00E5392C">
        <w:t>Tarrier, N., Liversidge, T., &amp; Gregg, L. (2006). The acceptability and preference for the psychological treatment of PTSD. </w:t>
      </w:r>
      <w:r w:rsidRPr="00E5392C">
        <w:rPr>
          <w:i/>
          <w:iCs/>
        </w:rPr>
        <w:t>Behaviour research and therapy</w:t>
      </w:r>
      <w:r w:rsidRPr="00E5392C">
        <w:t>, </w:t>
      </w:r>
      <w:r w:rsidRPr="00E5392C">
        <w:rPr>
          <w:i/>
          <w:iCs/>
        </w:rPr>
        <w:t>44</w:t>
      </w:r>
      <w:r w:rsidRPr="00E5392C">
        <w:t>(11), 1643-1656.</w:t>
      </w:r>
    </w:p>
    <w:p w14:paraId="4359F5E0" w14:textId="77777777" w:rsidR="00E0465C" w:rsidRPr="00091853" w:rsidRDefault="00E0465C" w:rsidP="00EB37DD">
      <w:pPr>
        <w:ind w:left="720" w:hanging="720"/>
        <w:jc w:val="both"/>
      </w:pPr>
      <w:r w:rsidRPr="0060024A">
        <w:t>Ulleberg, P., &amp; Rundmo, T. (2003). Personality, attitudes and risk perception as predictors of risky driving behaviour among young drivers. </w:t>
      </w:r>
      <w:r w:rsidRPr="0060024A">
        <w:rPr>
          <w:i/>
          <w:iCs/>
        </w:rPr>
        <w:t>Safety science</w:t>
      </w:r>
      <w:r w:rsidRPr="0060024A">
        <w:t>, </w:t>
      </w:r>
      <w:r w:rsidRPr="0060024A">
        <w:rPr>
          <w:i/>
          <w:iCs/>
        </w:rPr>
        <w:t>41</w:t>
      </w:r>
      <w:r w:rsidRPr="0060024A">
        <w:t>(5), 427-443.</w:t>
      </w:r>
    </w:p>
    <w:p w14:paraId="6D3A7AE6" w14:textId="77777777" w:rsidR="00E0465C" w:rsidRDefault="00E0465C" w:rsidP="00EB37DD">
      <w:pPr>
        <w:ind w:left="720" w:hanging="720"/>
        <w:jc w:val="both"/>
      </w:pPr>
      <w:r w:rsidRPr="00C35950">
        <w:t>Van Hasselt, V. B., Romano, S. J., &amp; Vecchi, G. M. (2008). Role playing: Applications in hostage and crisis negotiation skills training. </w:t>
      </w:r>
      <w:r w:rsidRPr="00C35950">
        <w:rPr>
          <w:i/>
          <w:iCs/>
        </w:rPr>
        <w:t>Behavior modification</w:t>
      </w:r>
      <w:r w:rsidRPr="00C35950">
        <w:t>, </w:t>
      </w:r>
      <w:r w:rsidRPr="00C35950">
        <w:rPr>
          <w:i/>
          <w:iCs/>
        </w:rPr>
        <w:t>32</w:t>
      </w:r>
      <w:r w:rsidRPr="00C35950">
        <w:t>(2), 248-263.</w:t>
      </w:r>
    </w:p>
    <w:p w14:paraId="7789B24D" w14:textId="77777777" w:rsidR="00E0465C" w:rsidRPr="008B6DC2" w:rsidRDefault="00E0465C" w:rsidP="00EB37DD">
      <w:pPr>
        <w:ind w:left="720" w:hanging="720"/>
        <w:jc w:val="both"/>
      </w:pPr>
      <w:r w:rsidRPr="008B6DC2">
        <w:t xml:space="preserve">Vartanian, L. R., Trewartha, T., &amp; Vanman, E. J. (2016). Disgust predicts prejudice and discrimination toward individuals with obesity. </w:t>
      </w:r>
      <w:r w:rsidRPr="008B6DC2">
        <w:rPr>
          <w:i/>
          <w:iCs/>
        </w:rPr>
        <w:t>Journal of Applied Social Psychology</w:t>
      </w:r>
      <w:r w:rsidRPr="008B6DC2">
        <w:t>,</w:t>
      </w:r>
      <w:r w:rsidRPr="008B6DC2">
        <w:rPr>
          <w:i/>
          <w:iCs/>
        </w:rPr>
        <w:t xml:space="preserve"> 46</w:t>
      </w:r>
      <w:r w:rsidRPr="008B6DC2">
        <w:t xml:space="preserve">(6), 369-375. </w:t>
      </w:r>
    </w:p>
    <w:p w14:paraId="788A31C6" w14:textId="77777777" w:rsidR="00E0465C" w:rsidRPr="00567B71" w:rsidRDefault="00E0465C" w:rsidP="00EB37DD">
      <w:pPr>
        <w:ind w:left="720" w:hanging="720"/>
        <w:jc w:val="both"/>
      </w:pPr>
      <w:r w:rsidRPr="00567B71">
        <w:t xml:space="preserve">Voigt, D. C., Dillard, J. P., Braddock, K. H., Anderson, J. W., Sopory, P., &amp; Stephenson, M. T. (2009). Carver and White’s (1994) BIS/BAS scales and their relationship to risky health behaviours. </w:t>
      </w:r>
      <w:r w:rsidRPr="00567B71">
        <w:rPr>
          <w:i/>
          <w:iCs/>
        </w:rPr>
        <w:t>Personality and Individual Differences</w:t>
      </w:r>
      <w:r w:rsidRPr="00567B71">
        <w:t>,</w:t>
      </w:r>
      <w:r w:rsidRPr="00567B71">
        <w:rPr>
          <w:i/>
          <w:iCs/>
        </w:rPr>
        <w:t xml:space="preserve"> 47</w:t>
      </w:r>
      <w:r w:rsidRPr="00567B71">
        <w:t xml:space="preserve">(2), 89-93. https://doi.org/https://doi.org/10.1016/j.paid.2009.02.003 </w:t>
      </w:r>
    </w:p>
    <w:p w14:paraId="68A4783B" w14:textId="77777777" w:rsidR="00E0465C" w:rsidRPr="00EB37DD" w:rsidRDefault="00E0465C" w:rsidP="00EB37DD">
      <w:pPr>
        <w:ind w:left="720" w:hanging="720"/>
        <w:jc w:val="both"/>
      </w:pPr>
      <w:r w:rsidRPr="00EB37DD">
        <w:t xml:space="preserve">Welsh Government. (2015). </w:t>
      </w:r>
      <w:r w:rsidRPr="00EB37DD">
        <w:rPr>
          <w:i/>
          <w:iCs/>
        </w:rPr>
        <w:t>The Well-being of Future Generations</w:t>
      </w:r>
      <w:r w:rsidRPr="00EB37DD">
        <w:t>. GOV.Wales. https://www.gov.wales/well-being-of-future-generations-wales</w:t>
      </w:r>
    </w:p>
    <w:p w14:paraId="08A560A7" w14:textId="77777777" w:rsidR="00E0465C" w:rsidRPr="005B5430" w:rsidRDefault="00E0465C" w:rsidP="00EB37DD">
      <w:pPr>
        <w:ind w:left="720" w:hanging="720"/>
        <w:jc w:val="both"/>
      </w:pPr>
      <w:r w:rsidRPr="005B5430">
        <w:t xml:space="preserve">Williamson, H., Hamlet, C., White, P., Marques, E. M., Cadogan, J., Perera, R., Rumsey, N., Hayward, L., &amp; Harcourt, D. (2016). Study protocol of the YP Face IT feasibility study: comparing an online psychosocial intervention versus treatment as usual for adolescents distressed by appearance-altering conditions/injuries. </w:t>
      </w:r>
      <w:r w:rsidRPr="005B5430">
        <w:rPr>
          <w:i/>
          <w:iCs/>
        </w:rPr>
        <w:t>BMJ open</w:t>
      </w:r>
      <w:r w:rsidRPr="005B5430">
        <w:t>,</w:t>
      </w:r>
      <w:r w:rsidRPr="005B5430">
        <w:rPr>
          <w:i/>
          <w:iCs/>
        </w:rPr>
        <w:t xml:space="preserve"> 6</w:t>
      </w:r>
      <w:r w:rsidRPr="005B5430">
        <w:t xml:space="preserve">(10), e012423. </w:t>
      </w:r>
    </w:p>
    <w:p w14:paraId="4B79ABC0" w14:textId="77777777" w:rsidR="00E0465C" w:rsidRDefault="00E0465C" w:rsidP="00EB37DD">
      <w:pPr>
        <w:ind w:left="720" w:hanging="720"/>
        <w:jc w:val="both"/>
      </w:pPr>
      <w:r w:rsidRPr="00D7538C">
        <w:t xml:space="preserve">Windsor-Shellard, B. (2017). </w:t>
      </w:r>
      <w:r w:rsidRPr="00D7538C">
        <w:rPr>
          <w:i/>
          <w:iCs/>
        </w:rPr>
        <w:t>Adult drinking habits in Great Britain - Office for National Statistics</w:t>
      </w:r>
      <w:r w:rsidRPr="00D7538C">
        <w:t>.</w:t>
      </w:r>
      <w:r>
        <w:t xml:space="preserve"> </w:t>
      </w:r>
      <w:r w:rsidRPr="00D7538C">
        <w:t xml:space="preserve">Ons.Gov.Uk. </w:t>
      </w:r>
      <w:hyperlink r:id="rId10" w:history="1">
        <w:r w:rsidRPr="00D463C2">
          <w:rPr>
            <w:rStyle w:val="Hyperlink"/>
          </w:rPr>
          <w:t>https://www.ons.gov.uk/peoplepopulationandcommunity/healthandsocialcare/drugusealcoholandsmoking/bulletins/opinionsandlifestylesurveyadultdrinkinghabitsingreatbritain/2005to2016</w:t>
        </w:r>
      </w:hyperlink>
    </w:p>
    <w:p w14:paraId="6C77D903" w14:textId="33EDA802" w:rsidR="00533C88" w:rsidRPr="004F6611" w:rsidRDefault="00E0465C" w:rsidP="00525CA5">
      <w:pPr>
        <w:ind w:left="720" w:hanging="720"/>
        <w:jc w:val="both"/>
      </w:pPr>
      <w:r w:rsidRPr="00091853">
        <w:t>Young, E. (2017</w:t>
      </w:r>
      <w:r>
        <w:t>, September 18</w:t>
      </w:r>
      <w:r w:rsidRPr="00091853">
        <w:t xml:space="preserve">). Women know better than men what other women are thinking and feeling. </w:t>
      </w:r>
      <w:r w:rsidRPr="00091853">
        <w:rPr>
          <w:i/>
          <w:iCs/>
        </w:rPr>
        <w:t>The British Psychological Society</w:t>
      </w:r>
      <w:r w:rsidRPr="00091853">
        <w:t xml:space="preserve">. </w:t>
      </w:r>
      <w:hyperlink r:id="rId11" w:history="1">
        <w:r w:rsidRPr="00D463C2">
          <w:rPr>
            <w:rStyle w:val="Hyperlink"/>
          </w:rPr>
          <w:t>https://www.bps.org.uk/research-digest/women-know-better-men-what-other-women-are-thinking-and-feeling</w:t>
        </w:r>
      </w:hyperlink>
    </w:p>
    <w:p w14:paraId="53D6D43C" w14:textId="28F04D92" w:rsidR="007F19B5" w:rsidRDefault="007F19B5" w:rsidP="007F19B5">
      <w:pPr>
        <w:jc w:val="center"/>
        <w:rPr>
          <w:b/>
          <w:bCs/>
        </w:rPr>
      </w:pPr>
      <w:r>
        <w:rPr>
          <w:b/>
          <w:bCs/>
        </w:rPr>
        <w:lastRenderedPageBreak/>
        <w:t>Reference</w:t>
      </w:r>
    </w:p>
    <w:p w14:paraId="702A6142" w14:textId="77777777" w:rsidR="00C168DF" w:rsidRDefault="00C168DF" w:rsidP="00C168DF">
      <w:pPr>
        <w:ind w:left="720" w:hanging="720"/>
        <w:jc w:val="both"/>
      </w:pPr>
      <w:r w:rsidRPr="00C168DF">
        <w:t xml:space="preserve">Ali, S., Shahzad, F., Hussain, I., Yongjian, P., Khan, M. M., &amp; Iqbal, Z. (2022). The outcomes of organizational cronyism: A social exchange theory perspective. </w:t>
      </w:r>
      <w:r w:rsidRPr="00C168DF">
        <w:rPr>
          <w:i/>
          <w:iCs/>
        </w:rPr>
        <w:t>Frontiers in Psychology</w:t>
      </w:r>
      <w:r w:rsidRPr="00C168DF">
        <w:t>,</w:t>
      </w:r>
      <w:r w:rsidRPr="00C168DF">
        <w:rPr>
          <w:i/>
          <w:iCs/>
        </w:rPr>
        <w:t xml:space="preserve"> 13</w:t>
      </w:r>
      <w:r w:rsidRPr="00C168DF">
        <w:t xml:space="preserve">, 805262. </w:t>
      </w:r>
    </w:p>
    <w:p w14:paraId="24E20801" w14:textId="77777777" w:rsidR="00C168DF" w:rsidRPr="00CB4A0D" w:rsidRDefault="00C168DF" w:rsidP="00C168DF">
      <w:pPr>
        <w:ind w:left="720" w:hanging="720"/>
        <w:jc w:val="both"/>
      </w:pPr>
      <w:r w:rsidRPr="00CB4A0D">
        <w:t xml:space="preserve">Asch, S. E. (1956). Studies of independence and conformity: I. A minority of one against a unanimous majority. </w:t>
      </w:r>
      <w:r w:rsidRPr="00CB4A0D">
        <w:rPr>
          <w:i/>
          <w:iCs/>
        </w:rPr>
        <w:t>Psychological monographs: General and applied</w:t>
      </w:r>
      <w:r w:rsidRPr="00CB4A0D">
        <w:t>,</w:t>
      </w:r>
      <w:r w:rsidRPr="00CB4A0D">
        <w:rPr>
          <w:i/>
          <w:iCs/>
        </w:rPr>
        <w:t xml:space="preserve"> 70</w:t>
      </w:r>
      <w:r w:rsidRPr="00CB4A0D">
        <w:t xml:space="preserve">(9), 1. </w:t>
      </w:r>
    </w:p>
    <w:p w14:paraId="0E59DEEA" w14:textId="77777777" w:rsidR="00C168DF" w:rsidRPr="0041283F" w:rsidRDefault="00C168DF" w:rsidP="00C168DF">
      <w:pPr>
        <w:ind w:left="720" w:hanging="720"/>
        <w:jc w:val="both"/>
      </w:pPr>
      <w:r w:rsidRPr="0041283F">
        <w:t xml:space="preserve">Davidai, S., &amp; Tepper, S. J. (2023). The psychology of zero-sum beliefs. </w:t>
      </w:r>
      <w:r w:rsidRPr="0041283F">
        <w:rPr>
          <w:i/>
          <w:iCs/>
        </w:rPr>
        <w:t>Nature Reviews Psychology</w:t>
      </w:r>
      <w:r w:rsidRPr="0041283F">
        <w:t>,</w:t>
      </w:r>
      <w:r w:rsidRPr="0041283F">
        <w:rPr>
          <w:i/>
          <w:iCs/>
        </w:rPr>
        <w:t xml:space="preserve"> 2</w:t>
      </w:r>
      <w:r w:rsidRPr="0041283F">
        <w:t xml:space="preserve">(8), 472-482. </w:t>
      </w:r>
    </w:p>
    <w:p w14:paraId="28C9749A" w14:textId="77777777" w:rsidR="00C168DF" w:rsidRPr="00525CA5" w:rsidRDefault="00C168DF" w:rsidP="00C168DF">
      <w:pPr>
        <w:ind w:left="720" w:hanging="720"/>
        <w:jc w:val="both"/>
      </w:pPr>
      <w:r w:rsidRPr="00525CA5">
        <w:t xml:space="preserve">Deutsch, M., &amp; Gerard, H. B. (1955). A study of normative and informational social influences upon individual judgment. </w:t>
      </w:r>
      <w:r w:rsidRPr="00525CA5">
        <w:rPr>
          <w:i/>
          <w:iCs/>
        </w:rPr>
        <w:t>The journal of abnormal and social psychology</w:t>
      </w:r>
      <w:r w:rsidRPr="00525CA5">
        <w:t>,</w:t>
      </w:r>
      <w:r w:rsidRPr="00525CA5">
        <w:rPr>
          <w:i/>
          <w:iCs/>
        </w:rPr>
        <w:t xml:space="preserve"> 51</w:t>
      </w:r>
      <w:r w:rsidRPr="00525CA5">
        <w:t xml:space="preserve">(3), 629. </w:t>
      </w:r>
    </w:p>
    <w:p w14:paraId="538AF742" w14:textId="77777777" w:rsidR="00C168DF" w:rsidRPr="008970C0" w:rsidRDefault="00C168DF" w:rsidP="00C168DF">
      <w:pPr>
        <w:ind w:left="720" w:hanging="720"/>
        <w:jc w:val="both"/>
      </w:pPr>
      <w:r w:rsidRPr="008970C0">
        <w:t xml:space="preserve">Gradidge, S., Zawisza, M., Harvey, A. J., &amp; McDermott, D. T. (2021). A structured literature review of the meat paradox. </w:t>
      </w:r>
      <w:r w:rsidRPr="008970C0">
        <w:rPr>
          <w:i/>
          <w:iCs/>
        </w:rPr>
        <w:t>Social Psychological Bulletin</w:t>
      </w:r>
      <w:r w:rsidRPr="008970C0">
        <w:t>,</w:t>
      </w:r>
      <w:r w:rsidRPr="008970C0">
        <w:rPr>
          <w:i/>
          <w:iCs/>
        </w:rPr>
        <w:t xml:space="preserve"> 16</w:t>
      </w:r>
      <w:r w:rsidRPr="008970C0">
        <w:t xml:space="preserve">(3), 1-26. </w:t>
      </w:r>
    </w:p>
    <w:p w14:paraId="153C8B7A" w14:textId="77777777" w:rsidR="00C168DF" w:rsidRPr="00F9168E" w:rsidRDefault="00C168DF" w:rsidP="00C168DF">
      <w:pPr>
        <w:ind w:left="720" w:hanging="720"/>
        <w:jc w:val="both"/>
      </w:pPr>
      <w:r w:rsidRPr="00F9168E">
        <w:t xml:space="preserve">Hewstone, M., &amp; Martin, R. (2010). Minority influence: From groups to attitudes and back again. </w:t>
      </w:r>
      <w:r w:rsidRPr="00F9168E">
        <w:rPr>
          <w:i/>
          <w:iCs/>
        </w:rPr>
        <w:t>Minority influence and innovation: Antecedents, processes and consequences</w:t>
      </w:r>
      <w:r w:rsidRPr="00F9168E">
        <w:t xml:space="preserve">, 365-394. </w:t>
      </w:r>
    </w:p>
    <w:p w14:paraId="4EBF7B65" w14:textId="77777777" w:rsidR="00C168DF" w:rsidRPr="00AB274A" w:rsidRDefault="00C168DF" w:rsidP="00C168DF">
      <w:pPr>
        <w:ind w:left="720" w:hanging="720"/>
        <w:jc w:val="both"/>
      </w:pPr>
      <w:r w:rsidRPr="00AB274A">
        <w:t xml:space="preserve">Moscovici, S., Mugny, G., &amp; Van Avermaet, E. (1985). </w:t>
      </w:r>
      <w:r w:rsidRPr="00AB274A">
        <w:rPr>
          <w:i/>
          <w:iCs/>
        </w:rPr>
        <w:t>Perspectives on minority influence</w:t>
      </w:r>
      <w:r w:rsidRPr="00AB274A">
        <w:t xml:space="preserve"> (Vol. 9). Cambridge University Press. </w:t>
      </w:r>
    </w:p>
    <w:p w14:paraId="22EDB4C0" w14:textId="77777777" w:rsidR="00C168DF" w:rsidRPr="006C7189" w:rsidRDefault="00C168DF" w:rsidP="00C168DF">
      <w:pPr>
        <w:ind w:left="720" w:hanging="720"/>
        <w:jc w:val="both"/>
      </w:pPr>
      <w:r w:rsidRPr="00622137">
        <w:t xml:space="preserve">Sherif, M. (1937). An experimental approach to the study of attitudes. </w:t>
      </w:r>
      <w:r w:rsidRPr="00622137">
        <w:rPr>
          <w:i/>
          <w:iCs/>
        </w:rPr>
        <w:t>Sociometry</w:t>
      </w:r>
      <w:r w:rsidRPr="00622137">
        <w:t>,</w:t>
      </w:r>
      <w:r w:rsidRPr="00622137">
        <w:rPr>
          <w:i/>
          <w:iCs/>
        </w:rPr>
        <w:t xml:space="preserve"> 1</w:t>
      </w:r>
      <w:r w:rsidRPr="00622137">
        <w:t xml:space="preserve">(1/2), 90-98. </w:t>
      </w:r>
    </w:p>
    <w:p w14:paraId="143BE22D" w14:textId="77777777" w:rsidR="00C168DF" w:rsidRPr="00B87EE5" w:rsidRDefault="00C168DF" w:rsidP="00C168DF">
      <w:pPr>
        <w:ind w:left="720" w:hanging="720"/>
        <w:jc w:val="both"/>
      </w:pPr>
      <w:r w:rsidRPr="00B87EE5">
        <w:t xml:space="preserve">Wemrell, M., Stjernlöf, S., Aenishänslin, J., Lila, M., Gracia, E., &amp; Ivert, A. K. (2019). Towards understanding the Nordic paradox: A review of qualitative interview studies on intimate partner violence against women (IPVAW) in Sweden. </w:t>
      </w:r>
      <w:r w:rsidRPr="00B87EE5">
        <w:rPr>
          <w:i/>
          <w:iCs/>
        </w:rPr>
        <w:t>Sociology Compass</w:t>
      </w:r>
      <w:r w:rsidRPr="00B87EE5">
        <w:t>,</w:t>
      </w:r>
      <w:r w:rsidRPr="00B87EE5">
        <w:rPr>
          <w:i/>
          <w:iCs/>
        </w:rPr>
        <w:t xml:space="preserve"> 13</w:t>
      </w:r>
      <w:r w:rsidRPr="00B87EE5">
        <w:t xml:space="preserve">(6), e12699. </w:t>
      </w:r>
    </w:p>
    <w:p w14:paraId="58608335" w14:textId="77777777" w:rsidR="00C168DF" w:rsidRPr="00542AEA" w:rsidRDefault="00C168DF" w:rsidP="00C168DF">
      <w:pPr>
        <w:ind w:left="720" w:hanging="720"/>
        <w:jc w:val="both"/>
      </w:pPr>
      <w:r w:rsidRPr="00542AEA">
        <w:t xml:space="preserve">Zarankin, T. G., &amp; Kunkel, D. (2019). Colleagues and Friends: A Theoretical Framework of Workplace Friendship. </w:t>
      </w:r>
      <w:r w:rsidRPr="00542AEA">
        <w:rPr>
          <w:i/>
          <w:iCs/>
        </w:rPr>
        <w:t>Journal of Organizational Psychology</w:t>
      </w:r>
      <w:r w:rsidRPr="00542AEA">
        <w:t>,</w:t>
      </w:r>
      <w:r w:rsidRPr="00542AEA">
        <w:rPr>
          <w:i/>
          <w:iCs/>
        </w:rPr>
        <w:t xml:space="preserve"> 19</w:t>
      </w:r>
      <w:r w:rsidRPr="00542AEA">
        <w:t xml:space="preserve">(5). </w:t>
      </w:r>
    </w:p>
    <w:sectPr w:rsidR="00C168DF" w:rsidRPr="00542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stylePaneSortMethod w:val="00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7th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eaps2ztk5a9xwe29x45evd9v5ft5tv2vpss&quot;&gt;My EndNote Library&lt;record-ids&gt;&lt;item&gt;154&lt;/item&gt;&lt;item&gt;158&lt;/item&gt;&lt;item&gt;159&lt;/item&gt;&lt;item&gt;160&lt;/item&gt;&lt;item&gt;161&lt;/item&gt;&lt;item&gt;162&lt;/item&gt;&lt;/record-ids&gt;&lt;/item&gt;&lt;/Libraries&gt;"/>
  </w:docVars>
  <w:rsids>
    <w:rsidRoot w:val="00595D83"/>
    <w:rsid w:val="00002E18"/>
    <w:rsid w:val="000062E1"/>
    <w:rsid w:val="00014A9E"/>
    <w:rsid w:val="000168DF"/>
    <w:rsid w:val="00021E63"/>
    <w:rsid w:val="00022EC3"/>
    <w:rsid w:val="0002493B"/>
    <w:rsid w:val="00025532"/>
    <w:rsid w:val="000311D1"/>
    <w:rsid w:val="00032389"/>
    <w:rsid w:val="00044A0E"/>
    <w:rsid w:val="000466AD"/>
    <w:rsid w:val="00050A1C"/>
    <w:rsid w:val="000526E0"/>
    <w:rsid w:val="00064515"/>
    <w:rsid w:val="0007177C"/>
    <w:rsid w:val="00072DE2"/>
    <w:rsid w:val="00080ACD"/>
    <w:rsid w:val="00084921"/>
    <w:rsid w:val="00091853"/>
    <w:rsid w:val="0009263F"/>
    <w:rsid w:val="0009531F"/>
    <w:rsid w:val="00097D4B"/>
    <w:rsid w:val="000B05A0"/>
    <w:rsid w:val="000B17D9"/>
    <w:rsid w:val="000B1810"/>
    <w:rsid w:val="000B5E56"/>
    <w:rsid w:val="000B6DD5"/>
    <w:rsid w:val="000C078A"/>
    <w:rsid w:val="000C2AF3"/>
    <w:rsid w:val="000E5C69"/>
    <w:rsid w:val="00100075"/>
    <w:rsid w:val="00101104"/>
    <w:rsid w:val="00105E72"/>
    <w:rsid w:val="00106102"/>
    <w:rsid w:val="00106A31"/>
    <w:rsid w:val="00112A67"/>
    <w:rsid w:val="00112F53"/>
    <w:rsid w:val="00113710"/>
    <w:rsid w:val="00113912"/>
    <w:rsid w:val="00115CC1"/>
    <w:rsid w:val="00117BC4"/>
    <w:rsid w:val="00123C1D"/>
    <w:rsid w:val="00143CD2"/>
    <w:rsid w:val="00144B2D"/>
    <w:rsid w:val="00145345"/>
    <w:rsid w:val="00146677"/>
    <w:rsid w:val="00151299"/>
    <w:rsid w:val="00152EF4"/>
    <w:rsid w:val="00156F89"/>
    <w:rsid w:val="001619AC"/>
    <w:rsid w:val="001709DF"/>
    <w:rsid w:val="00172561"/>
    <w:rsid w:val="00175D06"/>
    <w:rsid w:val="00177421"/>
    <w:rsid w:val="001816EA"/>
    <w:rsid w:val="00182FD7"/>
    <w:rsid w:val="00186EE0"/>
    <w:rsid w:val="001910D9"/>
    <w:rsid w:val="0019174B"/>
    <w:rsid w:val="001929C7"/>
    <w:rsid w:val="00196310"/>
    <w:rsid w:val="001A1CCF"/>
    <w:rsid w:val="001A1EC6"/>
    <w:rsid w:val="001A5649"/>
    <w:rsid w:val="001A6CDA"/>
    <w:rsid w:val="001B3B41"/>
    <w:rsid w:val="001B41CE"/>
    <w:rsid w:val="001B5E34"/>
    <w:rsid w:val="001B5F70"/>
    <w:rsid w:val="001B77BC"/>
    <w:rsid w:val="001C1DFC"/>
    <w:rsid w:val="001C743A"/>
    <w:rsid w:val="001E6EBB"/>
    <w:rsid w:val="001F5001"/>
    <w:rsid w:val="002005B2"/>
    <w:rsid w:val="00206C82"/>
    <w:rsid w:val="002076A9"/>
    <w:rsid w:val="00210545"/>
    <w:rsid w:val="00211FC1"/>
    <w:rsid w:val="00213E8C"/>
    <w:rsid w:val="00220801"/>
    <w:rsid w:val="00221392"/>
    <w:rsid w:val="00222707"/>
    <w:rsid w:val="00222AF7"/>
    <w:rsid w:val="00237D2A"/>
    <w:rsid w:val="00241215"/>
    <w:rsid w:val="00242F78"/>
    <w:rsid w:val="002469A7"/>
    <w:rsid w:val="00262295"/>
    <w:rsid w:val="00270772"/>
    <w:rsid w:val="002752C4"/>
    <w:rsid w:val="00286B5F"/>
    <w:rsid w:val="002870DD"/>
    <w:rsid w:val="00287161"/>
    <w:rsid w:val="002906D5"/>
    <w:rsid w:val="00290C54"/>
    <w:rsid w:val="00293190"/>
    <w:rsid w:val="00296F3C"/>
    <w:rsid w:val="002A3A8C"/>
    <w:rsid w:val="002A644D"/>
    <w:rsid w:val="002A6B83"/>
    <w:rsid w:val="002B0210"/>
    <w:rsid w:val="002B10EF"/>
    <w:rsid w:val="002D08FB"/>
    <w:rsid w:val="002D4030"/>
    <w:rsid w:val="002E4696"/>
    <w:rsid w:val="002E6A99"/>
    <w:rsid w:val="002F5844"/>
    <w:rsid w:val="002F7AF6"/>
    <w:rsid w:val="00300EE6"/>
    <w:rsid w:val="00307CAC"/>
    <w:rsid w:val="00321E9A"/>
    <w:rsid w:val="00346FD7"/>
    <w:rsid w:val="003504CF"/>
    <w:rsid w:val="00362EA1"/>
    <w:rsid w:val="00363AD6"/>
    <w:rsid w:val="0038453D"/>
    <w:rsid w:val="0039679C"/>
    <w:rsid w:val="003A0670"/>
    <w:rsid w:val="003A2FB9"/>
    <w:rsid w:val="003A521C"/>
    <w:rsid w:val="003B5080"/>
    <w:rsid w:val="003B5575"/>
    <w:rsid w:val="003B62D6"/>
    <w:rsid w:val="003C1695"/>
    <w:rsid w:val="003C2033"/>
    <w:rsid w:val="003C24DA"/>
    <w:rsid w:val="003C25C2"/>
    <w:rsid w:val="003C2B7B"/>
    <w:rsid w:val="003C7838"/>
    <w:rsid w:val="003D002E"/>
    <w:rsid w:val="003D06CF"/>
    <w:rsid w:val="003D2A3E"/>
    <w:rsid w:val="003D447A"/>
    <w:rsid w:val="003E4BD8"/>
    <w:rsid w:val="003E7905"/>
    <w:rsid w:val="003F2771"/>
    <w:rsid w:val="003F67AC"/>
    <w:rsid w:val="003F771A"/>
    <w:rsid w:val="00405CAD"/>
    <w:rsid w:val="00410372"/>
    <w:rsid w:val="0041283F"/>
    <w:rsid w:val="0041594C"/>
    <w:rsid w:val="004255B5"/>
    <w:rsid w:val="00426B92"/>
    <w:rsid w:val="00427892"/>
    <w:rsid w:val="00434A30"/>
    <w:rsid w:val="00437D09"/>
    <w:rsid w:val="00446912"/>
    <w:rsid w:val="00456427"/>
    <w:rsid w:val="0046237E"/>
    <w:rsid w:val="004646E1"/>
    <w:rsid w:val="0047186E"/>
    <w:rsid w:val="00481017"/>
    <w:rsid w:val="0048203F"/>
    <w:rsid w:val="00494F44"/>
    <w:rsid w:val="004960B7"/>
    <w:rsid w:val="004961F8"/>
    <w:rsid w:val="004962F1"/>
    <w:rsid w:val="00497239"/>
    <w:rsid w:val="004A7628"/>
    <w:rsid w:val="004B13E8"/>
    <w:rsid w:val="004C7A45"/>
    <w:rsid w:val="004C7CE1"/>
    <w:rsid w:val="004E2B2F"/>
    <w:rsid w:val="004F1B6E"/>
    <w:rsid w:val="004F6611"/>
    <w:rsid w:val="00502316"/>
    <w:rsid w:val="005031C6"/>
    <w:rsid w:val="00515D1D"/>
    <w:rsid w:val="00516129"/>
    <w:rsid w:val="00522DF6"/>
    <w:rsid w:val="00525AF3"/>
    <w:rsid w:val="00525CA5"/>
    <w:rsid w:val="00531C59"/>
    <w:rsid w:val="00533C88"/>
    <w:rsid w:val="00542AEA"/>
    <w:rsid w:val="00544CD6"/>
    <w:rsid w:val="00555570"/>
    <w:rsid w:val="005600D2"/>
    <w:rsid w:val="00560276"/>
    <w:rsid w:val="00563444"/>
    <w:rsid w:val="00567B71"/>
    <w:rsid w:val="005737FC"/>
    <w:rsid w:val="0057589B"/>
    <w:rsid w:val="00581154"/>
    <w:rsid w:val="00583E79"/>
    <w:rsid w:val="00593C4E"/>
    <w:rsid w:val="0059505F"/>
    <w:rsid w:val="00595D83"/>
    <w:rsid w:val="005B1671"/>
    <w:rsid w:val="005B1CFE"/>
    <w:rsid w:val="005B5430"/>
    <w:rsid w:val="005B601B"/>
    <w:rsid w:val="005C0AFA"/>
    <w:rsid w:val="005C2995"/>
    <w:rsid w:val="005C5FCE"/>
    <w:rsid w:val="005C7654"/>
    <w:rsid w:val="005C7BFC"/>
    <w:rsid w:val="005D590D"/>
    <w:rsid w:val="005E0871"/>
    <w:rsid w:val="005E61ED"/>
    <w:rsid w:val="005F1C90"/>
    <w:rsid w:val="005F3FDD"/>
    <w:rsid w:val="0060024A"/>
    <w:rsid w:val="0060048C"/>
    <w:rsid w:val="00600F51"/>
    <w:rsid w:val="00601541"/>
    <w:rsid w:val="0060425F"/>
    <w:rsid w:val="006044E9"/>
    <w:rsid w:val="00606206"/>
    <w:rsid w:val="00614706"/>
    <w:rsid w:val="00620188"/>
    <w:rsid w:val="00622137"/>
    <w:rsid w:val="00625CB4"/>
    <w:rsid w:val="00631535"/>
    <w:rsid w:val="00632D36"/>
    <w:rsid w:val="00634A00"/>
    <w:rsid w:val="00647E58"/>
    <w:rsid w:val="00650B89"/>
    <w:rsid w:val="00654B2E"/>
    <w:rsid w:val="006565C0"/>
    <w:rsid w:val="00667167"/>
    <w:rsid w:val="0066795F"/>
    <w:rsid w:val="00674FEA"/>
    <w:rsid w:val="00676D3E"/>
    <w:rsid w:val="006817AB"/>
    <w:rsid w:val="006819F0"/>
    <w:rsid w:val="0068291C"/>
    <w:rsid w:val="0068326D"/>
    <w:rsid w:val="006847B8"/>
    <w:rsid w:val="00691C77"/>
    <w:rsid w:val="00692BDB"/>
    <w:rsid w:val="006940AF"/>
    <w:rsid w:val="00696E77"/>
    <w:rsid w:val="00697801"/>
    <w:rsid w:val="00697FF2"/>
    <w:rsid w:val="006A3357"/>
    <w:rsid w:val="006A4920"/>
    <w:rsid w:val="006C7189"/>
    <w:rsid w:val="006D10F4"/>
    <w:rsid w:val="006D6308"/>
    <w:rsid w:val="006E0990"/>
    <w:rsid w:val="006E0BDB"/>
    <w:rsid w:val="006F5ACB"/>
    <w:rsid w:val="00700644"/>
    <w:rsid w:val="00705A27"/>
    <w:rsid w:val="007154EC"/>
    <w:rsid w:val="00717C5E"/>
    <w:rsid w:val="0073635A"/>
    <w:rsid w:val="00737208"/>
    <w:rsid w:val="0074116A"/>
    <w:rsid w:val="007419B4"/>
    <w:rsid w:val="00742169"/>
    <w:rsid w:val="00750FFB"/>
    <w:rsid w:val="00751A8F"/>
    <w:rsid w:val="00752B9B"/>
    <w:rsid w:val="00753C66"/>
    <w:rsid w:val="00762E91"/>
    <w:rsid w:val="00762EF3"/>
    <w:rsid w:val="00772EEC"/>
    <w:rsid w:val="00772F60"/>
    <w:rsid w:val="00773506"/>
    <w:rsid w:val="0078064A"/>
    <w:rsid w:val="00782099"/>
    <w:rsid w:val="00782543"/>
    <w:rsid w:val="007868B0"/>
    <w:rsid w:val="00794719"/>
    <w:rsid w:val="0079472E"/>
    <w:rsid w:val="007D167B"/>
    <w:rsid w:val="007D5992"/>
    <w:rsid w:val="007F19B5"/>
    <w:rsid w:val="007F35CA"/>
    <w:rsid w:val="007F52B1"/>
    <w:rsid w:val="008011D5"/>
    <w:rsid w:val="008026BD"/>
    <w:rsid w:val="00803595"/>
    <w:rsid w:val="0081136C"/>
    <w:rsid w:val="00812125"/>
    <w:rsid w:val="00827A56"/>
    <w:rsid w:val="0083119C"/>
    <w:rsid w:val="00840860"/>
    <w:rsid w:val="008629D6"/>
    <w:rsid w:val="0086498B"/>
    <w:rsid w:val="00874609"/>
    <w:rsid w:val="00876813"/>
    <w:rsid w:val="008813A1"/>
    <w:rsid w:val="00884725"/>
    <w:rsid w:val="0088739E"/>
    <w:rsid w:val="008970C0"/>
    <w:rsid w:val="008A0B7B"/>
    <w:rsid w:val="008A4A27"/>
    <w:rsid w:val="008A7333"/>
    <w:rsid w:val="008B6048"/>
    <w:rsid w:val="008B6DC2"/>
    <w:rsid w:val="008C32D2"/>
    <w:rsid w:val="008C398C"/>
    <w:rsid w:val="008E456A"/>
    <w:rsid w:val="008F0CB7"/>
    <w:rsid w:val="008F42A1"/>
    <w:rsid w:val="008F6379"/>
    <w:rsid w:val="00917CC7"/>
    <w:rsid w:val="0092174E"/>
    <w:rsid w:val="00924E72"/>
    <w:rsid w:val="00934BAB"/>
    <w:rsid w:val="00943FA4"/>
    <w:rsid w:val="009454B0"/>
    <w:rsid w:val="00945AB2"/>
    <w:rsid w:val="00950591"/>
    <w:rsid w:val="009550F9"/>
    <w:rsid w:val="009567A7"/>
    <w:rsid w:val="00957256"/>
    <w:rsid w:val="00961B2E"/>
    <w:rsid w:val="00964E8E"/>
    <w:rsid w:val="00985D3E"/>
    <w:rsid w:val="00987F0B"/>
    <w:rsid w:val="00997610"/>
    <w:rsid w:val="009A0F79"/>
    <w:rsid w:val="009A3CF7"/>
    <w:rsid w:val="009B3F29"/>
    <w:rsid w:val="009B52E4"/>
    <w:rsid w:val="009C60C4"/>
    <w:rsid w:val="009D26AE"/>
    <w:rsid w:val="009D3BC8"/>
    <w:rsid w:val="009E6D70"/>
    <w:rsid w:val="009F0C14"/>
    <w:rsid w:val="009F2208"/>
    <w:rsid w:val="009F3753"/>
    <w:rsid w:val="009F5D59"/>
    <w:rsid w:val="009F63DA"/>
    <w:rsid w:val="00A02689"/>
    <w:rsid w:val="00A10EC6"/>
    <w:rsid w:val="00A15744"/>
    <w:rsid w:val="00A23890"/>
    <w:rsid w:val="00A34976"/>
    <w:rsid w:val="00A42608"/>
    <w:rsid w:val="00A43DF5"/>
    <w:rsid w:val="00A44145"/>
    <w:rsid w:val="00A51AAA"/>
    <w:rsid w:val="00A71FD2"/>
    <w:rsid w:val="00A75E81"/>
    <w:rsid w:val="00A77F27"/>
    <w:rsid w:val="00A801F9"/>
    <w:rsid w:val="00A873B9"/>
    <w:rsid w:val="00A9204C"/>
    <w:rsid w:val="00A927DC"/>
    <w:rsid w:val="00A9778C"/>
    <w:rsid w:val="00AA2F33"/>
    <w:rsid w:val="00AA6AD1"/>
    <w:rsid w:val="00AB254B"/>
    <w:rsid w:val="00AB274A"/>
    <w:rsid w:val="00AB60D6"/>
    <w:rsid w:val="00AB7267"/>
    <w:rsid w:val="00AC569F"/>
    <w:rsid w:val="00AC6484"/>
    <w:rsid w:val="00AD123D"/>
    <w:rsid w:val="00AD22FB"/>
    <w:rsid w:val="00AD325C"/>
    <w:rsid w:val="00AD7477"/>
    <w:rsid w:val="00AE66BA"/>
    <w:rsid w:val="00AE71F7"/>
    <w:rsid w:val="00AF140F"/>
    <w:rsid w:val="00B00D27"/>
    <w:rsid w:val="00B045D2"/>
    <w:rsid w:val="00B059B3"/>
    <w:rsid w:val="00B12207"/>
    <w:rsid w:val="00B13DD9"/>
    <w:rsid w:val="00B15796"/>
    <w:rsid w:val="00B16B83"/>
    <w:rsid w:val="00B25646"/>
    <w:rsid w:val="00B32076"/>
    <w:rsid w:val="00B353A7"/>
    <w:rsid w:val="00B43461"/>
    <w:rsid w:val="00B57E55"/>
    <w:rsid w:val="00B71A93"/>
    <w:rsid w:val="00B74FDD"/>
    <w:rsid w:val="00B77CA1"/>
    <w:rsid w:val="00B80766"/>
    <w:rsid w:val="00B83D2B"/>
    <w:rsid w:val="00B83F72"/>
    <w:rsid w:val="00B87EE5"/>
    <w:rsid w:val="00B92E24"/>
    <w:rsid w:val="00BA21B3"/>
    <w:rsid w:val="00BB1AC7"/>
    <w:rsid w:val="00BB2201"/>
    <w:rsid w:val="00BB24EF"/>
    <w:rsid w:val="00BB5BD3"/>
    <w:rsid w:val="00BB6469"/>
    <w:rsid w:val="00BB6B1B"/>
    <w:rsid w:val="00BC6953"/>
    <w:rsid w:val="00BC7203"/>
    <w:rsid w:val="00BD44E7"/>
    <w:rsid w:val="00BE400A"/>
    <w:rsid w:val="00BF2668"/>
    <w:rsid w:val="00BF319E"/>
    <w:rsid w:val="00BF5287"/>
    <w:rsid w:val="00C00032"/>
    <w:rsid w:val="00C0004C"/>
    <w:rsid w:val="00C00EAA"/>
    <w:rsid w:val="00C15222"/>
    <w:rsid w:val="00C158D2"/>
    <w:rsid w:val="00C168DF"/>
    <w:rsid w:val="00C20F29"/>
    <w:rsid w:val="00C35950"/>
    <w:rsid w:val="00C35EA0"/>
    <w:rsid w:val="00C372B2"/>
    <w:rsid w:val="00C42900"/>
    <w:rsid w:val="00C4720A"/>
    <w:rsid w:val="00C538BE"/>
    <w:rsid w:val="00C56ED6"/>
    <w:rsid w:val="00C651BE"/>
    <w:rsid w:val="00C6770D"/>
    <w:rsid w:val="00C70F07"/>
    <w:rsid w:val="00C73F76"/>
    <w:rsid w:val="00C76CD9"/>
    <w:rsid w:val="00C90F48"/>
    <w:rsid w:val="00C91E99"/>
    <w:rsid w:val="00C92240"/>
    <w:rsid w:val="00C953F7"/>
    <w:rsid w:val="00CA4226"/>
    <w:rsid w:val="00CB4A0D"/>
    <w:rsid w:val="00CC5803"/>
    <w:rsid w:val="00CC7782"/>
    <w:rsid w:val="00CE33E6"/>
    <w:rsid w:val="00CE3A15"/>
    <w:rsid w:val="00CE7D51"/>
    <w:rsid w:val="00CF36D3"/>
    <w:rsid w:val="00CF7A5D"/>
    <w:rsid w:val="00CF7EEA"/>
    <w:rsid w:val="00D074AB"/>
    <w:rsid w:val="00D11E09"/>
    <w:rsid w:val="00D1438E"/>
    <w:rsid w:val="00D15A39"/>
    <w:rsid w:val="00D22988"/>
    <w:rsid w:val="00D254E5"/>
    <w:rsid w:val="00D329AF"/>
    <w:rsid w:val="00D3777E"/>
    <w:rsid w:val="00D53D57"/>
    <w:rsid w:val="00D54606"/>
    <w:rsid w:val="00D55E9D"/>
    <w:rsid w:val="00D63910"/>
    <w:rsid w:val="00D65039"/>
    <w:rsid w:val="00D6697E"/>
    <w:rsid w:val="00D67156"/>
    <w:rsid w:val="00D7538C"/>
    <w:rsid w:val="00D77781"/>
    <w:rsid w:val="00D80ACB"/>
    <w:rsid w:val="00D93045"/>
    <w:rsid w:val="00D9691B"/>
    <w:rsid w:val="00DA0613"/>
    <w:rsid w:val="00DA57A2"/>
    <w:rsid w:val="00DA79BF"/>
    <w:rsid w:val="00DB0F62"/>
    <w:rsid w:val="00DB2150"/>
    <w:rsid w:val="00DC0BE0"/>
    <w:rsid w:val="00DC0E8A"/>
    <w:rsid w:val="00DC12FD"/>
    <w:rsid w:val="00DD2CB4"/>
    <w:rsid w:val="00DF5AE2"/>
    <w:rsid w:val="00DF5E95"/>
    <w:rsid w:val="00E01071"/>
    <w:rsid w:val="00E04522"/>
    <w:rsid w:val="00E0465C"/>
    <w:rsid w:val="00E05FAC"/>
    <w:rsid w:val="00E10220"/>
    <w:rsid w:val="00E232FB"/>
    <w:rsid w:val="00E235CD"/>
    <w:rsid w:val="00E330C7"/>
    <w:rsid w:val="00E364A4"/>
    <w:rsid w:val="00E40005"/>
    <w:rsid w:val="00E4443D"/>
    <w:rsid w:val="00E50CFD"/>
    <w:rsid w:val="00E5392C"/>
    <w:rsid w:val="00E62A30"/>
    <w:rsid w:val="00E7042F"/>
    <w:rsid w:val="00E86A55"/>
    <w:rsid w:val="00E914CC"/>
    <w:rsid w:val="00E94B37"/>
    <w:rsid w:val="00E96158"/>
    <w:rsid w:val="00E97D9C"/>
    <w:rsid w:val="00EA183C"/>
    <w:rsid w:val="00EB2C69"/>
    <w:rsid w:val="00EB37DD"/>
    <w:rsid w:val="00EB3BA0"/>
    <w:rsid w:val="00ED0138"/>
    <w:rsid w:val="00ED2C32"/>
    <w:rsid w:val="00EE3745"/>
    <w:rsid w:val="00EE62E1"/>
    <w:rsid w:val="00EE6FA0"/>
    <w:rsid w:val="00EF205B"/>
    <w:rsid w:val="00EF63FD"/>
    <w:rsid w:val="00F0024F"/>
    <w:rsid w:val="00F03CFA"/>
    <w:rsid w:val="00F0639E"/>
    <w:rsid w:val="00F12452"/>
    <w:rsid w:val="00F15F1B"/>
    <w:rsid w:val="00F1671B"/>
    <w:rsid w:val="00F2714B"/>
    <w:rsid w:val="00F30077"/>
    <w:rsid w:val="00F31853"/>
    <w:rsid w:val="00F34B35"/>
    <w:rsid w:val="00F3614E"/>
    <w:rsid w:val="00F4723A"/>
    <w:rsid w:val="00F5250A"/>
    <w:rsid w:val="00F5691A"/>
    <w:rsid w:val="00F60810"/>
    <w:rsid w:val="00F6129E"/>
    <w:rsid w:val="00F61418"/>
    <w:rsid w:val="00F80096"/>
    <w:rsid w:val="00F81580"/>
    <w:rsid w:val="00F85362"/>
    <w:rsid w:val="00F9168E"/>
    <w:rsid w:val="00F9570D"/>
    <w:rsid w:val="00F96C18"/>
    <w:rsid w:val="00FA245E"/>
    <w:rsid w:val="00FA5909"/>
    <w:rsid w:val="00FA7B0E"/>
    <w:rsid w:val="00FA7BC7"/>
    <w:rsid w:val="00FB5392"/>
    <w:rsid w:val="00FC19E6"/>
    <w:rsid w:val="00FC430F"/>
    <w:rsid w:val="00FC6430"/>
    <w:rsid w:val="00FC787C"/>
    <w:rsid w:val="00FD5E88"/>
    <w:rsid w:val="00FE2867"/>
    <w:rsid w:val="00FE4F43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8EC2C"/>
  <w15:chartTrackingRefBased/>
  <w15:docId w15:val="{41EFA95B-F1D2-4AE7-A1F1-A335E868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89"/>
    <w:pPr>
      <w:spacing w:line="360" w:lineRule="auto"/>
    </w:pPr>
    <w:rPr>
      <w:rFonts w:eastAsia="SimSu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D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D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D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D8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D8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D8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D8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D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D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D8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D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D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D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D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D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D8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D8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D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D83"/>
    <w:pPr>
      <w:spacing w:before="160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D83"/>
    <w:pPr>
      <w:ind w:left="720"/>
      <w:contextualSpacing/>
    </w:pPr>
    <w:rPr>
      <w:rFonts w:eastAsiaTheme="minorHAnsi"/>
    </w:rPr>
  </w:style>
  <w:style w:type="character" w:styleId="IntenseEmphasis">
    <w:name w:val="Intense Emphasis"/>
    <w:basedOn w:val="DefaultParagraphFont"/>
    <w:uiPriority w:val="21"/>
    <w:qFormat/>
    <w:rsid w:val="00595D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D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D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D83"/>
    <w:rPr>
      <w:b/>
      <w:bCs/>
      <w:smallCaps/>
      <w:color w:val="0F4761" w:themeColor="accent1" w:themeShade="BF"/>
      <w:spacing w:val="5"/>
    </w:rPr>
  </w:style>
  <w:style w:type="paragraph" w:customStyle="1" w:styleId="HeadingL1">
    <w:name w:val="HeadingL1"/>
    <w:basedOn w:val="Normal"/>
    <w:next w:val="Heading1"/>
    <w:link w:val="HeadingL1Char"/>
    <w:autoRedefine/>
    <w:qFormat/>
    <w:rsid w:val="00050A1C"/>
    <w:pPr>
      <w:jc w:val="center"/>
    </w:pPr>
    <w:rPr>
      <w:b/>
      <w:bCs/>
    </w:rPr>
  </w:style>
  <w:style w:type="character" w:customStyle="1" w:styleId="HeadingL1Char">
    <w:name w:val="HeadingL1 Char"/>
    <w:basedOn w:val="DefaultParagraphFont"/>
    <w:link w:val="HeadingL1"/>
    <w:rsid w:val="0002493B"/>
    <w:rPr>
      <w:rFonts w:eastAsia="SimSun"/>
      <w:b/>
      <w:bCs/>
    </w:rPr>
  </w:style>
  <w:style w:type="paragraph" w:customStyle="1" w:styleId="HeadingL2">
    <w:name w:val="HeadingL2"/>
    <w:basedOn w:val="Heading2"/>
    <w:link w:val="HeadingL2Char"/>
    <w:autoRedefine/>
    <w:qFormat/>
    <w:rsid w:val="00C00032"/>
    <w:rPr>
      <w:rFonts w:ascii="Times New Roman" w:hAnsi="Times New Roman"/>
      <w:b/>
      <w:bCs/>
      <w:color w:val="000000" w:themeColor="text1"/>
      <w:sz w:val="24"/>
    </w:rPr>
  </w:style>
  <w:style w:type="character" w:customStyle="1" w:styleId="HeadingL2Char">
    <w:name w:val="HeadingL2 Char"/>
    <w:basedOn w:val="Heading2Char"/>
    <w:link w:val="HeadingL2"/>
    <w:rsid w:val="00C00032"/>
    <w:rPr>
      <w:rFonts w:asciiTheme="majorHAnsi" w:eastAsiaTheme="majorEastAsia" w:hAnsiTheme="majorHAnsi" w:cstheme="majorBidi"/>
      <w:b/>
      <w:bCs/>
      <w:color w:val="000000" w:themeColor="text1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73F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F76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81136C"/>
    <w:pPr>
      <w:spacing w:after="0"/>
      <w:jc w:val="center"/>
    </w:pPr>
    <w:rPr>
      <w:rFonts w:cs="Times New Roman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81136C"/>
    <w:rPr>
      <w:rFonts w:eastAsia="SimSun" w:cs="Times New Roman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81136C"/>
    <w:pPr>
      <w:spacing w:line="240" w:lineRule="auto"/>
      <w:jc w:val="both"/>
    </w:pPr>
    <w:rPr>
      <w:rFonts w:cs="Times New Roman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81136C"/>
    <w:rPr>
      <w:rFonts w:eastAsia="SimSun" w:cs="Times New Roman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a00357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entalhealth.org.uk/podcastsand-videos/computerised-cognitivebehavioural-therap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bps.org.uk/research-digest/women-know-better-men-what-other-women-are-thinking-and-feelin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ons.gov.uk/peoplepopulationandcommunity/healthandsocialcare/drugusealcoholandsmoking/bulletins/opinionsandlifestylesurveyadultdrinkinghabitsingreatbritain/2005to20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hex.124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F0F39-D461-4813-A336-025D342D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10964</TotalTime>
  <Pages>9</Pages>
  <Words>3272</Words>
  <Characters>18657</Characters>
  <Application>Microsoft Office Word</Application>
  <DocSecurity>0</DocSecurity>
  <Lines>155</Lines>
  <Paragraphs>43</Paragraphs>
  <ScaleCrop>false</ScaleCrop>
  <Company/>
  <LinksUpToDate>false</LinksUpToDate>
  <CharactersWithSpaces>21886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ALYSSA</dc:creator>
  <cp:keywords/>
  <dc:description/>
  <cp:lastModifiedBy>NATALIA ALYSSA</cp:lastModifiedBy>
  <cp:revision>516</cp:revision>
  <dcterms:created xsi:type="dcterms:W3CDTF">2026-08-24T08:28:00Z</dcterms:created>
  <dcterms:modified xsi:type="dcterms:W3CDTF">2026-09-06T18:49:00Z</dcterms:modified>
</cp:coreProperties>
</file>