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eastAsiaTheme="minorHAnsi"/>
          <w:color w:val="5B9BD5" w:themeColor="accent1"/>
          <w:lang w:val="en-GB"/>
          <w14:textFill>
            <w14:solidFill>
              <w14:schemeClr w14:val="accent1"/>
            </w14:solidFill>
          </w14:textFill>
        </w:rPr>
        <w:id w:val="-1522475554"/>
        <w:docPartObj>
          <w:docPartGallery w:val="autotext"/>
        </w:docPartObj>
      </w:sdtPr>
      <w:sdtEndPr>
        <w:rPr>
          <w:rFonts w:eastAsiaTheme="minorHAnsi"/>
          <w:color w:val="auto"/>
          <w:lang w:val="en-GB"/>
        </w:rPr>
      </w:sdtEndPr>
      <w:sdtContent>
        <w:p>
          <w:pPr>
            <w:pStyle w:val="14"/>
            <w:spacing w:before="1540" w:after="240"/>
            <w:jc w:val="center"/>
            <w:rPr>
              <w:color w:val="5B9BD5" w:themeColor="accent1"/>
              <w14:textFill>
                <w14:solidFill>
                  <w14:schemeClr w14:val="accent1"/>
                </w14:solidFill>
              </w14:textFill>
            </w:rPr>
          </w:pPr>
          <w:r>
            <w:rPr>
              <w:color w:val="5B9BD5" w:themeColor="accent1"/>
              <w:lang w:val="en-GB" w:eastAsia="en-GB"/>
              <w14:textFill>
                <w14:solidFill>
                  <w14:schemeClr w14:val="accent1"/>
                </w14:solidFill>
              </w14:textFill>
            </w:rPr>
            <w:drawing>
              <wp:inline distT="0" distB="0" distL="0" distR="0">
                <wp:extent cx="1417320" cy="75057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pic:cNvPicPr>
                          <a:picLocks noChangeAspect="1"/>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hAnsiTheme="majorHAnsi" w:eastAsiaTheme="majorEastAsia" w:cstheme="majorBidi"/>
              <w:caps/>
              <w:color w:val="5B9BD5" w:themeColor="accent1"/>
              <w:sz w:val="72"/>
              <w:szCs w:val="72"/>
              <w14:textFill>
                <w14:solidFill>
                  <w14:schemeClr w14:val="accent1"/>
                </w14:solidFill>
              </w14:textFill>
            </w:rPr>
            <w:alias w:val="Title"/>
            <w:id w:val="1735040861"/>
            <w:placeholder>
              <w:docPart w:val="DCBCB7F12FD741FCBCDF0AE63ED3B4BF"/>
            </w:placeholder>
            <w:text/>
          </w:sdtPr>
          <w:sdtEndPr>
            <w:rPr>
              <w:rFonts w:asciiTheme="majorHAnsi" w:hAnsiTheme="majorHAnsi" w:eastAsiaTheme="majorEastAsia" w:cstheme="majorBidi"/>
              <w:caps/>
              <w:color w:val="5B9BD5" w:themeColor="accent1"/>
              <w:sz w:val="80"/>
              <w:szCs w:val="80"/>
              <w14:textFill>
                <w14:solidFill>
                  <w14:schemeClr w14:val="accent1"/>
                </w14:solidFill>
              </w14:textFill>
            </w:rPr>
          </w:sdtEndPr>
          <w:sdtContent>
            <w:p>
              <w:pPr>
                <w:pStyle w:val="14"/>
                <w:pBdr>
                  <w:top w:val="single" w:color="5B9BD5" w:themeColor="accent1" w:sz="6" w:space="6"/>
                  <w:bottom w:val="single" w:color="5B9BD5" w:themeColor="accent1" w:sz="6" w:space="6"/>
                </w:pBdr>
                <w:spacing w:after="240"/>
                <w:jc w:val="center"/>
                <w:rPr>
                  <w:rFonts w:asciiTheme="majorHAnsi" w:hAnsiTheme="majorHAnsi" w:eastAsiaTheme="majorEastAsia" w:cstheme="majorBidi"/>
                  <w:caps/>
                  <w:color w:val="5B9BD5" w:themeColor="accent1"/>
                  <w:sz w:val="80"/>
                  <w:szCs w:val="80"/>
                  <w14:textFill>
                    <w14:solidFill>
                      <w14:schemeClr w14:val="accent1"/>
                    </w14:solidFill>
                  </w14:textFill>
                </w:rPr>
              </w:pPr>
              <w:r>
                <w:rPr>
                  <w:rFonts w:hint="eastAsia" w:asciiTheme="majorHAnsi" w:hAnsiTheme="majorHAnsi" w:eastAsiaTheme="majorEastAsia"/>
                  <w:caps/>
                  <w:color w:val="5B9BD5" w:themeColor="accent1"/>
                  <w:sz w:val="72"/>
                  <w:szCs w:val="72"/>
                  <w14:textFill>
                    <w14:solidFill>
                      <w14:schemeClr w14:val="accent1"/>
                    </w14:solidFill>
                  </w14:textFill>
                </w:rPr>
                <w:t>Performance Management</w:t>
              </w:r>
            </w:p>
          </w:sdtContent>
        </w:sdt>
        <w:sdt>
          <w:sdtPr>
            <w:rPr>
              <w:color w:val="5B9BD5" w:themeColor="accent1"/>
              <w:sz w:val="28"/>
              <w:szCs w:val="28"/>
              <w14:textFill>
                <w14:solidFill>
                  <w14:schemeClr w14:val="accent1"/>
                </w14:solidFill>
              </w14:textFill>
            </w:rPr>
            <w:alias w:val="Subtitle"/>
            <w:id w:val="328029620"/>
            <w:text/>
          </w:sdtPr>
          <w:sdtEndPr>
            <w:rPr>
              <w:color w:val="5B9BD5" w:themeColor="accent1"/>
              <w:sz w:val="28"/>
              <w:szCs w:val="28"/>
              <w14:textFill>
                <w14:solidFill>
                  <w14:schemeClr w14:val="accent1"/>
                </w14:solidFill>
              </w14:textFill>
            </w:rPr>
          </w:sdtEndPr>
          <w:sdtContent>
            <w:p>
              <w:pPr>
                <w:pStyle w:val="14"/>
                <w:jc w:val="center"/>
                <w:rPr>
                  <w:color w:val="5B9BD5" w:themeColor="accent1"/>
                  <w:sz w:val="28"/>
                  <w:szCs w:val="28"/>
                  <w14:textFill>
                    <w14:solidFill>
                      <w14:schemeClr w14:val="accent1"/>
                    </w14:solidFill>
                  </w14:textFill>
                </w:rPr>
              </w:pPr>
              <w:r>
                <w:rPr>
                  <w:rFonts w:hint="eastAsia"/>
                  <w:color w:val="5B9BD5" w:themeColor="accent1"/>
                  <w:sz w:val="28"/>
                  <w:szCs w:val="28"/>
                  <w14:textFill>
                    <w14:solidFill>
                      <w14:schemeClr w14:val="accent1"/>
                    </w14:solidFill>
                  </w14:textFill>
                </w:rPr>
                <w:t>Wirral Fabrication Plc  and Defoe Brands</w:t>
              </w:r>
            </w:p>
          </w:sdtContent>
        </w:sdt>
        <w:p>
          <w:pPr>
            <w:pStyle w:val="14"/>
            <w:spacing w:before="480"/>
            <w:jc w:val="center"/>
            <w:rPr>
              <w:color w:val="5B9BD5" w:themeColor="accent1"/>
              <w:lang w:val="en-GB" w:eastAsia="en-GB"/>
              <w14:textFill>
                <w14:solidFill>
                  <w14:schemeClr w14:val="accent1"/>
                </w14:solidFill>
              </w14:textFill>
            </w:rPr>
          </w:pPr>
          <w:r>
            <w:rPr>
              <w:color w:val="5B9BD5" w:themeColor="accent1"/>
              <w:lang w:val="en-GB" w:eastAsia="en-GB"/>
              <w14:textFill>
                <w14:solidFill>
                  <w14:schemeClr w14:val="accent1"/>
                </w14:solidFill>
              </w14:textFill>
            </w:rPr>
            <mc:AlternateContent>
              <mc:Choice Requires="wps">
                <w:drawing>
                  <wp:anchor distT="0" distB="0" distL="114300" distR="114300" simplePos="0" relativeHeight="251660288"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14:textFill>
                                      <w14:solidFill>
                                        <w14:schemeClr w14:val="accent1"/>
                                      </w14:solidFill>
                                    </w14:textFill>
                                  </w:rPr>
                                  <w:alias w:val="Date"/>
                                  <w:id w:val="197127006"/>
                                  <w:date w:fullDate="2024-04-25T00:00:00Z">
                                    <w:dateFormat w:val="MMMM d, yyyy"/>
                                    <w:lid w:val="en-US"/>
                                    <w:storeMappedDataAs w:val="datetime"/>
                                    <w:calendar w:val="gregorian"/>
                                  </w:date>
                                </w:sdtPr>
                                <w:sdtEndPr>
                                  <w:rPr>
                                    <w:caps/>
                                    <w:color w:val="5B9BD5" w:themeColor="accent1"/>
                                    <w:sz w:val="28"/>
                                    <w:szCs w:val="28"/>
                                    <w14:textFill>
                                      <w14:solidFill>
                                        <w14:schemeClr w14:val="accent1"/>
                                      </w14:solidFill>
                                    </w14:textFill>
                                  </w:rPr>
                                </w:sdtEndPr>
                                <w:sdtContent>
                                  <w:p>
                                    <w:pPr>
                                      <w:pStyle w:val="14"/>
                                      <w:spacing w:after="40"/>
                                      <w:jc w:val="center"/>
                                      <w:rPr>
                                        <w:caps/>
                                        <w:color w:val="5B9BD5" w:themeColor="accent1"/>
                                        <w:sz w:val="28"/>
                                        <w:szCs w:val="28"/>
                                        <w14:textFill>
                                          <w14:solidFill>
                                            <w14:schemeClr w14:val="accent1"/>
                                          </w14:solidFill>
                                        </w14:textFill>
                                      </w:rPr>
                                    </w:pPr>
                                    <w:r>
                                      <w:rPr>
                                        <w:rFonts w:asciiTheme="minorHAnsi" w:hAnsiTheme="minorHAnsi" w:eastAsiaTheme="minorEastAsia" w:cstheme="minorBidi"/>
                                        <w:caps/>
                                        <w:color w:val="5B9BD5" w:themeColor="accent1"/>
                                        <w:sz w:val="28"/>
                                        <w:szCs w:val="28"/>
                                        <w:lang w:val="en-US" w:eastAsia="en-US" w:bidi="ar-SA"/>
                                        <w14:textFill>
                                          <w14:solidFill>
                                            <w14:schemeClr w14:val="accent1"/>
                                          </w14:solidFill>
                                        </w14:textFill>
                                      </w:rPr>
                                      <w:t>April 25, 2024</w:t>
                                    </w:r>
                                  </w:p>
                                </w:sdtContent>
                              </w:sdt>
                              <w:p>
                                <w:pPr>
                                  <w:pStyle w:val="14"/>
                                  <w:jc w:val="center"/>
                                  <w:rPr>
                                    <w:color w:val="5B9BD5" w:themeColor="accent1"/>
                                    <w14:textFill>
                                      <w14:solidFill>
                                        <w14:schemeClr w14:val="accent1"/>
                                      </w14:solidFill>
                                    </w14:textFill>
                                  </w:rPr>
                                </w:pPr>
                                <w:sdt>
                                  <w:sdtPr>
                                    <w:rPr>
                                      <w:caps/>
                                      <w:color w:val="5B9BD5" w:themeColor="accent1"/>
                                      <w14:textFill>
                                        <w14:solidFill>
                                          <w14:schemeClr w14:val="accent1"/>
                                        </w14:solidFill>
                                      </w14:textFill>
                                    </w:rPr>
                                    <w:alias w:val="Company"/>
                                    <w:id w:val="1390145197"/>
                                    <w:text/>
                                  </w:sdtPr>
                                  <w:sdtEndPr>
                                    <w:rPr>
                                      <w:caps/>
                                      <w:color w:val="5B9BD5" w:themeColor="accent1"/>
                                      <w14:textFill>
                                        <w14:solidFill>
                                          <w14:schemeClr w14:val="accent1"/>
                                        </w14:solidFill>
                                      </w14:textFill>
                                    </w:rPr>
                                  </w:sdtEndPr>
                                  <w:sdtContent>
                                    <w:r>
                                      <w:rPr>
                                        <w:caps/>
                                        <w:color w:val="5B9BD5" w:themeColor="accent1"/>
                                        <w:lang w:val="en-GB"/>
                                        <w14:textFill>
                                          <w14:solidFill>
                                            <w14:schemeClr w14:val="accent1"/>
                                          </w14:solidFill>
                                        </w14:textFill>
                                      </w:rPr>
                                      <w:t>University of Wales Trinity Saint David</w:t>
                                    </w:r>
                                  </w:sdtContent>
                                </w:sdt>
                              </w:p>
                              <w:p>
                                <w:pPr>
                                  <w:pStyle w:val="14"/>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Address"/>
                                    <w:id w:val="-726379553"/>
                                    <w:showingPlcHdr/>
                                    <w:text/>
                                  </w:sdtPr>
                                  <w:sdtEndPr>
                                    <w:rPr>
                                      <w:color w:val="5B9BD5" w:themeColor="accent1"/>
                                      <w14:textFill>
                                        <w14:solidFill>
                                          <w14:schemeClr w14:val="accent1"/>
                                        </w14:solidFill>
                                      </w14:textFill>
                                    </w:rPr>
                                  </w:sdtEndPr>
                                  <w:sdtContent>
                                    <w:r>
                                      <w:rPr>
                                        <w:color w:val="5B9BD5" w:themeColor="accent1"/>
                                        <w14:textFill>
                                          <w14:solidFill>
                                            <w14:schemeClr w14:val="accent1"/>
                                          </w14:solidFill>
                                        </w14:textFill>
                                      </w:rPr>
                                      <w:t xml:space="preserve">     </w:t>
                                    </w:r>
                                  </w:sdtContent>
                                </w:sdt>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margin">
                      <wp14:pctWidth>100000</wp14:pctWidth>
                    </wp14:sizeRelH>
                    <wp14:sizeRelV relativeFrom="page">
                      <wp14:pctHeight>0</wp14:pctHeight>
                    </wp14:sizeRelV>
                  </wp:anchor>
                </w:drawing>
              </mc:Choice>
              <mc:Fallback>
                <w:pict>
                  <v:shape id="Text Box 142" o:spid="_x0000_s1026" o:spt="202" type="#_x0000_t202" style="position:absolute;left:0pt;margin-left:90pt;margin-top:715.6pt;height:46.45pt;width:451.3pt;mso-position-horizontal-relative:page;mso-position-vertical-relative:page;z-index:251660288;v-text-anchor:bottom;mso-width-relative:margin;mso-height-relative:page;mso-width-percent:1000;" filled="f" stroked="f" coordsize="21600,21600" o:gfxdata="UEsFBgAAAAAAAAAAAAAAAAAAAAAAAFBLAwQKAAAAAACHTuJAAAAAAAAAAAAAAAAABAAAAGRycy9Q&#10;SwMEFAAAAAgAh07iQJMIHEjWAAAABAEAAA8AAABkcnMvZG93bnJldi54bWxNjzFPwzAQhXek/gfr&#10;KrEgajdDS0OcDlU7ICQEhQE2Jz7iqPE5it028Os5WMpyeqd3eu+7Yj36TpxwiG0gDfOZAoFUB9tS&#10;o+HtdXd7ByImQ9Z0gVDDF0ZYl5OrwuQ2nOkFT/vUCA6hmBsNLqU+lzLWDr2Js9AjsfcZBm8Sr0Mj&#10;7WDOHO47mSm1kN60xA3O9LhxWB/2R6/hIT5+R7cd35+fltvqplraw8eYtL6eztU9iIRjuhzDLz6j&#10;Q8lMVTiSjaLTwI+kv8neSmULEBWLbAWyLOR/+PIHUEsDBBQAAAAIAIdO4kBmP0cWKwIAAGcEAAAO&#10;AAAAZHJzL2Uyb0RvYy54bWytVE1v2zAMvQ/YfxB0XxynS9cGcYqsQYYBxVogHXZWZDk2oK9JSuzs&#10;1+9JttOh26GHXRSKpB/5Hqks7zolyUk43xhd0HwypURobspGHwr6/Xn74YYSH5gumTRaFPQsPL1b&#10;vX+3bO1CzExtZCkcAYj2i9YWtA7BLrLM81oo5ifGCo1gZZxiAVd3yErHWqArmc2m0+usNa60znDh&#10;PbybPkgHRPcWQFNVDRcbw49K6NCjOiFZACVfN9bTVeq2qgQPj1XlRSCyoGAa0okisPfxzFZLtjg4&#10;ZuuGDy2wt7TwipNijUbRC9SGBUaOrvkLSjXcGW+qMOFGZT2RpAhY5NNX2uxqZkXiAqm9vYju/x8s&#10;/3Z6cqQpsQkfZ5RopjDyZ9EF8tl0JPqgUGv9Aok7i9TQIYDs0e/hjMS7yqn4C0oEceh7vugb4Tic&#10;809X+TxHiCM2v7m9zecRJnv52jofvgijSDQK6jC/JCs7PfjQp44psZg220bKNEOpSVvQ66v5NH1w&#10;iQBc6pgr0jYMMJFR33m0QrfvBpp7U57B0pl+U7zl2watPDAfnpjDaqB7PJ7wiKOSBiXNYFFSG/fr&#10;X/6Yj4khSkmLVSuo/3lkTlAiv2rMEpBhNNxo7EdDH9W9wfbmeJaWJxMfuCBHs3JG/cCbWscqCDHN&#10;Uaug+9G8D/3C401ysV6nJGyfZeFB7yyP0FEgb9fHAEGTzlGWXgvMJ16wf2lSw1uJC/7nPWW9/D+s&#10;f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TCBxI1gAAAAQBAAAPAAAAAAAAAAEAIAAAADgAAABk&#10;cnMvZG93bnJldi54bWxQSwECFAAUAAAACACHTuJAZj9HFisCAABnBAAADgAAAAAAAAABACAAAAA7&#10;AQAAZHJzL2Uyb0RvYy54bWxQSwUGAAAAAAYABgBZAQAA2AUAAAAA&#10;">
                    <v:fill on="f" focussize="0,0"/>
                    <v:stroke on="f" weight="0.5pt"/>
                    <v:imagedata o:title=""/>
                    <o:lock v:ext="edit" aspectratio="f"/>
                    <v:textbox inset="0mm,0mm,0mm,0mm" style="mso-fit-shape-to-text:t;">
                      <w:txbxContent>
                        <w:sdt>
                          <w:sdtPr>
                            <w:rPr>
                              <w:caps/>
                              <w:color w:val="5B9BD5" w:themeColor="accent1"/>
                              <w:sz w:val="28"/>
                              <w:szCs w:val="28"/>
                              <w14:textFill>
                                <w14:solidFill>
                                  <w14:schemeClr w14:val="accent1"/>
                                </w14:solidFill>
                              </w14:textFill>
                            </w:rPr>
                            <w:alias w:val="Date"/>
                            <w:id w:val="197127006"/>
                            <w:date w:fullDate="2024-04-25T00:00:00Z">
                              <w:dateFormat w:val="MMMM d, yyyy"/>
                              <w:lid w:val="en-US"/>
                              <w:storeMappedDataAs w:val="datetime"/>
                              <w:calendar w:val="gregorian"/>
                            </w:date>
                          </w:sdtPr>
                          <w:sdtEndPr>
                            <w:rPr>
                              <w:caps/>
                              <w:color w:val="5B9BD5" w:themeColor="accent1"/>
                              <w:sz w:val="28"/>
                              <w:szCs w:val="28"/>
                              <w14:textFill>
                                <w14:solidFill>
                                  <w14:schemeClr w14:val="accent1"/>
                                </w14:solidFill>
                              </w14:textFill>
                            </w:rPr>
                          </w:sdtEndPr>
                          <w:sdtContent>
                            <w:p>
                              <w:pPr>
                                <w:pStyle w:val="14"/>
                                <w:spacing w:after="40"/>
                                <w:jc w:val="center"/>
                                <w:rPr>
                                  <w:caps/>
                                  <w:color w:val="5B9BD5" w:themeColor="accent1"/>
                                  <w:sz w:val="28"/>
                                  <w:szCs w:val="28"/>
                                  <w14:textFill>
                                    <w14:solidFill>
                                      <w14:schemeClr w14:val="accent1"/>
                                    </w14:solidFill>
                                  </w14:textFill>
                                </w:rPr>
                              </w:pPr>
                              <w:r>
                                <w:rPr>
                                  <w:rFonts w:asciiTheme="minorHAnsi" w:hAnsiTheme="minorHAnsi" w:eastAsiaTheme="minorEastAsia" w:cstheme="minorBidi"/>
                                  <w:caps/>
                                  <w:color w:val="5B9BD5" w:themeColor="accent1"/>
                                  <w:sz w:val="28"/>
                                  <w:szCs w:val="28"/>
                                  <w:lang w:val="en-US" w:eastAsia="en-US" w:bidi="ar-SA"/>
                                  <w14:textFill>
                                    <w14:solidFill>
                                      <w14:schemeClr w14:val="accent1"/>
                                    </w14:solidFill>
                                  </w14:textFill>
                                </w:rPr>
                                <w:t>April 25, 2024</w:t>
                              </w:r>
                            </w:p>
                          </w:sdtContent>
                        </w:sdt>
                        <w:p>
                          <w:pPr>
                            <w:pStyle w:val="14"/>
                            <w:jc w:val="center"/>
                            <w:rPr>
                              <w:color w:val="5B9BD5" w:themeColor="accent1"/>
                              <w14:textFill>
                                <w14:solidFill>
                                  <w14:schemeClr w14:val="accent1"/>
                                </w14:solidFill>
                              </w14:textFill>
                            </w:rPr>
                          </w:pPr>
                          <w:sdt>
                            <w:sdtPr>
                              <w:rPr>
                                <w:caps/>
                                <w:color w:val="5B9BD5" w:themeColor="accent1"/>
                                <w14:textFill>
                                  <w14:solidFill>
                                    <w14:schemeClr w14:val="accent1"/>
                                  </w14:solidFill>
                                </w14:textFill>
                              </w:rPr>
                              <w:alias w:val="Company"/>
                              <w:id w:val="1390145197"/>
                              <w:text/>
                            </w:sdtPr>
                            <w:sdtEndPr>
                              <w:rPr>
                                <w:caps/>
                                <w:color w:val="5B9BD5" w:themeColor="accent1"/>
                                <w14:textFill>
                                  <w14:solidFill>
                                    <w14:schemeClr w14:val="accent1"/>
                                  </w14:solidFill>
                                </w14:textFill>
                              </w:rPr>
                            </w:sdtEndPr>
                            <w:sdtContent>
                              <w:r>
                                <w:rPr>
                                  <w:caps/>
                                  <w:color w:val="5B9BD5" w:themeColor="accent1"/>
                                  <w:lang w:val="en-GB"/>
                                  <w14:textFill>
                                    <w14:solidFill>
                                      <w14:schemeClr w14:val="accent1"/>
                                    </w14:solidFill>
                                  </w14:textFill>
                                </w:rPr>
                                <w:t>University of Wales Trinity Saint David</w:t>
                              </w:r>
                            </w:sdtContent>
                          </w:sdt>
                        </w:p>
                        <w:p>
                          <w:pPr>
                            <w:pStyle w:val="14"/>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Address"/>
                              <w:id w:val="-726379553"/>
                              <w:showingPlcHdr/>
                              <w:text/>
                            </w:sdtPr>
                            <w:sdtEndPr>
                              <w:rPr>
                                <w:color w:val="5B9BD5" w:themeColor="accent1"/>
                                <w14:textFill>
                                  <w14:solidFill>
                                    <w14:schemeClr w14:val="accent1"/>
                                  </w14:solidFill>
                                </w14:textFill>
                              </w:rPr>
                            </w:sdtEndPr>
                            <w:sdtContent>
                              <w:r>
                                <w:rPr>
                                  <w:color w:val="5B9BD5" w:themeColor="accent1"/>
                                  <w14:textFill>
                                    <w14:solidFill>
                                      <w14:schemeClr w14:val="accent1"/>
                                    </w14:solidFill>
                                  </w14:textFill>
                                </w:rPr>
                                <w:t xml:space="preserve">     </w:t>
                              </w:r>
                            </w:sdtContent>
                          </w:sdt>
                        </w:p>
                      </w:txbxContent>
                    </v:textbox>
                  </v:shape>
                </w:pict>
              </mc:Fallback>
            </mc:AlternateContent>
          </w:r>
          <w:r>
            <w:rPr>
              <w:color w:val="5B9BD5" w:themeColor="accent1"/>
              <w:lang w:val="en-GB" w:eastAsia="en-GB"/>
              <w14:textFill>
                <w14:solidFill>
                  <w14:schemeClr w14:val="accent1"/>
                </w14:solidFill>
              </w14:textFill>
            </w:rPr>
            <w:drawing>
              <wp:inline distT="0" distB="0" distL="0" distR="0">
                <wp:extent cx="758825" cy="478790"/>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pic:cNvPicPr>
                          <a:picLocks noChangeAspect="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pPr>
            <w:spacing w:line="360" w:lineRule="auto"/>
            <w:jc w:val="center"/>
            <w:rPr>
              <w:caps/>
              <w:color w:val="5B9BD5"/>
            </w:rPr>
          </w:pPr>
        </w:p>
        <w:p>
          <w:pPr>
            <w:spacing w:line="360" w:lineRule="auto"/>
            <w:jc w:val="center"/>
            <w:rPr>
              <w:caps/>
              <w:color w:val="5B9BD5"/>
            </w:rPr>
          </w:pPr>
          <w:r>
            <w:rPr>
              <w:caps/>
              <w:color w:val="5B9BD5"/>
            </w:rPr>
            <w:t>NAME:      Shuhan Cao</w:t>
          </w:r>
        </w:p>
        <w:p>
          <w:pPr>
            <w:spacing w:line="360" w:lineRule="auto"/>
            <w:jc w:val="center"/>
            <w:rPr>
              <w:caps/>
              <w:color w:val="5B9BD5"/>
            </w:rPr>
          </w:pPr>
          <w:r>
            <w:rPr>
              <w:caps/>
              <w:color w:val="5B9BD5"/>
            </w:rPr>
            <w:t>STUDENT NUMBER:     2203397</w:t>
          </w:r>
        </w:p>
        <w:p>
          <w:pPr>
            <w:pStyle w:val="2"/>
          </w:pPr>
          <w:r>
            <w:br w:type="page"/>
          </w:r>
          <w:bookmarkStart w:id="0" w:name="_Toc1759144634"/>
          <w:r>
            <w:t>Executive Summary</w:t>
          </w:r>
          <w:bookmarkEnd w:id="0"/>
        </w:p>
        <w:p>
          <w:pPr>
            <w:keepNext w:val="0"/>
            <w:keepLines w:val="0"/>
            <w:pageBreakBefore w:val="0"/>
            <w:widowControl/>
            <w:kinsoku/>
            <w:wordWrap/>
            <w:overflowPunct/>
            <w:topLinePunct w:val="0"/>
            <w:autoSpaceDE/>
            <w:autoSpaceDN/>
            <w:bidi w:val="0"/>
            <w:adjustRightInd/>
            <w:snapToGrid/>
            <w:spacing w:after="0" w:line="480" w:lineRule="auto"/>
            <w:textAlignment w:val="auto"/>
          </w:pPr>
          <w:r>
            <w:t>The purpose of this report is to analyse</w:t>
          </w:r>
          <w:r>
            <w:rPr>
              <w:rFonts w:hint="eastAsia"/>
            </w:rPr>
            <w:t xml:space="preserve"> the performance management of Wirral Manufacturing Ltd and the Defoe brand.The first part  is the analysis of WIRRAL FABRICATION PLC</w:t>
          </w:r>
          <w:r>
            <w:rPr>
              <w:rFonts w:hint="default"/>
              <w:lang w:val="en-US"/>
            </w:rPr>
            <w:t>.</w:t>
          </w:r>
          <w:r>
            <w:rPr>
              <w:rFonts w:hint="eastAsia"/>
            </w:rPr>
            <w:t xml:space="preserve"> </w:t>
          </w:r>
          <w:r>
            <w:rPr>
              <w:rFonts w:hint="default"/>
              <w:lang w:val="en-US"/>
            </w:rPr>
            <w:t>I</w:t>
          </w:r>
          <w:r>
            <w:rPr>
              <w:rFonts w:hint="eastAsia"/>
            </w:rPr>
            <w:t xml:space="preserve">t critically assesses the performance of its departments by using ROI,RI and EVATM and discusses measures related to departmental performance. </w:t>
          </w:r>
          <w:r>
            <w:rPr>
              <w:rFonts w:hint="default"/>
              <w:lang w:val="en-US"/>
            </w:rPr>
            <w:t>Then</w:t>
          </w:r>
          <w:r>
            <w:rPr>
              <w:rFonts w:hint="eastAsia"/>
            </w:rPr>
            <w:t>, it outline</w:t>
          </w:r>
          <w:r>
            <w:rPr>
              <w:rFonts w:hint="default"/>
              <w:lang w:val="en-US"/>
            </w:rPr>
            <w:t>d</w:t>
          </w:r>
          <w:r>
            <w:rPr>
              <w:rFonts w:hint="eastAsia"/>
            </w:rPr>
            <w:t xml:space="preserve"> the criteria for designing a transfer pricing system and evaluates the transfer prices of two departments using market based pricing and cost-plus pricing method. </w:t>
          </w:r>
          <w:r>
            <w:rPr>
              <w:rFonts w:hint="default"/>
              <w:lang w:val="en-US"/>
            </w:rPr>
            <w:t>Final</w:t>
          </w:r>
          <w:r>
            <w:rPr>
              <w:rFonts w:hint="eastAsia"/>
            </w:rPr>
            <w:t>ly, it evaluates the potential impact of the new executive information system adopted on performance management. The second part  is the analysis of Defoe Brands</w:t>
          </w:r>
          <w:r>
            <w:rPr>
              <w:rFonts w:hint="default"/>
              <w:lang w:val="en-US"/>
            </w:rPr>
            <w:t>. T</w:t>
          </w:r>
          <w:r>
            <w:rPr>
              <w:rFonts w:hint="eastAsia"/>
            </w:rPr>
            <w:t xml:space="preserve">his report analyzed the growth crisis faced by the company. Defoe is facing a growth crisis on multiple fronts, such as structural inefficiencies, cost challenges and market pressures. </w:t>
          </w:r>
          <w:r>
            <w:rPr>
              <w:rFonts w:hint="default"/>
              <w:lang w:val="en-US"/>
            </w:rPr>
            <w:t xml:space="preserve">And </w:t>
          </w:r>
          <w:r>
            <w:rPr>
              <w:rFonts w:hint="eastAsia"/>
            </w:rPr>
            <w:t xml:space="preserve">it </w:t>
          </w:r>
          <w:r>
            <w:rPr>
              <w:rFonts w:hint="default"/>
              <w:lang w:val="en-US"/>
            </w:rPr>
            <w:t>wa</w:t>
          </w:r>
          <w:r>
            <w:rPr>
              <w:rFonts w:hint="eastAsia"/>
            </w:rPr>
            <w:t>s analyzed qualitatively and quantitatively by balanced scorecard.</w:t>
          </w:r>
          <w:r>
            <w:rPr>
              <w:rFonts w:hint="default"/>
              <w:lang w:val="en-US"/>
            </w:rPr>
            <w:t xml:space="preserve"> T</w:t>
          </w:r>
          <w:r>
            <w:rPr>
              <w:rFonts w:hint="eastAsia"/>
            </w:rPr>
            <w:t xml:space="preserve">he Balanced Scorecard reveals a mixed but insightful picture of Defoe's current key areas of business and strategic improvement. </w:t>
          </w:r>
          <w:r>
            <w:rPr>
              <w:rFonts w:hint="default"/>
              <w:lang w:val="en-US"/>
            </w:rPr>
            <w:t>Following that</w:t>
          </w:r>
          <w:r>
            <w:rPr>
              <w:rFonts w:hint="eastAsia"/>
            </w:rPr>
            <w:t xml:space="preserve">, </w:t>
          </w:r>
          <w:r>
            <w:rPr>
              <w:rFonts w:hint="default"/>
              <w:lang w:val="en-US"/>
            </w:rPr>
            <w:t xml:space="preserve">it </w:t>
          </w:r>
          <w:r>
            <w:rPr>
              <w:rFonts w:hint="eastAsia"/>
            </w:rPr>
            <w:t>point</w:t>
          </w:r>
          <w:r>
            <w:rPr>
              <w:rFonts w:hint="default"/>
              <w:lang w:val="en-US"/>
            </w:rPr>
            <w:t>ed</w:t>
          </w:r>
          <w:r>
            <w:rPr>
              <w:rFonts w:hint="eastAsia"/>
            </w:rPr>
            <w:t xml:space="preserve"> out the need of business process reengineering. In short, based on the performance management analysis of the above two cases, Performance management plays a very important role in the strategic planning of every company.the company needs to formulate business management strategies that are in line with the company, so as to improve corporate performance and enhance competitiveness.</w:t>
          </w:r>
        </w:p>
        <w:p/>
        <w:p/>
        <w:sdt>
          <w:sdtPr>
            <w:rPr>
              <w:rFonts w:asciiTheme="minorHAnsi" w:hAnsiTheme="minorHAnsi" w:eastAsiaTheme="minorHAnsi" w:cstheme="minorBidi"/>
              <w:color w:val="auto"/>
              <w:sz w:val="22"/>
              <w:szCs w:val="22"/>
              <w:lang w:val="en-GB"/>
            </w:rPr>
            <w:id w:val="-1297214018"/>
            <w:docPartObj>
              <w:docPartGallery w:val="Table of Contents"/>
              <w:docPartUnique/>
            </w:docPartObj>
          </w:sdtPr>
          <w:sdtEndPr>
            <w:rPr>
              <w:rFonts w:asciiTheme="minorHAnsi" w:hAnsiTheme="minorHAnsi" w:eastAsiaTheme="minorHAnsi" w:cstheme="minorBidi"/>
              <w:b/>
              <w:bCs/>
              <w:color w:val="auto"/>
              <w:sz w:val="22"/>
              <w:szCs w:val="22"/>
              <w:lang w:val="en-GB"/>
            </w:rPr>
          </w:sdtEndPr>
          <w:sdtContent>
            <w:p>
              <w:pPr>
                <w:pStyle w:val="17"/>
              </w:pPr>
              <w:r>
                <w:t>Table of Contents</w:t>
              </w:r>
            </w:p>
            <w:p>
              <w:pPr>
                <w:pStyle w:val="8"/>
                <w:tabs>
                  <w:tab w:val="right" w:leader="dot" w:pos="8306"/>
                </w:tabs>
              </w:pPr>
              <w:r>
                <w:fldChar w:fldCharType="begin"/>
              </w:r>
              <w:r>
                <w:instrText xml:space="preserve"> TOC \o "1-3" \h \z \u </w:instrText>
              </w:r>
              <w:r>
                <w:fldChar w:fldCharType="separate"/>
              </w:r>
              <w:r>
                <w:fldChar w:fldCharType="begin"/>
              </w:r>
              <w:r>
                <w:instrText xml:space="preserve"> HYPERLINK \l _Toc1759144634 </w:instrText>
              </w:r>
              <w:r>
                <w:fldChar w:fldCharType="separate"/>
              </w:r>
              <w:r>
                <w:t>Executive Summary</w:t>
              </w:r>
              <w:r>
                <w:tab/>
              </w:r>
              <w:r>
                <w:fldChar w:fldCharType="begin"/>
              </w:r>
              <w:r>
                <w:instrText xml:space="preserve"> PAGEREF _Toc1759144634 \h </w:instrText>
              </w:r>
              <w:r>
                <w:fldChar w:fldCharType="separate"/>
              </w:r>
              <w:r>
                <w:t>2</w:t>
              </w:r>
              <w:r>
                <w:fldChar w:fldCharType="end"/>
              </w:r>
              <w:r>
                <w:fldChar w:fldCharType="end"/>
              </w:r>
            </w:p>
            <w:p>
              <w:pPr>
                <w:pStyle w:val="8"/>
                <w:tabs>
                  <w:tab w:val="right" w:leader="dot" w:pos="8306"/>
                </w:tabs>
              </w:pPr>
              <w:r>
                <w:rPr>
                  <w:bCs/>
                </w:rPr>
                <w:fldChar w:fldCharType="begin"/>
              </w:r>
              <w:r>
                <w:rPr>
                  <w:bCs/>
                </w:rPr>
                <w:instrText xml:space="preserve"> HYPERLINK \l _Toc1536495389 </w:instrText>
              </w:r>
              <w:r>
                <w:rPr>
                  <w:bCs/>
                </w:rPr>
                <w:fldChar w:fldCharType="separate"/>
              </w:r>
              <w:r>
                <w:t>1. Introduction</w:t>
              </w:r>
              <w:r>
                <w:tab/>
              </w:r>
              <w:r>
                <w:fldChar w:fldCharType="begin"/>
              </w:r>
              <w:r>
                <w:instrText xml:space="preserve"> PAGEREF _Toc1536495389 \h </w:instrText>
              </w:r>
              <w:r>
                <w:fldChar w:fldCharType="separate"/>
              </w:r>
              <w:r>
                <w:t>1</w:t>
              </w:r>
              <w:r>
                <w:fldChar w:fldCharType="end"/>
              </w:r>
              <w:r>
                <w:rPr>
                  <w:bCs/>
                </w:rPr>
                <w:fldChar w:fldCharType="end"/>
              </w:r>
            </w:p>
            <w:p>
              <w:pPr>
                <w:pStyle w:val="8"/>
                <w:tabs>
                  <w:tab w:val="right" w:leader="dot" w:pos="8306"/>
                </w:tabs>
              </w:pPr>
              <w:r>
                <w:rPr>
                  <w:bCs/>
                </w:rPr>
                <w:fldChar w:fldCharType="begin"/>
              </w:r>
              <w:r>
                <w:rPr>
                  <w:bCs/>
                </w:rPr>
                <w:instrText xml:space="preserve"> HYPERLINK \l _Toc387147748 </w:instrText>
              </w:r>
              <w:r>
                <w:rPr>
                  <w:bCs/>
                </w:rPr>
                <w:fldChar w:fldCharType="separate"/>
              </w:r>
              <w:r>
                <w:t>2. Main Findings</w:t>
              </w:r>
              <w:r>
                <w:tab/>
              </w:r>
              <w:r>
                <w:fldChar w:fldCharType="begin"/>
              </w:r>
              <w:r>
                <w:instrText xml:space="preserve"> PAGEREF _Toc387147748 \h </w:instrText>
              </w:r>
              <w:r>
                <w:fldChar w:fldCharType="separate"/>
              </w:r>
              <w:r>
                <w:t>2</w:t>
              </w:r>
              <w:r>
                <w:fldChar w:fldCharType="end"/>
              </w:r>
              <w:r>
                <w:rPr>
                  <w:bCs/>
                </w:rPr>
                <w:fldChar w:fldCharType="end"/>
              </w:r>
            </w:p>
            <w:p>
              <w:pPr>
                <w:pStyle w:val="9"/>
                <w:tabs>
                  <w:tab w:val="right" w:leader="dot" w:pos="8306"/>
                </w:tabs>
              </w:pPr>
              <w:r>
                <w:rPr>
                  <w:bCs/>
                </w:rPr>
                <w:fldChar w:fldCharType="begin"/>
              </w:r>
              <w:r>
                <w:rPr>
                  <w:bCs/>
                </w:rPr>
                <w:instrText xml:space="preserve"> HYPERLINK \l _Toc2064233873 </w:instrText>
              </w:r>
              <w:r>
                <w:rPr>
                  <w:bCs/>
                </w:rPr>
                <w:fldChar w:fldCharType="separate"/>
              </w:r>
              <w:r>
                <w:rPr>
                  <w:rFonts w:hint="eastAsia"/>
                  <w:lang w:val="en-US" w:eastAsia="zh-CN"/>
                </w:rPr>
                <w:t xml:space="preserve">2.1 </w:t>
              </w:r>
              <w:r>
                <w:t>Task 1 – Portal Fabrication PLC</w:t>
              </w:r>
              <w:r>
                <w:tab/>
              </w:r>
              <w:r>
                <w:fldChar w:fldCharType="begin"/>
              </w:r>
              <w:r>
                <w:instrText xml:space="preserve"> PAGEREF _Toc2064233873 \h </w:instrText>
              </w:r>
              <w:r>
                <w:fldChar w:fldCharType="separate"/>
              </w:r>
              <w:r>
                <w:t>3</w:t>
              </w:r>
              <w:r>
                <w:fldChar w:fldCharType="end"/>
              </w:r>
              <w:r>
                <w:rPr>
                  <w:bCs/>
                </w:rPr>
                <w:fldChar w:fldCharType="end"/>
              </w:r>
            </w:p>
            <w:p>
              <w:pPr>
                <w:pStyle w:val="5"/>
                <w:tabs>
                  <w:tab w:val="right" w:leader="dot" w:pos="8306"/>
                </w:tabs>
              </w:pPr>
              <w:r>
                <w:rPr>
                  <w:bCs/>
                </w:rPr>
                <w:fldChar w:fldCharType="begin"/>
              </w:r>
              <w:r>
                <w:rPr>
                  <w:bCs/>
                </w:rPr>
                <w:instrText xml:space="preserve"> HYPERLINK \l _Toc980386226 </w:instrText>
              </w:r>
              <w:r>
                <w:rPr>
                  <w:bCs/>
                </w:rPr>
                <w:fldChar w:fldCharType="separate"/>
              </w:r>
              <w:r>
                <w:rPr>
                  <w:rFonts w:hint="eastAsia" w:eastAsia="宋体"/>
                  <w:bCs w:val="0"/>
                  <w:szCs w:val="24"/>
                  <w:lang w:val="en-US" w:eastAsia="zh-CN"/>
                </w:rPr>
                <w:t>2.</w:t>
              </w:r>
              <w:r>
                <w:rPr>
                  <w:rFonts w:hint="default"/>
                  <w:bCs w:val="0"/>
                  <w:szCs w:val="24"/>
                  <w:lang w:val="en-US"/>
                </w:rPr>
                <w:t>1.1 Evaluation the divisional performance</w:t>
              </w:r>
              <w:r>
                <w:tab/>
              </w:r>
              <w:r>
                <w:fldChar w:fldCharType="begin"/>
              </w:r>
              <w:r>
                <w:instrText xml:space="preserve"> PAGEREF _Toc980386226 \h </w:instrText>
              </w:r>
              <w:r>
                <w:fldChar w:fldCharType="separate"/>
              </w:r>
              <w:r>
                <w:t>3</w:t>
              </w:r>
              <w:r>
                <w:fldChar w:fldCharType="end"/>
              </w:r>
              <w:r>
                <w:rPr>
                  <w:bCs/>
                </w:rPr>
                <w:fldChar w:fldCharType="end"/>
              </w:r>
            </w:p>
            <w:p>
              <w:pPr>
                <w:pStyle w:val="5"/>
                <w:tabs>
                  <w:tab w:val="right" w:leader="dot" w:pos="8306"/>
                </w:tabs>
              </w:pPr>
              <w:r>
                <w:rPr>
                  <w:bCs/>
                </w:rPr>
                <w:fldChar w:fldCharType="begin"/>
              </w:r>
              <w:r>
                <w:rPr>
                  <w:bCs/>
                </w:rPr>
                <w:instrText xml:space="preserve"> HYPERLINK \l _Toc1856760598 </w:instrText>
              </w:r>
              <w:r>
                <w:rPr>
                  <w:bCs/>
                </w:rPr>
                <w:fldChar w:fldCharType="separate"/>
              </w:r>
              <w:r>
                <w:rPr>
                  <w:rFonts w:hint="default"/>
                  <w:bCs w:val="0"/>
                  <w:szCs w:val="24"/>
                  <w:lang w:val="en-US"/>
                </w:rPr>
                <w:t>2.1.2 Transfer pricing system</w:t>
              </w:r>
              <w:r>
                <w:tab/>
              </w:r>
              <w:r>
                <w:fldChar w:fldCharType="begin"/>
              </w:r>
              <w:r>
                <w:instrText xml:space="preserve"> PAGEREF _Toc1856760598 \h </w:instrText>
              </w:r>
              <w:r>
                <w:fldChar w:fldCharType="separate"/>
              </w:r>
              <w:r>
                <w:t>7</w:t>
              </w:r>
              <w:r>
                <w:fldChar w:fldCharType="end"/>
              </w:r>
              <w:r>
                <w:rPr>
                  <w:bCs/>
                </w:rPr>
                <w:fldChar w:fldCharType="end"/>
              </w:r>
            </w:p>
            <w:p>
              <w:pPr>
                <w:pStyle w:val="5"/>
                <w:tabs>
                  <w:tab w:val="right" w:leader="dot" w:pos="8306"/>
                </w:tabs>
              </w:pPr>
              <w:r>
                <w:rPr>
                  <w:bCs/>
                </w:rPr>
                <w:fldChar w:fldCharType="begin"/>
              </w:r>
              <w:r>
                <w:rPr>
                  <w:bCs/>
                </w:rPr>
                <w:instrText xml:space="preserve"> HYPERLINK \l _Toc1490496029 </w:instrText>
              </w:r>
              <w:r>
                <w:rPr>
                  <w:bCs/>
                </w:rPr>
                <w:fldChar w:fldCharType="separate"/>
              </w:r>
              <w:r>
                <w:rPr>
                  <w:rFonts w:hint="default"/>
                  <w:bCs w:val="0"/>
                  <w:szCs w:val="24"/>
                  <w:lang w:val="en-US"/>
                </w:rPr>
                <w:t>2.1.3 Evaluate the potential impact of the new executive information system</w:t>
              </w:r>
              <w:r>
                <w:tab/>
              </w:r>
              <w:r>
                <w:fldChar w:fldCharType="begin"/>
              </w:r>
              <w:r>
                <w:instrText xml:space="preserve"> PAGEREF _Toc1490496029 \h </w:instrText>
              </w:r>
              <w:r>
                <w:fldChar w:fldCharType="separate"/>
              </w:r>
              <w:r>
                <w:t>10</w:t>
              </w:r>
              <w:r>
                <w:fldChar w:fldCharType="end"/>
              </w:r>
              <w:r>
                <w:rPr>
                  <w:bCs/>
                </w:rPr>
                <w:fldChar w:fldCharType="end"/>
              </w:r>
            </w:p>
            <w:p>
              <w:pPr>
                <w:pStyle w:val="9"/>
                <w:tabs>
                  <w:tab w:val="right" w:leader="dot" w:pos="8306"/>
                </w:tabs>
              </w:pPr>
              <w:r>
                <w:rPr>
                  <w:bCs/>
                </w:rPr>
                <w:fldChar w:fldCharType="begin"/>
              </w:r>
              <w:r>
                <w:rPr>
                  <w:bCs/>
                </w:rPr>
                <w:instrText xml:space="preserve"> HYPERLINK \l _Toc370017148 </w:instrText>
              </w:r>
              <w:r>
                <w:rPr>
                  <w:bCs/>
                </w:rPr>
                <w:fldChar w:fldCharType="separate"/>
              </w:r>
              <w:r>
                <w:rPr>
                  <w:rFonts w:hint="default"/>
                  <w:lang w:val="en-US"/>
                </w:rPr>
                <w:t xml:space="preserve">2.2 </w:t>
              </w:r>
              <w:r>
                <w:t>Task 2 – Troy Brands</w:t>
              </w:r>
              <w:r>
                <w:tab/>
              </w:r>
              <w:r>
                <w:fldChar w:fldCharType="begin"/>
              </w:r>
              <w:r>
                <w:instrText xml:space="preserve"> PAGEREF _Toc370017148 \h </w:instrText>
              </w:r>
              <w:r>
                <w:fldChar w:fldCharType="separate"/>
              </w:r>
              <w:r>
                <w:t>13</w:t>
              </w:r>
              <w:r>
                <w:fldChar w:fldCharType="end"/>
              </w:r>
              <w:r>
                <w:rPr>
                  <w:bCs/>
                </w:rPr>
                <w:fldChar w:fldCharType="end"/>
              </w:r>
            </w:p>
            <w:p>
              <w:pPr>
                <w:pStyle w:val="5"/>
                <w:tabs>
                  <w:tab w:val="right" w:leader="dot" w:pos="8306"/>
                </w:tabs>
              </w:pPr>
              <w:r>
                <w:rPr>
                  <w:bCs/>
                </w:rPr>
                <w:fldChar w:fldCharType="begin"/>
              </w:r>
              <w:r>
                <w:rPr>
                  <w:bCs/>
                </w:rPr>
                <w:instrText xml:space="preserve"> HYPERLINK \l _Toc1913048371 </w:instrText>
              </w:r>
              <w:r>
                <w:rPr>
                  <w:bCs/>
                </w:rPr>
                <w:fldChar w:fldCharType="separate"/>
              </w:r>
              <w:r>
                <w:rPr>
                  <w:rFonts w:hint="default"/>
                  <w:bCs w:val="0"/>
                  <w:szCs w:val="24"/>
                  <w:lang w:val="en-US"/>
                </w:rPr>
                <w:t>2.2.1 The growth crisis</w:t>
              </w:r>
              <w:r>
                <w:tab/>
              </w:r>
              <w:r>
                <w:fldChar w:fldCharType="begin"/>
              </w:r>
              <w:r>
                <w:instrText xml:space="preserve"> PAGEREF _Toc1913048371 \h </w:instrText>
              </w:r>
              <w:r>
                <w:fldChar w:fldCharType="separate"/>
              </w:r>
              <w:r>
                <w:t>13</w:t>
              </w:r>
              <w:r>
                <w:fldChar w:fldCharType="end"/>
              </w:r>
              <w:r>
                <w:rPr>
                  <w:bCs/>
                </w:rPr>
                <w:fldChar w:fldCharType="end"/>
              </w:r>
            </w:p>
            <w:p>
              <w:pPr>
                <w:pStyle w:val="5"/>
                <w:tabs>
                  <w:tab w:val="right" w:leader="dot" w:pos="8306"/>
                </w:tabs>
              </w:pPr>
              <w:r>
                <w:rPr>
                  <w:bCs/>
                </w:rPr>
                <w:fldChar w:fldCharType="begin"/>
              </w:r>
              <w:r>
                <w:rPr>
                  <w:bCs/>
                </w:rPr>
                <w:instrText xml:space="preserve"> HYPERLINK \l _Toc478808513 </w:instrText>
              </w:r>
              <w:r>
                <w:rPr>
                  <w:bCs/>
                </w:rPr>
                <w:fldChar w:fldCharType="separate"/>
              </w:r>
              <w:r>
                <w:rPr>
                  <w:rFonts w:hint="default"/>
                  <w:bCs w:val="0"/>
                  <w:szCs w:val="24"/>
                  <w:lang w:val="en-US" w:eastAsia="zh-CN"/>
                </w:rPr>
                <w:t>2.2.2 Quantitative and qualitative performance</w:t>
              </w:r>
              <w:r>
                <w:tab/>
              </w:r>
              <w:r>
                <w:fldChar w:fldCharType="begin"/>
              </w:r>
              <w:r>
                <w:instrText xml:space="preserve"> PAGEREF _Toc478808513 \h </w:instrText>
              </w:r>
              <w:r>
                <w:fldChar w:fldCharType="separate"/>
              </w:r>
              <w:r>
                <w:t>15</w:t>
              </w:r>
              <w:r>
                <w:fldChar w:fldCharType="end"/>
              </w:r>
              <w:r>
                <w:rPr>
                  <w:bCs/>
                </w:rPr>
                <w:fldChar w:fldCharType="end"/>
              </w:r>
            </w:p>
            <w:p>
              <w:pPr>
                <w:pStyle w:val="5"/>
                <w:tabs>
                  <w:tab w:val="right" w:leader="dot" w:pos="8306"/>
                </w:tabs>
              </w:pPr>
              <w:r>
                <w:rPr>
                  <w:bCs/>
                </w:rPr>
                <w:fldChar w:fldCharType="begin"/>
              </w:r>
              <w:r>
                <w:rPr>
                  <w:bCs/>
                </w:rPr>
                <w:instrText xml:space="preserve"> HYPERLINK \l _Toc713452682 </w:instrText>
              </w:r>
              <w:r>
                <w:rPr>
                  <w:bCs/>
                </w:rPr>
                <w:fldChar w:fldCharType="separate"/>
              </w:r>
              <w:r>
                <w:rPr>
                  <w:rFonts w:hint="default"/>
                  <w:bCs w:val="0"/>
                  <w:szCs w:val="24"/>
                  <w:lang w:val="en-US"/>
                </w:rPr>
                <w:t>2.2.3 The need for business process reengineering</w:t>
              </w:r>
              <w:r>
                <w:tab/>
              </w:r>
              <w:r>
                <w:fldChar w:fldCharType="begin"/>
              </w:r>
              <w:r>
                <w:instrText xml:space="preserve"> PAGEREF _Toc713452682 \h </w:instrText>
              </w:r>
              <w:r>
                <w:fldChar w:fldCharType="separate"/>
              </w:r>
              <w:r>
                <w:t>20</w:t>
              </w:r>
              <w:r>
                <w:fldChar w:fldCharType="end"/>
              </w:r>
              <w:r>
                <w:rPr>
                  <w:bCs/>
                </w:rPr>
                <w:fldChar w:fldCharType="end"/>
              </w:r>
            </w:p>
            <w:p>
              <w:pPr>
                <w:pStyle w:val="8"/>
                <w:tabs>
                  <w:tab w:val="right" w:leader="dot" w:pos="8306"/>
                </w:tabs>
              </w:pPr>
              <w:r>
                <w:rPr>
                  <w:bCs/>
                </w:rPr>
                <w:fldChar w:fldCharType="begin"/>
              </w:r>
              <w:r>
                <w:rPr>
                  <w:bCs/>
                </w:rPr>
                <w:instrText xml:space="preserve"> HYPERLINK \l _Toc1598025173 </w:instrText>
              </w:r>
              <w:r>
                <w:rPr>
                  <w:bCs/>
                </w:rPr>
                <w:fldChar w:fldCharType="separate"/>
              </w:r>
              <w:r>
                <w:rPr>
                  <w:rFonts w:hint="default"/>
                  <w:lang w:val="en-US"/>
                </w:rPr>
                <w:t xml:space="preserve">3. </w:t>
              </w:r>
              <w:r>
                <w:t>Conclusion</w:t>
              </w:r>
              <w:r>
                <w:tab/>
              </w:r>
              <w:r>
                <w:fldChar w:fldCharType="begin"/>
              </w:r>
              <w:r>
                <w:instrText xml:space="preserve"> PAGEREF _Toc1598025173 \h </w:instrText>
              </w:r>
              <w:r>
                <w:fldChar w:fldCharType="separate"/>
              </w:r>
              <w:r>
                <w:t>23</w:t>
              </w:r>
              <w:r>
                <w:fldChar w:fldCharType="end"/>
              </w:r>
              <w:r>
                <w:rPr>
                  <w:bCs/>
                </w:rPr>
                <w:fldChar w:fldCharType="end"/>
              </w:r>
              <w:bookmarkStart w:id="14" w:name="_GoBack"/>
              <w:bookmarkEnd w:id="14"/>
            </w:p>
            <w:p>
              <w:pPr>
                <w:pStyle w:val="8"/>
                <w:tabs>
                  <w:tab w:val="right" w:leader="dot" w:pos="8306"/>
                </w:tabs>
              </w:pPr>
              <w:r>
                <w:rPr>
                  <w:bCs/>
                </w:rPr>
                <w:fldChar w:fldCharType="begin"/>
              </w:r>
              <w:r>
                <w:rPr>
                  <w:bCs/>
                </w:rPr>
                <w:instrText xml:space="preserve"> HYPERLINK \l _Toc1578593229 </w:instrText>
              </w:r>
              <w:r>
                <w:rPr>
                  <w:bCs/>
                </w:rPr>
                <w:fldChar w:fldCharType="separate"/>
              </w:r>
              <w:r>
                <w:t>Bibliography</w:t>
              </w:r>
              <w:r>
                <w:tab/>
              </w:r>
              <w:r>
                <w:fldChar w:fldCharType="begin"/>
              </w:r>
              <w:r>
                <w:instrText xml:space="preserve"> PAGEREF _Toc1578593229 \h </w:instrText>
              </w:r>
              <w:r>
                <w:fldChar w:fldCharType="separate"/>
              </w:r>
              <w:r>
                <w:t>25</w:t>
              </w:r>
              <w:r>
                <w:fldChar w:fldCharType="end"/>
              </w:r>
              <w:r>
                <w:rPr>
                  <w:bCs/>
                </w:rPr>
                <w:fldChar w:fldCharType="end"/>
              </w:r>
            </w:p>
            <w:p>
              <w:pPr>
                <w:pStyle w:val="8"/>
                <w:tabs>
                  <w:tab w:val="right" w:leader="dot" w:pos="8306"/>
                </w:tabs>
              </w:pPr>
              <w:r>
                <w:rPr>
                  <w:bCs/>
                </w:rPr>
                <w:fldChar w:fldCharType="begin"/>
              </w:r>
              <w:r>
                <w:rPr>
                  <w:bCs/>
                </w:rPr>
                <w:instrText xml:space="preserve"> HYPERLINK \l _Toc1403424765 </w:instrText>
              </w:r>
              <w:r>
                <w:rPr>
                  <w:bCs/>
                </w:rPr>
                <w:fldChar w:fldCharType="separate"/>
              </w:r>
              <w:r>
                <w:t>Appendix</w:t>
              </w:r>
              <w:r>
                <w:tab/>
              </w:r>
              <w:r>
                <w:fldChar w:fldCharType="begin"/>
              </w:r>
              <w:r>
                <w:instrText xml:space="preserve"> PAGEREF _Toc1403424765 \h </w:instrText>
              </w:r>
              <w:r>
                <w:fldChar w:fldCharType="separate"/>
              </w:r>
              <w:r>
                <w:t>29</w:t>
              </w:r>
              <w:r>
                <w:fldChar w:fldCharType="end"/>
              </w:r>
              <w:r>
                <w:rPr>
                  <w:bCs/>
                </w:rPr>
                <w:fldChar w:fldCharType="end"/>
              </w:r>
            </w:p>
            <w:p>
              <w:r>
                <w:rPr>
                  <w:bCs/>
                </w:rPr>
                <w:fldChar w:fldCharType="end"/>
              </w:r>
            </w:p>
          </w:sdtContent>
        </w:sdt>
        <w:p/>
        <w:p/>
        <w:p/>
        <w:p/>
        <w:p/>
        <w:p/>
        <w:p/>
        <w:p/>
        <w:p/>
        <w:p/>
        <w:p/>
        <w:p>
          <w:pPr>
            <w:pStyle w:val="2"/>
            <w:numPr>
              <w:ilvl w:val="0"/>
              <w:numId w:val="1"/>
            </w:numPr>
            <w:spacing w:line="480" w:lineRule="auto"/>
            <w:sectPr>
              <w:headerReference r:id="rId5" w:type="default"/>
              <w:footerReference r:id="rId6" w:type="default"/>
              <w:pgSz w:w="11906" w:h="16838"/>
              <w:pgMar w:top="1440" w:right="1800" w:bottom="1440" w:left="1800" w:header="851" w:footer="992" w:gutter="0"/>
              <w:cols w:space="425" w:num="1"/>
              <w:docGrid w:type="lines" w:linePitch="312" w:charSpace="0"/>
            </w:sectPr>
          </w:pPr>
          <w:bookmarkStart w:id="1" w:name="_Toc1536495389"/>
        </w:p>
        <w:p>
          <w:pPr>
            <w:pStyle w:val="2"/>
            <w:numPr>
              <w:ilvl w:val="0"/>
              <w:numId w:val="1"/>
            </w:numPr>
            <w:spacing w:line="480" w:lineRule="auto"/>
          </w:pPr>
          <w:r>
            <w:t>Introduction</w:t>
          </w:r>
          <w:bookmarkEnd w:id="1"/>
          <w:r>
            <w:t xml:space="preserve">  </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eastAsia="宋体"/>
              <w:lang w:val="en-US" w:eastAsia="zh-CN"/>
            </w:rPr>
          </w:pPr>
          <w:r>
            <w:rPr>
              <w:rFonts w:hint="default"/>
              <w:lang w:val="en-US"/>
            </w:rPr>
            <w:t>This report analyzes the performance management of Wirral Manufacturing Ltd and the Defoe brand.</w:t>
          </w:r>
          <w:r>
            <w:rPr>
              <w:rFonts w:hint="eastAsia" w:eastAsia="宋体"/>
              <w:lang w:val="en-US" w:eastAsia="zh-CN"/>
            </w:rPr>
            <w:t xml:space="preserve"> </w:t>
          </w:r>
          <w:r>
            <w:rPr>
              <w:rFonts w:hint="default"/>
              <w:lang w:val="en-US"/>
            </w:rPr>
            <w:t>The first part  is the analysis of</w:t>
          </w:r>
          <w:r>
            <w:rPr>
              <w:rFonts w:hint="eastAsia" w:eastAsia="宋体"/>
              <w:lang w:val="en-US" w:eastAsia="zh-CN"/>
            </w:rPr>
            <w:t xml:space="preserve"> WIRRAL FABRICATION PLC.</w:t>
          </w:r>
          <w:r>
            <w:rPr>
              <w:rFonts w:hint="default" w:eastAsia="宋体"/>
              <w:lang w:val="en-US" w:eastAsia="zh-CN"/>
            </w:rPr>
            <w:t xml:space="preserve"> A</w:t>
          </w:r>
          <w:r>
            <w:rPr>
              <w:rFonts w:hint="eastAsia" w:eastAsia="宋体"/>
              <w:lang w:val="en-US" w:eastAsia="zh-CN"/>
            </w:rPr>
            <w:t>ccording</w:t>
          </w:r>
          <w:r>
            <w:rPr>
              <w:rFonts w:hint="default" w:eastAsia="宋体"/>
              <w:lang w:val="en-US" w:eastAsia="zh-CN"/>
            </w:rPr>
            <w:t xml:space="preserve"> to  the company's business introduction and data support, this report conducts a relevant analysis in three parts. First, it critically assesses the performance of its departments and discusses measures related to departmental performance. Second, it outlines the criteria for designing a transfer pricing system and evaluates the transfer prices of two departments using two methods. Third, it evaluates the potential impact of the new executive information system adopted on performance management.</w:t>
          </w:r>
          <w:r>
            <w:rPr>
              <w:rFonts w:hint="default"/>
              <w:lang w:val="en-US"/>
            </w:rPr>
            <w:t xml:space="preserve">The </w:t>
          </w:r>
          <w:r>
            <w:rPr>
              <w:rFonts w:hint="eastAsia" w:eastAsia="宋体"/>
              <w:lang w:val="en-US" w:eastAsia="zh-CN"/>
            </w:rPr>
            <w:t>second</w:t>
          </w:r>
          <w:r>
            <w:rPr>
              <w:rFonts w:hint="default"/>
              <w:lang w:val="en-US"/>
            </w:rPr>
            <w:t xml:space="preserve"> part  is the analysis of</w:t>
          </w:r>
          <w:r>
            <w:rPr>
              <w:rFonts w:hint="eastAsia"/>
              <w:lang w:val="en-US" w:eastAsia="zh-CN"/>
            </w:rPr>
            <w:t xml:space="preserve"> </w:t>
          </w:r>
          <w:r>
            <w:rPr>
              <w:rFonts w:hint="eastAsia"/>
              <w:lang w:val="en-US"/>
            </w:rPr>
            <w:t>Defoe Brands</w:t>
          </w:r>
          <w:r>
            <w:rPr>
              <w:rFonts w:hint="eastAsia"/>
              <w:lang w:val="en-US" w:eastAsia="zh-CN"/>
            </w:rPr>
            <w:t xml:space="preserve">. </w:t>
          </w:r>
          <w:r>
            <w:rPr>
              <w:rFonts w:hint="default"/>
              <w:lang w:val="en-US" w:eastAsia="zh-CN"/>
            </w:rPr>
            <w:t>I</w:t>
          </w:r>
          <w:r>
            <w:rPr>
              <w:rFonts w:hint="eastAsia"/>
              <w:lang w:val="en-US" w:eastAsia="zh-CN"/>
            </w:rPr>
            <w:t xml:space="preserve"> will analyze the growth crisis faced by the company, analyzes it qualitatively and quantitatively with balanced scorecard, and finally points out the need of business process reengineering. At the end of this report, based on the performance management analysis of the above two cases, it summarizes the problems that need attention in performance management and puts forward relevant suggestions.</w:t>
          </w:r>
        </w:p>
        <w:p/>
        <w:p/>
        <w:p/>
        <w:p>
          <w:pPr>
            <w:pStyle w:val="2"/>
            <w:numPr>
              <w:ilvl w:val="0"/>
              <w:numId w:val="0"/>
            </w:numPr>
            <w:ind w:leftChars="0"/>
            <w:sectPr>
              <w:footerReference r:id="rId7" w:type="default"/>
              <w:pgSz w:w="11906" w:h="16838"/>
              <w:pgMar w:top="1440" w:right="1800" w:bottom="1440" w:left="1800" w:header="851" w:footer="992" w:gutter="0"/>
              <w:pgNumType w:fmt="decimal" w:start="1"/>
              <w:cols w:space="425" w:num="1"/>
              <w:docGrid w:type="lines" w:linePitch="312" w:charSpace="0"/>
            </w:sectPr>
          </w:pPr>
        </w:p>
        <w:p>
          <w:pPr>
            <w:pStyle w:val="2"/>
            <w:numPr>
              <w:ilvl w:val="0"/>
              <w:numId w:val="1"/>
            </w:numPr>
            <w:ind w:left="0" w:leftChars="0" w:firstLine="0" w:firstLineChars="0"/>
          </w:pPr>
          <w:bookmarkStart w:id="2" w:name="_Toc387147748"/>
          <w:r>
            <w:t>Main Findings</w:t>
          </w:r>
          <w:bookmarkEnd w:id="2"/>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eastAsia"/>
              <w:lang w:val="en-US"/>
            </w:rPr>
          </w:pPr>
          <w:r>
            <w:rPr>
              <w:rFonts w:hint="eastAsia"/>
              <w:lang w:val="en-US"/>
            </w:rPr>
            <w:t>Performance management is a key enterprise activity that monitors and improves the performance of employees and the organization as a whole through specific human resource management techniques and strategies. This process is not only essential for achieving organizational goals, but also helps drive progress and development for both employees and the organization</w:t>
          </w:r>
          <w:r>
            <w:rPr>
              <w:rFonts w:hint="default"/>
              <w:lang w:val="en-US"/>
            </w:rPr>
            <w:t xml:space="preserve"> </w:t>
          </w:r>
          <w:r>
            <w:rPr>
              <w:rFonts w:hint="eastAsia"/>
              <w:lang w:val="en-US"/>
            </w:rPr>
            <w:t>(Armstrong and Baron</w:t>
          </w:r>
          <w:r>
            <w:rPr>
              <w:rFonts w:hint="default"/>
              <w:lang w:val="en-US"/>
            </w:rPr>
            <w:t>, 2005</w:t>
          </w:r>
          <w:r>
            <w:rPr>
              <w:rFonts w:hint="eastAsia"/>
              <w:lang w:val="en-US"/>
            </w:rPr>
            <w:t>)</w:t>
          </w:r>
          <w:r>
            <w:rPr>
              <w:rFonts w:hint="default"/>
              <w:lang w:val="en-US"/>
            </w:rPr>
            <w:t xml:space="preserve"> [1]</w:t>
          </w:r>
          <w:r>
            <w:rPr>
              <w:rFonts w:hint="eastAsia"/>
              <w:lang w:val="en-US"/>
            </w:rPr>
            <w:t>.</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eastAsia"/>
              <w:lang w:val="en-US"/>
            </w:rPr>
          </w:pPr>
          <w:r>
            <w:rPr>
              <w:rFonts w:hint="eastAsia"/>
              <w:lang w:val="en-US"/>
            </w:rPr>
            <w:t>The core goal of performance management is to stimulate the potential of employees by evaluating and recognizing their performance. It also involves analyzing identified problems and deficiencies and implementing appropriate improvements to improve the efficiency of employees and the organization as a whole. In this way, companies can not only achieve their strategic goals, but also gain an edge over the competition and create results that exceed expectations</w:t>
          </w:r>
          <w:r>
            <w:rPr>
              <w:rFonts w:hint="default"/>
              <w:lang w:val="en-US"/>
            </w:rPr>
            <w:t xml:space="preserve"> </w:t>
          </w:r>
          <w:r>
            <w:rPr>
              <w:rFonts w:hint="eastAsia"/>
              <w:lang w:val="en-US"/>
            </w:rPr>
            <w:t>(Ferreira and Otley, 2009) [2].</w:t>
          </w:r>
        </w:p>
        <w:p>
          <w:pPr>
            <w:pStyle w:val="3"/>
            <w:keepNext/>
            <w:keepLines/>
            <w:pageBreakBefore w:val="0"/>
            <w:widowControl/>
            <w:kinsoku/>
            <w:wordWrap/>
            <w:overflowPunct/>
            <w:topLinePunct w:val="0"/>
            <w:autoSpaceDE/>
            <w:autoSpaceDN/>
            <w:bidi w:val="0"/>
            <w:adjustRightInd/>
            <w:snapToGrid/>
            <w:spacing w:before="0" w:after="0" w:line="480" w:lineRule="auto"/>
            <w:textAlignment w:val="auto"/>
            <w:rPr>
              <w:rFonts w:hint="eastAsia"/>
              <w:lang w:val="en-US" w:eastAsia="zh-CN"/>
            </w:rPr>
            <w:sectPr>
              <w:pgSz w:w="11906" w:h="16838"/>
              <w:pgMar w:top="1440" w:right="1800" w:bottom="1440" w:left="1800" w:header="851" w:footer="992" w:gutter="0"/>
              <w:pgNumType w:fmt="decimal"/>
              <w:cols w:space="425" w:num="1"/>
              <w:docGrid w:type="lines" w:linePitch="312" w:charSpace="0"/>
            </w:sectPr>
          </w:pPr>
          <w:bookmarkStart w:id="3" w:name="_Toc2064233873"/>
        </w:p>
        <w:p>
          <w:pPr>
            <w:pStyle w:val="3"/>
            <w:keepNext/>
            <w:keepLines/>
            <w:pageBreakBefore w:val="0"/>
            <w:widowControl/>
            <w:kinsoku/>
            <w:wordWrap/>
            <w:overflowPunct/>
            <w:topLinePunct w:val="0"/>
            <w:autoSpaceDE/>
            <w:autoSpaceDN/>
            <w:bidi w:val="0"/>
            <w:adjustRightInd/>
            <w:snapToGrid/>
            <w:spacing w:before="0" w:after="0" w:line="480" w:lineRule="auto"/>
            <w:textAlignment w:val="auto"/>
          </w:pPr>
          <w:r>
            <w:rPr>
              <w:rFonts w:hint="eastAsia"/>
              <w:lang w:val="en-US" w:eastAsia="zh-CN"/>
            </w:rPr>
            <w:t xml:space="preserve">2.1 </w:t>
          </w:r>
          <w:r>
            <w:t>Task 1 – Portal Fabrication PLC</w:t>
          </w:r>
          <w:bookmarkEnd w:id="3"/>
        </w:p>
        <w:p>
          <w:pPr>
            <w:pStyle w:val="4"/>
            <w:pageBreakBefore w:val="0"/>
            <w:widowControl/>
            <w:kinsoku/>
            <w:wordWrap/>
            <w:overflowPunct/>
            <w:topLinePunct w:val="0"/>
            <w:autoSpaceDE/>
            <w:autoSpaceDN/>
            <w:bidi w:val="0"/>
            <w:adjustRightInd/>
            <w:snapToGrid/>
            <w:spacing w:before="0" w:beforeLines="0" w:after="0" w:afterLines="0" w:line="480" w:lineRule="auto"/>
            <w:textAlignment w:val="auto"/>
            <w:rPr>
              <w:rFonts w:hint="default"/>
              <w:b/>
              <w:bCs w:val="0"/>
              <w:color w:val="000000" w:themeColor="text1"/>
              <w:sz w:val="24"/>
              <w:szCs w:val="24"/>
              <w:lang w:val="en-US"/>
              <w14:textFill>
                <w14:solidFill>
                  <w14:schemeClr w14:val="tx1"/>
                </w14:solidFill>
              </w14:textFill>
            </w:rPr>
          </w:pPr>
          <w:bookmarkStart w:id="4" w:name="_Toc980386226"/>
          <w:r>
            <w:rPr>
              <w:rFonts w:hint="eastAsia" w:eastAsia="宋体"/>
              <w:b/>
              <w:bCs w:val="0"/>
              <w:color w:val="000000" w:themeColor="text1"/>
              <w:sz w:val="24"/>
              <w:szCs w:val="24"/>
              <w:lang w:val="en-US" w:eastAsia="zh-CN"/>
              <w14:textFill>
                <w14:solidFill>
                  <w14:schemeClr w14:val="tx1"/>
                </w14:solidFill>
              </w14:textFill>
            </w:rPr>
            <w:t>2.</w:t>
          </w:r>
          <w:r>
            <w:rPr>
              <w:rFonts w:hint="default"/>
              <w:b/>
              <w:bCs w:val="0"/>
              <w:color w:val="000000" w:themeColor="text1"/>
              <w:sz w:val="24"/>
              <w:szCs w:val="24"/>
              <w:lang w:val="en-US"/>
              <w14:textFill>
                <w14:solidFill>
                  <w14:schemeClr w14:val="tx1"/>
                </w14:solidFill>
              </w14:textFill>
            </w:rPr>
            <w:t>1.1 Evaluation the divisional performance</w:t>
          </w:r>
          <w:bookmarkEnd w:id="4"/>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b/>
              <w:bCs/>
              <w:lang w:val="en-US"/>
            </w:rPr>
          </w:pPr>
          <w:r>
            <w:rPr>
              <w:rFonts w:hint="default"/>
              <w:b/>
              <w:bCs/>
              <w:lang w:val="en-US"/>
            </w:rPr>
            <w:t>(1) Return on Investment (ROI)</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Return on investment (ROI) represents the economic gain from investment-related business activities. It is used to evaluate the profitability and operation effect of the company, and is a comprehensive indicator to measure the performance and efficiency of the enterprise</w:t>
          </w:r>
          <w:r>
            <w:rPr>
              <w:rFonts w:hint="eastAsia" w:eastAsia="宋体"/>
              <w:lang w:val="en-US" w:eastAsia="zh-CN"/>
            </w:rPr>
            <w:t xml:space="preserve"> </w:t>
          </w:r>
          <w:r>
            <w:rPr>
              <w:rFonts w:hint="default"/>
              <w:lang w:val="en-US"/>
            </w:rPr>
            <w:t>(Boyd et al.,2021) [3]. The formula for calculating ROI is: ROI = Net return on investment / Cost of investment x 100% (Beattie, 2022) [4], then:</w:t>
          </w:r>
        </w:p>
        <w:p>
          <w:pPr>
            <w:keepNext w:val="0"/>
            <w:keepLines w:val="0"/>
            <w:pageBreakBefore w:val="0"/>
            <w:widowControl/>
            <w:numPr>
              <w:ilvl w:val="0"/>
              <w:numId w:val="2"/>
            </w:numPr>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manufacturing/sales (i.e. M/S) ROI = £396m / £1294mx100= 30.6%;</w:t>
          </w:r>
        </w:p>
        <w:p>
          <w:pPr>
            <w:keepNext w:val="0"/>
            <w:keepLines w:val="0"/>
            <w:pageBreakBefore w:val="0"/>
            <w:widowControl/>
            <w:numPr>
              <w:ilvl w:val="0"/>
              <w:numId w:val="2"/>
            </w:numPr>
            <w:kinsoku/>
            <w:wordWrap/>
            <w:overflowPunct/>
            <w:topLinePunct w:val="0"/>
            <w:autoSpaceDE/>
            <w:autoSpaceDN/>
            <w:bidi w:val="0"/>
            <w:adjustRightInd/>
            <w:snapToGrid/>
            <w:spacing w:after="0" w:line="480" w:lineRule="auto"/>
            <w:ind w:left="0" w:leftChars="0" w:firstLine="440" w:firstLineChars="200"/>
            <w:textAlignment w:val="auto"/>
            <w:rPr>
              <w:rFonts w:hint="default"/>
              <w:lang w:val="en-US"/>
            </w:rPr>
          </w:pPr>
          <w:r>
            <w:rPr>
              <w:rFonts w:hint="default"/>
              <w:lang w:val="en-US"/>
            </w:rPr>
            <w:t>service ROI = £6m / £38m x 100=15.79%.</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 xml:space="preserve">Manufacturing/sales ROI and service ROI are all higher than cost of capital, they are all acceptable. M/S ROI is higher than service ROI, It shows that it generates profits more efficiently relative to its total assets. This suggests that M/S could make better use of assets or manage them more efficiently. ROI helps investors determine the efficiency of their investments and guides them in deciding which investments to make. Investors can use this metric to compare different investment options and select the investment with the highest return. In addition, observing ROI changes allows you to monitor investment performance over time and identify areas for improvement (Murdoch et al., 2007) [5].   </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However, if Wirral Fabrication plc bases its investment decisions on its average rate of return rather than the group's cost of capital, using ROI as a performance evaluation criterion may not promote consistency of objectives. Besides, it will encourage the manipulation of profit and capital employed figures to improve results and (Brewer et al., 1999) [6].</w:t>
          </w:r>
        </w:p>
        <w:p>
          <w:pPr>
            <w:keepNext w:val="0"/>
            <w:keepLines w:val="0"/>
            <w:pageBreakBefore w:val="0"/>
            <w:widowControl/>
            <w:numPr>
              <w:ilvl w:val="0"/>
              <w:numId w:val="3"/>
            </w:numPr>
            <w:kinsoku/>
            <w:wordWrap/>
            <w:overflowPunct/>
            <w:topLinePunct w:val="0"/>
            <w:autoSpaceDE/>
            <w:autoSpaceDN/>
            <w:bidi w:val="0"/>
            <w:adjustRightInd/>
            <w:snapToGrid/>
            <w:spacing w:after="0" w:line="480" w:lineRule="auto"/>
            <w:ind w:firstLine="440" w:firstLineChars="200"/>
            <w:textAlignment w:val="auto"/>
            <w:rPr>
              <w:rFonts w:hint="default"/>
              <w:b/>
              <w:bCs/>
              <w:lang w:val="en-US"/>
            </w:rPr>
          </w:pPr>
          <w:r>
            <w:rPr>
              <w:rFonts w:hint="default"/>
              <w:b/>
              <w:bCs/>
              <w:lang w:val="en-US"/>
            </w:rPr>
            <w:t>Residual income (RI)</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Residual income is the amount left after deducting the expected investment income calculated at a given minimum rate of return from the profits obtained from the investment. Reflecting the relationship between input and output of investment, it can avoid isolationism and realize the alignment between the interests of the investment center and the overall interests of the enterprise.</w:t>
          </w:r>
          <w:r>
            <w:rPr>
              <w:rFonts w:hint="eastAsia" w:eastAsia="宋体"/>
              <w:lang w:val="en-US" w:eastAsia="zh-CN"/>
            </w:rPr>
            <w:t xml:space="preserve"> </w:t>
          </w:r>
          <w:r>
            <w:rPr>
              <w:rFonts w:hint="default" w:eastAsia="宋体"/>
              <w:lang w:val="en-US" w:eastAsia="zh-CN"/>
            </w:rPr>
            <w:t>T</w:t>
          </w:r>
          <w:r>
            <w:rPr>
              <w:rFonts w:hint="eastAsia" w:eastAsia="宋体"/>
              <w:lang w:val="en-US" w:eastAsia="zh-CN"/>
            </w:rPr>
            <w:t>his f</w:t>
          </w:r>
          <w:r>
            <w:rPr>
              <w:rFonts w:hint="default" w:eastAsia="宋体"/>
              <w:lang w:val="en-US" w:eastAsia="zh-CN"/>
            </w:rPr>
            <w:t xml:space="preserve">ormula is: </w:t>
          </w:r>
          <w:r>
            <w:rPr>
              <w:rFonts w:hint="default"/>
              <w:lang w:val="en-US"/>
            </w:rPr>
            <w:t>Residual income (RI) = net income - a charge for the cost of capital (Kenton, 2021) [7]. Then:</w:t>
          </w:r>
        </w:p>
        <w:p>
          <w:pPr>
            <w:keepNext w:val="0"/>
            <w:keepLines w:val="0"/>
            <w:pageBreakBefore w:val="0"/>
            <w:widowControl/>
            <w:numPr>
              <w:ilvl w:val="0"/>
              <w:numId w:val="4"/>
            </w:numPr>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manufacturing/sales (i.e. M/S) RI = £396m - (£1294mx9%) = £279.54m;</w:t>
          </w:r>
        </w:p>
        <w:p>
          <w:pPr>
            <w:keepNext w:val="0"/>
            <w:keepLines w:val="0"/>
            <w:pageBreakBefore w:val="0"/>
            <w:widowControl/>
            <w:numPr>
              <w:ilvl w:val="0"/>
              <w:numId w:val="4"/>
            </w:numPr>
            <w:kinsoku/>
            <w:wordWrap/>
            <w:overflowPunct/>
            <w:topLinePunct w:val="0"/>
            <w:autoSpaceDE/>
            <w:autoSpaceDN/>
            <w:bidi w:val="0"/>
            <w:adjustRightInd/>
            <w:snapToGrid/>
            <w:spacing w:after="0" w:line="480" w:lineRule="auto"/>
            <w:ind w:left="0" w:leftChars="0" w:firstLine="440" w:firstLineChars="200"/>
            <w:textAlignment w:val="auto"/>
            <w:rPr>
              <w:rFonts w:hint="default"/>
              <w:lang w:val="en-US"/>
            </w:rPr>
          </w:pPr>
          <w:r>
            <w:rPr>
              <w:rFonts w:hint="default"/>
              <w:lang w:val="en-US"/>
            </w:rPr>
            <w:t>service RI = £6m - (£38mx9%) = £2.58m.</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M/S RI and service RI are all positive, which means they can not only recover the investment cost, but also create excess value, but M/S's contribution is much more than service's. Different costs of capital can be applied to assets in different risk categories. This is likely to be appropriate for divisions which operate in different business sectors. Target levels of RI need to be set with regard to the asset size of the division and its market conditions.</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Nevertheless, RI might not always lead to choices that benefit the company optimally. It could also promote the alteration of profit and capital utilization statistics to enhance outcomes (Ohlson, 2000) [8].</w:t>
          </w:r>
        </w:p>
        <w:p>
          <w:pPr>
            <w:keepNext w:val="0"/>
            <w:keepLines w:val="0"/>
            <w:pageBreakBefore w:val="0"/>
            <w:widowControl/>
            <w:numPr>
              <w:ilvl w:val="0"/>
              <w:numId w:val="3"/>
            </w:numPr>
            <w:kinsoku/>
            <w:wordWrap/>
            <w:overflowPunct/>
            <w:topLinePunct w:val="0"/>
            <w:autoSpaceDE/>
            <w:autoSpaceDN/>
            <w:bidi w:val="0"/>
            <w:adjustRightInd/>
            <w:snapToGrid/>
            <w:spacing w:after="0" w:line="480" w:lineRule="auto"/>
            <w:ind w:left="0" w:leftChars="0" w:firstLine="440" w:firstLineChars="200"/>
            <w:textAlignment w:val="auto"/>
            <w:rPr>
              <w:rFonts w:hint="default"/>
              <w:b/>
              <w:bCs/>
              <w:lang w:val="en-US"/>
            </w:rPr>
          </w:pPr>
          <w:r>
            <w:rPr>
              <w:rFonts w:hint="default"/>
              <w:b/>
              <w:bCs/>
              <w:lang w:val="en-US"/>
            </w:rPr>
            <w:t>Economic Value Added (EVA</w:t>
          </w:r>
          <w:r>
            <w:rPr>
              <w:rFonts w:hint="default"/>
              <w:b/>
              <w:bCs/>
              <w:vertAlign w:val="superscript"/>
              <w:lang w:val="en-US"/>
            </w:rPr>
            <w:t>TM</w:t>
          </w:r>
          <w:r>
            <w:rPr>
              <w:rFonts w:hint="default"/>
              <w:b/>
              <w:bCs/>
              <w:lang w:val="en-US"/>
            </w:rPr>
            <w:t>)</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The fundamental idea of EVA is that performance ought to be evaluated based on the value generated during the period. It's a performance metric directly connected to shareholder wealth. EVA</w:t>
          </w:r>
          <w:r>
            <w:rPr>
              <w:rFonts w:hint="default"/>
              <w:vertAlign w:val="superscript"/>
              <w:lang w:val="en-US"/>
            </w:rPr>
            <w:t>TM</w:t>
          </w:r>
          <w:r>
            <w:rPr>
              <w:rFonts w:hint="default"/>
              <w:lang w:val="en-US"/>
            </w:rPr>
            <w:t xml:space="preserve"> = Net operating profit after tax (NOPAT) - total capital employed x WACC (Sharma and Kumar, 2010) [9]. Then:</w:t>
          </w:r>
        </w:p>
        <w:p>
          <w:pPr>
            <w:keepNext w:val="0"/>
            <w:keepLines w:val="0"/>
            <w:pageBreakBefore w:val="0"/>
            <w:widowControl/>
            <w:numPr>
              <w:ilvl w:val="0"/>
              <w:numId w:val="5"/>
            </w:numPr>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 xml:space="preserve">calculate NOPAT of M/S    </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NOPAT=Operating Profit−(Tax Rate×Operating Profit)=396m-(30%x396m)=277.2m</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Capital charge=Capital Employed×Cost of Capital=1294mx9%=116.46m</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EVA</w:t>
          </w:r>
          <w:r>
            <w:rPr>
              <w:rFonts w:hint="default"/>
              <w:vertAlign w:val="superscript"/>
              <w:lang w:val="en-US"/>
            </w:rPr>
            <w:t>TM</w:t>
          </w:r>
          <w:r>
            <w:rPr>
              <w:rFonts w:hint="default"/>
              <w:lang w:val="en-US"/>
            </w:rPr>
            <w:t>=NOPAT−Capital Charge=277.2m-116.46m=160.74m</w:t>
          </w:r>
        </w:p>
        <w:p>
          <w:pPr>
            <w:keepNext w:val="0"/>
            <w:keepLines w:val="0"/>
            <w:pageBreakBefore w:val="0"/>
            <w:widowControl/>
            <w:numPr>
              <w:ilvl w:val="0"/>
              <w:numId w:val="5"/>
            </w:numPr>
            <w:kinsoku/>
            <w:wordWrap/>
            <w:overflowPunct/>
            <w:topLinePunct w:val="0"/>
            <w:autoSpaceDE/>
            <w:autoSpaceDN/>
            <w:bidi w:val="0"/>
            <w:adjustRightInd/>
            <w:snapToGrid/>
            <w:spacing w:after="0" w:line="480" w:lineRule="auto"/>
            <w:ind w:left="0" w:leftChars="0" w:firstLine="440" w:firstLineChars="200"/>
            <w:textAlignment w:val="auto"/>
            <w:rPr>
              <w:rFonts w:hint="default"/>
              <w:lang w:val="en-US"/>
            </w:rPr>
          </w:pPr>
          <w:r>
            <w:rPr>
              <w:rFonts w:hint="default"/>
              <w:lang w:val="en-US"/>
            </w:rPr>
            <w:t>calculate NOPAT of service</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NOPAT=Operating Profit−(Tax Rate×Operating Profit)=6m-(30%x6m)=4.2m</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Capital charge=Capital Employed×Cost of Capital=38mx9%=3.42m</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EVA</w:t>
          </w:r>
          <w:r>
            <w:rPr>
              <w:rFonts w:hint="default"/>
              <w:vertAlign w:val="superscript"/>
              <w:lang w:val="en-US"/>
            </w:rPr>
            <w:t>TM</w:t>
          </w:r>
          <w:r>
            <w:rPr>
              <w:rFonts w:hint="default"/>
              <w:lang w:val="en-US"/>
            </w:rPr>
            <w:t>=NOPAT−Capital Charge=4.2m-3.42m=0.78m</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They have the effect of spreading the cost over the years which benefit from the expense, rather than charging all the cost in one year, very similar to RI. The M/S's high EVA™ confirms its strong performance in RI, indicating efficient asset utilization and cost control relative to the capital employed. And the low EVA™ of Service shows that it generates little value beyond the economic cost of its capital. While still positive, it indicates that the division's strategic position or operational efficiency needs to be improved. The modifications implemented prevent the skewing of outcomes by existing accounting practices and should thus lead to decisions that align with organizational goals.</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Nevertheless, it often requires extensive modifications to profit and capital utilized figures. Moreover, it does not enable comparisons across divisions because EVA is an absolute metric (Brewer et al., 1999) [6].</w:t>
          </w:r>
        </w:p>
        <w:p>
          <w:pPr>
            <w:keepNext w:val="0"/>
            <w:keepLines w:val="0"/>
            <w:pageBreakBefore w:val="0"/>
            <w:widowControl/>
            <w:numPr>
              <w:ilvl w:val="0"/>
              <w:numId w:val="3"/>
            </w:numPr>
            <w:kinsoku/>
            <w:wordWrap/>
            <w:overflowPunct/>
            <w:topLinePunct w:val="0"/>
            <w:autoSpaceDE/>
            <w:autoSpaceDN/>
            <w:bidi w:val="0"/>
            <w:adjustRightInd/>
            <w:snapToGrid/>
            <w:spacing w:after="0" w:line="480" w:lineRule="auto"/>
            <w:ind w:left="0" w:leftChars="0" w:firstLine="440" w:firstLineChars="200"/>
            <w:textAlignment w:val="auto"/>
            <w:rPr>
              <w:rFonts w:hint="default"/>
              <w:b/>
              <w:bCs/>
              <w:lang w:val="en-US"/>
            </w:rPr>
          </w:pPr>
          <w:r>
            <w:rPr>
              <w:rFonts w:hint="default"/>
              <w:b/>
              <w:bCs/>
              <w:vertAlign w:val="baseline"/>
              <w:lang w:val="en-US"/>
            </w:rPr>
            <w:t>A comparative summary of ROI, RI and EVA</w:t>
          </w:r>
          <w:r>
            <w:rPr>
              <w:rFonts w:hint="default"/>
              <w:b/>
              <w:bCs/>
              <w:vertAlign w:val="superscript"/>
              <w:lang w:val="en-US"/>
            </w:rPr>
            <w:t>TM</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 xml:space="preserve">Comparative use: ROI is useful for efficiency comparisons, but can be misleading if the underlying (asset) varies greatly in quality or age. EVA™ and RI provide a more comprehensive understanding by incorporating cost of capital, making them more effective in measuring absolute performance and economic profit. </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 xml:space="preserve">Scale and scale sensitivity: ROI is insensitive to the scale of operations, which can make large, inefficient departments less profitable than smaller, more efficient ones. RI and EVA™ are adjusted for the amount of capital used, providing scale-sensitive performance measures. </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 xml:space="preserve">The goal is the same: ROI is focused on profit margins, while RI and EVA™ are more focused on shareholder value creation and focus on exceeding the cost of capital. </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Strategic Decisions: RI and EVA™ are particularly useful for evaluating the economic profitability of strategic business units within large companies, and can inform decisions about capital allocation, expansion, or divestiture.</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Together, for a balanced and comprehensive assessment of departmental performance, combining these metrics can provide efficiency insights and absolute value creation that align operational performance with strategic financial objectives. This holistic approach supports smarter and more strategic business decisions.</w:t>
          </w:r>
        </w:p>
        <w:p>
          <w:pPr>
            <w:pStyle w:val="4"/>
            <w:pageBreakBefore w:val="0"/>
            <w:widowControl/>
            <w:kinsoku/>
            <w:wordWrap/>
            <w:overflowPunct/>
            <w:topLinePunct w:val="0"/>
            <w:autoSpaceDE/>
            <w:autoSpaceDN/>
            <w:bidi w:val="0"/>
            <w:adjustRightInd/>
            <w:snapToGrid/>
            <w:spacing w:before="0" w:beforeLines="0" w:after="0" w:afterLines="0" w:line="480" w:lineRule="auto"/>
            <w:textAlignment w:val="auto"/>
            <w:rPr>
              <w:rFonts w:hint="default"/>
              <w:b/>
              <w:bCs w:val="0"/>
              <w:color w:val="000000" w:themeColor="text1"/>
              <w:sz w:val="24"/>
              <w:szCs w:val="24"/>
              <w:lang w:val="en-US"/>
              <w14:textFill>
                <w14:solidFill>
                  <w14:schemeClr w14:val="tx1"/>
                </w14:solidFill>
              </w14:textFill>
            </w:rPr>
          </w:pPr>
          <w:bookmarkStart w:id="5" w:name="_Toc1856760598"/>
          <w:r>
            <w:rPr>
              <w:rFonts w:hint="default"/>
              <w:b/>
              <w:bCs w:val="0"/>
              <w:color w:val="000000" w:themeColor="text1"/>
              <w:sz w:val="24"/>
              <w:szCs w:val="24"/>
              <w:lang w:val="en-US"/>
              <w14:textFill>
                <w14:solidFill>
                  <w14:schemeClr w14:val="tx1"/>
                </w14:solidFill>
              </w14:textFill>
            </w:rPr>
            <w:t>2.1.2 Transfer pricing system</w:t>
          </w:r>
          <w:bookmarkEnd w:id="5"/>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b/>
              <w:bCs/>
              <w:lang w:val="en-US"/>
            </w:rPr>
          </w:pPr>
          <w:r>
            <w:rPr>
              <w:rFonts w:hint="default"/>
              <w:b/>
              <w:bCs/>
              <w:lang w:val="en-US"/>
            </w:rPr>
            <w:t>(1) Outline the criteria for designing a transfer pricing system</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b/>
              <w:bCs/>
              <w:lang w:val="en-US"/>
            </w:rPr>
            <w:t>1) Equitability.</w:t>
          </w:r>
          <w:r>
            <w:rPr>
              <w:rFonts w:hint="default"/>
              <w:lang w:val="en-US"/>
            </w:rPr>
            <w:t xml:space="preserve"> It is crucial for divisions to view the transfer price as equitable since it influences their profitability and, consequently, how their performance is assessed (Gravens, 1997) [10].</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eastAsia="宋体"/>
              <w:b/>
              <w:bCs/>
              <w:lang w:val="en-US" w:eastAsia="zh-CN"/>
            </w:rPr>
            <w:t xml:space="preserve">2) </w:t>
          </w:r>
          <w:r>
            <w:rPr>
              <w:rFonts w:hint="default"/>
              <w:b/>
              <w:bCs/>
              <w:lang w:val="en-US"/>
            </w:rPr>
            <w:t xml:space="preserve">Alignment with Corporate Goals. </w:t>
          </w:r>
          <w:r>
            <w:rPr>
              <w:rFonts w:hint="default"/>
              <w:lang w:val="en-US"/>
            </w:rPr>
            <w:t>The transfer price established through negotiations between divisions should align with the overarching objectives of the corporation, fostering strategies that enhance cost-effectiveness, market expansion, or innovation (Edlin and Reichelstein, 2024) [11].</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b/>
              <w:bCs/>
              <w:lang w:val="en-US"/>
            </w:rPr>
            <w:t xml:space="preserve">3) Managerial Independence. </w:t>
          </w:r>
          <w:r>
            <w:rPr>
              <w:rFonts w:hint="default"/>
              <w:lang w:val="en-US"/>
            </w:rPr>
            <w:t>The method for determining the transfer price should preserve the managerial independence of the division leaders, which in turn boosts their motivation (Gravens, 1997) [10].</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b/>
              <w:bCs/>
              <w:lang w:val="en-US"/>
            </w:rPr>
            <w:t xml:space="preserve">4) Simplicity in Accounting. </w:t>
          </w:r>
          <w:r>
            <w:rPr>
              <w:rFonts w:hint="default"/>
              <w:lang w:val="en-US"/>
            </w:rPr>
            <w:t>The transfer pricing method selected should simplify the process of documenting the exchanges of goods or services across divisions (Gravens, 1997) [10].</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b/>
              <w:bCs/>
              <w:lang w:val="en-US"/>
            </w:rPr>
            <w:t xml:space="preserve">5) Optimization of Tax Liabilities. </w:t>
          </w:r>
          <w:r>
            <w:rPr>
              <w:rFonts w:hint="default"/>
              <w:lang w:val="en-US"/>
            </w:rPr>
            <w:t>By strategically setting transfer prices, multinational corporations can shift profits internationally to reduce their overall tax burden (Klassen et al., 2016) [12].</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b/>
              <w:bCs/>
              <w:lang w:val="en-US"/>
            </w:rPr>
          </w:pPr>
          <w:r>
            <w:rPr>
              <w:rFonts w:hint="default"/>
              <w:b/>
              <w:bCs/>
              <w:lang w:val="en-US"/>
            </w:rPr>
            <w:t>(2) Calculating the transfer price between the service and M/S divisions</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b/>
              <w:bCs/>
              <w:lang w:val="en-US"/>
            </w:rPr>
          </w:pPr>
          <w:r>
            <w:rPr>
              <w:rFonts w:hint="default"/>
              <w:b/>
              <w:bCs/>
              <w:lang w:val="en-US"/>
            </w:rPr>
            <w:t>1) Market-Based Pricing</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The market-based price method uses external market prices as the basis for transfer pricing. This approach is often used when identical or similar services are available in the market, providing a clear external benchmark that ensures compliance with the arm's length principle (Johnson et al., 2018) [13].</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Given that a local engineering firm quoted £1,800 per warranty repair, this price could be used as a benchmark for internal transfers. This price would be charged by the M/S division to the service division for each warranty repair performed.</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eastAsia="宋体"/>
              <w:lang w:val="en-US" w:eastAsia="zh-CN"/>
            </w:rPr>
          </w:pPr>
          <w:r>
            <w:rPr>
              <w:rFonts w:hint="default"/>
              <w:lang w:val="en-US"/>
            </w:rPr>
            <w:t>C</w:t>
          </w:r>
          <w:r>
            <w:rPr>
              <w:rFonts w:hint="eastAsia" w:eastAsia="宋体"/>
              <w:lang w:val="en-US" w:eastAsia="zh-CN"/>
            </w:rPr>
            <w:t>al</w:t>
          </w:r>
          <w:r>
            <w:rPr>
              <w:rFonts w:hint="default" w:eastAsia="宋体"/>
              <w:lang w:val="en-US" w:eastAsia="zh-CN"/>
            </w:rPr>
            <w:t>culate:</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Total units sold annually = 580,000</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Percentage needing repair under warranty = 6%</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Total warranty repairs = 580,000 x 0.06 = 34,800 repairs</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Cost of outsourcing all warranty repairs = 34,800 repairs x £1,800/repair = £62.64 m</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Current internal recharge = £10 m</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Cost of outsourcing (potential market price) = £62.64 m</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This substantial difference indicates that the market price is significantly higher than the current internal transfer price, potentially reflecting either a high premium charged by the external provider or inefficiencies/low pricing in the internal transfers.</w:t>
          </w:r>
        </w:p>
        <w:p>
          <w:pPr>
            <w:keepNext w:val="0"/>
            <w:keepLines w:val="0"/>
            <w:pageBreakBefore w:val="0"/>
            <w:widowControl/>
            <w:numPr>
              <w:ilvl w:val="0"/>
              <w:numId w:val="6"/>
            </w:numPr>
            <w:kinsoku/>
            <w:wordWrap/>
            <w:overflowPunct/>
            <w:topLinePunct w:val="0"/>
            <w:autoSpaceDE/>
            <w:autoSpaceDN/>
            <w:bidi w:val="0"/>
            <w:adjustRightInd/>
            <w:snapToGrid/>
            <w:spacing w:after="0" w:line="480" w:lineRule="auto"/>
            <w:ind w:firstLine="440" w:firstLineChars="200"/>
            <w:textAlignment w:val="auto"/>
            <w:rPr>
              <w:rFonts w:hint="default"/>
              <w:b/>
              <w:bCs/>
              <w:lang w:val="en-US"/>
            </w:rPr>
          </w:pPr>
          <w:r>
            <w:rPr>
              <w:rFonts w:hint="default"/>
              <w:b/>
              <w:bCs/>
              <w:lang w:val="en-US"/>
            </w:rPr>
            <w:t>Cost-Plus Method</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The cost plus method involves adding a markup to the cost of providing a service. This approach ensures the division providing the service covers its costs and achieves a profit margin (Perčević and Hladika, 2017) [14].</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Calculations:</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Labour cost per hour = £18</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Variable overhead per hour = £11</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Fixed overhead per hour = £24</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Total cost per hour = £18 + £11 + £24 = £53</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Duration of repair = 4 hours</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Cost per repair = 4 hours x £53/hour = £212</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Parts cost per repair = £95</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Total direct cost per repair = £212 + £95 = £307</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Let's assume a reasonable markup for internal purposes, say 15%:</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Total cost plus markup per repair = £307 x 1.15 = £353.05</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Comparison to Current Model:</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Current internal recharge per repair (derived from total internal recharge divided by number of repairs) = £10 million / 34,800 = £287.36 per repair</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Cost plus price per repair = £353.05</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The cost plus method results in a higher internal transfer price than the current model but is still much lower than the market price offered by the external firm.</w:t>
          </w:r>
        </w:p>
        <w:p>
          <w:pPr>
            <w:keepNext w:val="0"/>
            <w:keepLines w:val="0"/>
            <w:pageBreakBefore w:val="0"/>
            <w:widowControl/>
            <w:numPr>
              <w:ilvl w:val="0"/>
              <w:numId w:val="6"/>
            </w:numPr>
            <w:kinsoku/>
            <w:wordWrap/>
            <w:overflowPunct/>
            <w:topLinePunct w:val="0"/>
            <w:autoSpaceDE/>
            <w:autoSpaceDN/>
            <w:bidi w:val="0"/>
            <w:adjustRightInd/>
            <w:snapToGrid/>
            <w:spacing w:after="0" w:line="480" w:lineRule="auto"/>
            <w:ind w:left="0" w:leftChars="0" w:firstLine="440" w:firstLineChars="200"/>
            <w:textAlignment w:val="auto"/>
            <w:rPr>
              <w:rFonts w:hint="default"/>
              <w:b/>
              <w:bCs/>
              <w:lang w:val="en-US"/>
            </w:rPr>
          </w:pPr>
          <w:r>
            <w:rPr>
              <w:rFonts w:hint="default"/>
              <w:b/>
              <w:bCs/>
              <w:lang w:val="en-US"/>
            </w:rPr>
            <w:t>The comparison of the two methods shows:</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Market-based pricing is an effective way to stay competitive, especially when the product is similar to the competition and the market is saturated, with low risk, as long as you have an accurate grasp of product quality, target customers and costs (Johnson et al., 2018) [13].</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However, the market price method might not be economically viable for internal transfers, as it far exceeds both the cost plus calculation and the current internal recharge rate.</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The cost plus method provides a reasonable approach that covers costs and includes a profit margin, potentially leading to a more balanced and economically justified internal transfer price (Perčević and Hladika, 2017) [14].</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Given these findings, Wirral Fabrication plc might consider revising the internal recharge rate towards the cost plus price, while ensuring it remains competitive and fair compared to external options. This adjustment would better reflect the true costs of warranty repairs, aligning internal pricing more closely with economic reality and potentially improving divisional performance assessment and satisfaction.</w:t>
          </w:r>
        </w:p>
        <w:p>
          <w:pPr>
            <w:pStyle w:val="4"/>
            <w:pageBreakBefore w:val="0"/>
            <w:widowControl/>
            <w:kinsoku/>
            <w:wordWrap/>
            <w:overflowPunct/>
            <w:topLinePunct w:val="0"/>
            <w:autoSpaceDE/>
            <w:autoSpaceDN/>
            <w:bidi w:val="0"/>
            <w:adjustRightInd/>
            <w:snapToGrid/>
            <w:spacing w:before="0" w:beforeLines="0" w:after="0" w:afterLines="0" w:line="480" w:lineRule="auto"/>
            <w:textAlignment w:val="auto"/>
            <w:rPr>
              <w:rFonts w:hint="default"/>
              <w:b/>
              <w:bCs w:val="0"/>
              <w:color w:val="000000" w:themeColor="text1"/>
              <w:sz w:val="24"/>
              <w:szCs w:val="24"/>
              <w:lang w:val="en-US"/>
              <w14:textFill>
                <w14:solidFill>
                  <w14:schemeClr w14:val="tx1"/>
                </w14:solidFill>
              </w14:textFill>
            </w:rPr>
          </w:pPr>
          <w:bookmarkStart w:id="6" w:name="_Toc1490496029"/>
          <w:r>
            <w:rPr>
              <w:rFonts w:hint="default"/>
              <w:b/>
              <w:bCs w:val="0"/>
              <w:color w:val="000000" w:themeColor="text1"/>
              <w:sz w:val="24"/>
              <w:szCs w:val="24"/>
              <w:lang w:val="en-US"/>
              <w14:textFill>
                <w14:solidFill>
                  <w14:schemeClr w14:val="tx1"/>
                </w14:solidFill>
              </w14:textFill>
            </w:rPr>
            <w:t>2.1.3 Evaluate the potential impact of the new executive information system</w:t>
          </w:r>
          <w:bookmarkEnd w:id="6"/>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By fully integrating data from various departments such as production, sales, service, finance and human resources into one accessible platform, it is proposed to launch a new Executive Information System</w:t>
          </w:r>
          <w:r>
            <w:rPr>
              <w:rFonts w:hint="eastAsia"/>
              <w:lang w:val="en-US" w:eastAsia="zh-CN"/>
            </w:rPr>
            <w:t xml:space="preserve"> </w:t>
          </w:r>
          <w:r>
            <w:rPr>
              <w:rFonts w:hint="default"/>
              <w:lang w:val="en-US"/>
            </w:rPr>
            <w:t xml:space="preserve">on the Wirral Fabrication plc, which can significantly improve performance management (Watson et al., 2024) [15]. Here's a breakdown of the potential impact: </w:t>
          </w:r>
        </w:p>
        <w:p>
          <w:pPr>
            <w:keepNext w:val="0"/>
            <w:keepLines w:val="0"/>
            <w:pageBreakBefore w:val="0"/>
            <w:widowControl/>
            <w:numPr>
              <w:ilvl w:val="0"/>
              <w:numId w:val="7"/>
            </w:numPr>
            <w:kinsoku/>
            <w:wordWrap/>
            <w:overflowPunct/>
            <w:topLinePunct w:val="0"/>
            <w:autoSpaceDE/>
            <w:autoSpaceDN/>
            <w:bidi w:val="0"/>
            <w:adjustRightInd/>
            <w:snapToGrid/>
            <w:spacing w:after="0" w:line="480" w:lineRule="auto"/>
            <w:ind w:firstLine="440" w:firstLineChars="200"/>
            <w:textAlignment w:val="auto"/>
            <w:rPr>
              <w:rFonts w:hint="default"/>
              <w:b/>
              <w:bCs/>
              <w:lang w:val="en-US"/>
            </w:rPr>
          </w:pPr>
          <w:r>
            <w:rPr>
              <w:rFonts w:hint="default"/>
              <w:b/>
              <w:bCs/>
              <w:lang w:val="en-US"/>
            </w:rPr>
            <w:t xml:space="preserve">Improve decision-making efficiency </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 xml:space="preserve">Environmental impact statements provide senior management with streamlined and up-to-date information essential for strategic decisions. Decision makers have immediate access to data across all sectors, allowing them to respond quickly and effectively to market fluctuations and internal performance indicators. </w:t>
          </w:r>
        </w:p>
        <w:p>
          <w:pPr>
            <w:keepNext w:val="0"/>
            <w:keepLines w:val="0"/>
            <w:pageBreakBefore w:val="0"/>
            <w:widowControl/>
            <w:numPr>
              <w:ilvl w:val="0"/>
              <w:numId w:val="7"/>
            </w:numPr>
            <w:kinsoku/>
            <w:wordWrap/>
            <w:overflowPunct/>
            <w:topLinePunct w:val="0"/>
            <w:autoSpaceDE/>
            <w:autoSpaceDN/>
            <w:bidi w:val="0"/>
            <w:adjustRightInd/>
            <w:snapToGrid/>
            <w:spacing w:after="0" w:line="480" w:lineRule="auto"/>
            <w:ind w:left="0" w:leftChars="0" w:firstLine="440" w:firstLineChars="200"/>
            <w:textAlignment w:val="auto"/>
            <w:rPr>
              <w:rFonts w:hint="default"/>
              <w:b/>
              <w:bCs/>
              <w:lang w:val="en-US"/>
            </w:rPr>
          </w:pPr>
          <w:r>
            <w:rPr>
              <w:rFonts w:hint="default"/>
              <w:b/>
              <w:bCs/>
              <w:lang w:val="en-US"/>
            </w:rPr>
            <w:t xml:space="preserve">Data integrity and consistency </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 xml:space="preserve">The centralization of data storage eliminates the differences caused by multiple independent systems. A unified database ensures that all users have access to consistent data, improving the trust and consistency of the data used in evaluating performance and making decisions. </w:t>
          </w:r>
        </w:p>
        <w:p>
          <w:pPr>
            <w:keepNext w:val="0"/>
            <w:keepLines w:val="0"/>
            <w:pageBreakBefore w:val="0"/>
            <w:widowControl/>
            <w:numPr>
              <w:ilvl w:val="0"/>
              <w:numId w:val="7"/>
            </w:numPr>
            <w:kinsoku/>
            <w:wordWrap/>
            <w:overflowPunct/>
            <w:topLinePunct w:val="0"/>
            <w:autoSpaceDE/>
            <w:autoSpaceDN/>
            <w:bidi w:val="0"/>
            <w:adjustRightInd/>
            <w:snapToGrid/>
            <w:spacing w:after="0" w:line="480" w:lineRule="auto"/>
            <w:ind w:left="0" w:leftChars="0" w:firstLine="440" w:firstLineChars="200"/>
            <w:textAlignment w:val="auto"/>
            <w:rPr>
              <w:rFonts w:hint="default"/>
              <w:b/>
              <w:bCs/>
              <w:lang w:val="en-US"/>
            </w:rPr>
          </w:pPr>
          <w:r>
            <w:rPr>
              <w:rFonts w:hint="default"/>
              <w:b/>
              <w:bCs/>
              <w:lang w:val="en-US"/>
            </w:rPr>
            <w:t xml:space="preserve">Real-time performance tracking </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 xml:space="preserve">Management can use real-time data to continuously monitor organizational and departmental performance and take immediate corrective action if performance deviates from set goals. This just-in-time approach helps manage problems such as reduced efficiency or increased costs before they worsen. </w:t>
          </w:r>
        </w:p>
        <w:p>
          <w:pPr>
            <w:keepNext w:val="0"/>
            <w:keepLines w:val="0"/>
            <w:pageBreakBefore w:val="0"/>
            <w:widowControl/>
            <w:numPr>
              <w:ilvl w:val="0"/>
              <w:numId w:val="7"/>
            </w:numPr>
            <w:kinsoku/>
            <w:wordWrap/>
            <w:overflowPunct/>
            <w:topLinePunct w:val="0"/>
            <w:autoSpaceDE/>
            <w:autoSpaceDN/>
            <w:bidi w:val="0"/>
            <w:adjustRightInd/>
            <w:snapToGrid/>
            <w:spacing w:after="0" w:line="480" w:lineRule="auto"/>
            <w:ind w:left="0" w:leftChars="0" w:firstLine="440" w:firstLineChars="200"/>
            <w:textAlignment w:val="auto"/>
            <w:rPr>
              <w:rFonts w:hint="default"/>
              <w:b/>
              <w:bCs/>
              <w:lang w:val="en-US"/>
            </w:rPr>
          </w:pPr>
          <w:r>
            <w:rPr>
              <w:rFonts w:hint="default"/>
              <w:b/>
              <w:bCs/>
              <w:lang w:val="en-US"/>
            </w:rPr>
            <w:t xml:space="preserve">Optimal allocation of resources </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 xml:space="preserve">The integrated data approach provides a complete overview of resource utilization across the company, contributing to smarter and strategic resource allocation. This ensures optimal use of assets, enhancing overall investment returns and shareholder value. </w:t>
          </w:r>
        </w:p>
        <w:p>
          <w:pPr>
            <w:keepNext w:val="0"/>
            <w:keepLines w:val="0"/>
            <w:pageBreakBefore w:val="0"/>
            <w:widowControl/>
            <w:numPr>
              <w:ilvl w:val="0"/>
              <w:numId w:val="7"/>
            </w:numPr>
            <w:kinsoku/>
            <w:wordWrap/>
            <w:overflowPunct/>
            <w:topLinePunct w:val="0"/>
            <w:autoSpaceDE/>
            <w:autoSpaceDN/>
            <w:bidi w:val="0"/>
            <w:adjustRightInd/>
            <w:snapToGrid/>
            <w:spacing w:after="0" w:line="480" w:lineRule="auto"/>
            <w:ind w:left="0" w:leftChars="0" w:firstLine="440" w:firstLineChars="200"/>
            <w:textAlignment w:val="auto"/>
            <w:rPr>
              <w:rFonts w:hint="default"/>
              <w:b/>
              <w:bCs/>
              <w:lang w:val="en-US"/>
            </w:rPr>
          </w:pPr>
          <w:r>
            <w:rPr>
              <w:rFonts w:hint="default"/>
              <w:b/>
              <w:bCs/>
              <w:lang w:val="en-US"/>
            </w:rPr>
            <w:t xml:space="preserve">Strengthen inter-departmental communication </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 xml:space="preserve">Collective databases facilitate better communication by acting as a central hub for information sharing. This helps to enhance collaboration on cross-departmental projects, simplify work and reduce redundancies and conflicts, such as logistics between service and manufacturing departments. </w:t>
          </w:r>
        </w:p>
        <w:p>
          <w:pPr>
            <w:keepNext w:val="0"/>
            <w:keepLines w:val="0"/>
            <w:pageBreakBefore w:val="0"/>
            <w:widowControl/>
            <w:numPr>
              <w:ilvl w:val="0"/>
              <w:numId w:val="7"/>
            </w:numPr>
            <w:kinsoku/>
            <w:wordWrap/>
            <w:overflowPunct/>
            <w:topLinePunct w:val="0"/>
            <w:autoSpaceDE/>
            <w:autoSpaceDN/>
            <w:bidi w:val="0"/>
            <w:adjustRightInd/>
            <w:snapToGrid/>
            <w:spacing w:after="0" w:line="480" w:lineRule="auto"/>
            <w:ind w:left="0" w:leftChars="0" w:firstLine="440" w:firstLineChars="200"/>
            <w:textAlignment w:val="auto"/>
            <w:rPr>
              <w:rFonts w:hint="default"/>
              <w:b/>
              <w:bCs/>
              <w:lang w:val="en-US"/>
            </w:rPr>
          </w:pPr>
          <w:r>
            <w:rPr>
              <w:rFonts w:hint="default"/>
              <w:b/>
              <w:bCs/>
              <w:lang w:val="en-US"/>
            </w:rPr>
            <w:t xml:space="preserve">Effective reporting and regulatory compliance </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 xml:space="preserve">Centralization of data collection and reporting through EIS streamlines compliance and internal reporting processes. Automation of these processes reduces human error and labor costs, ensuring more accurate and reliable reporting. </w:t>
          </w:r>
        </w:p>
        <w:p>
          <w:pPr>
            <w:keepNext w:val="0"/>
            <w:keepLines w:val="0"/>
            <w:pageBreakBefore w:val="0"/>
            <w:widowControl/>
            <w:numPr>
              <w:ilvl w:val="0"/>
              <w:numId w:val="7"/>
            </w:numPr>
            <w:kinsoku/>
            <w:wordWrap/>
            <w:overflowPunct/>
            <w:topLinePunct w:val="0"/>
            <w:autoSpaceDE/>
            <w:autoSpaceDN/>
            <w:bidi w:val="0"/>
            <w:adjustRightInd/>
            <w:snapToGrid/>
            <w:spacing w:after="0" w:line="480" w:lineRule="auto"/>
            <w:ind w:left="0" w:leftChars="0" w:firstLine="440" w:firstLineChars="200"/>
            <w:textAlignment w:val="auto"/>
            <w:rPr>
              <w:rFonts w:hint="default"/>
              <w:b/>
              <w:bCs/>
              <w:lang w:val="en-US"/>
            </w:rPr>
          </w:pPr>
          <w:r>
            <w:rPr>
              <w:rFonts w:hint="default"/>
              <w:b/>
              <w:bCs/>
              <w:lang w:val="en-US"/>
            </w:rPr>
            <w:t xml:space="preserve">Progress of strategic planning </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 xml:space="preserve">Access to detailed, accurate data facilitates superior strategic planning. Managers can assess trends, predict future conditions, and develop strategies more effectively, enabling proactive rather than reactive management that allows companies to take advantage of opportunities and reduce risks. </w:t>
          </w:r>
        </w:p>
        <w:p>
          <w:pPr>
            <w:keepNext w:val="0"/>
            <w:keepLines w:val="0"/>
            <w:pageBreakBefore w:val="0"/>
            <w:widowControl/>
            <w:numPr>
              <w:ilvl w:val="0"/>
              <w:numId w:val="7"/>
            </w:numPr>
            <w:kinsoku/>
            <w:wordWrap/>
            <w:overflowPunct/>
            <w:topLinePunct w:val="0"/>
            <w:autoSpaceDE/>
            <w:autoSpaceDN/>
            <w:bidi w:val="0"/>
            <w:adjustRightInd/>
            <w:snapToGrid/>
            <w:spacing w:after="0" w:line="480" w:lineRule="auto"/>
            <w:ind w:left="0" w:leftChars="0" w:firstLine="440" w:firstLineChars="200"/>
            <w:textAlignment w:val="auto"/>
            <w:rPr>
              <w:rFonts w:hint="default"/>
              <w:b/>
              <w:bCs/>
              <w:lang w:val="en-US"/>
            </w:rPr>
          </w:pPr>
          <w:r>
            <w:rPr>
              <w:rFonts w:hint="default"/>
              <w:b/>
              <w:bCs/>
              <w:lang w:val="en-US"/>
            </w:rPr>
            <w:t xml:space="preserve">The challenge of change management </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 xml:space="preserve">Despite the great advantages, implementing such a system involves significant change management challenges. It requires thorough training of staff and managing resistance to new technologies. Successful integration requires transparent communication of benefits, adequate training of users, and perhaps a phased rollout. </w:t>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sz w:val="24"/>
              <w:szCs w:val="24"/>
              <w:lang w:val="en-US"/>
            </w:rPr>
            <w:sectPr>
              <w:pgSz w:w="11906" w:h="16838"/>
              <w:pgMar w:top="1440" w:right="1800" w:bottom="1440" w:left="1800" w:header="851" w:footer="992" w:gutter="0"/>
              <w:pgNumType w:fmt="decimal"/>
              <w:cols w:space="425" w:num="1"/>
              <w:docGrid w:type="lines" w:linePitch="312" w:charSpace="0"/>
            </w:sectPr>
          </w:pPr>
          <w:r>
            <w:rPr>
              <w:rFonts w:hint="default"/>
              <w:lang w:val="en-US"/>
            </w:rPr>
            <w:t>The introduction of an executive information system in the Wirral Fabrication plc is expected to greatly enhance performance management by simplifying decision making, ensuring data accuracy, enabling real-time monitoring and improving communication. Nevertheless, the successful deployment of the system depends on careful planning and effective management of the conversion to minimize disruption and maximize the potential benefits of the system.</w:t>
          </w:r>
        </w:p>
        <w:p>
          <w:pPr>
            <w:pStyle w:val="3"/>
            <w:spacing w:line="480" w:lineRule="auto"/>
          </w:pPr>
          <w:bookmarkStart w:id="7" w:name="_Toc370017148"/>
          <w:r>
            <w:rPr>
              <w:rFonts w:hint="default"/>
              <w:lang w:val="en-US"/>
            </w:rPr>
            <w:t xml:space="preserve">2.2 </w:t>
          </w:r>
          <w:r>
            <w:t>Task 2 – Troy Brands</w:t>
          </w:r>
          <w:bookmarkEnd w:id="7"/>
        </w:p>
        <w:p>
          <w:pPr>
            <w:pStyle w:val="4"/>
            <w:pageBreakBefore w:val="0"/>
            <w:widowControl/>
            <w:kinsoku/>
            <w:wordWrap/>
            <w:overflowPunct/>
            <w:topLinePunct w:val="0"/>
            <w:autoSpaceDE/>
            <w:autoSpaceDN/>
            <w:bidi w:val="0"/>
            <w:adjustRightInd/>
            <w:snapToGrid/>
            <w:spacing w:before="0" w:beforeLines="0" w:after="0" w:afterLines="0" w:line="480" w:lineRule="auto"/>
            <w:textAlignment w:val="auto"/>
            <w:rPr>
              <w:rFonts w:hint="default"/>
              <w:b/>
              <w:bCs w:val="0"/>
              <w:color w:val="000000" w:themeColor="text1"/>
              <w:sz w:val="24"/>
              <w:szCs w:val="24"/>
              <w:lang w:val="en-US"/>
              <w14:textFill>
                <w14:solidFill>
                  <w14:schemeClr w14:val="tx1"/>
                </w14:solidFill>
              </w14:textFill>
            </w:rPr>
          </w:pPr>
          <w:bookmarkStart w:id="8" w:name="_Toc1913048371"/>
          <w:r>
            <w:rPr>
              <w:rFonts w:hint="default"/>
              <w:b/>
              <w:bCs w:val="0"/>
              <w:color w:val="000000" w:themeColor="text1"/>
              <w:sz w:val="24"/>
              <w:szCs w:val="24"/>
              <w:lang w:val="en-US"/>
              <w14:textFill>
                <w14:solidFill>
                  <w14:schemeClr w14:val="tx1"/>
                </w14:solidFill>
              </w14:textFill>
            </w:rPr>
            <w:t>2.2.1 The growth crisis</w:t>
          </w:r>
          <w:bookmarkEnd w:id="8"/>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auto"/>
            <w:ind w:firstLine="440" w:firstLineChars="200"/>
            <w:textAlignment w:val="auto"/>
            <w:rPr>
              <w:rFonts w:hint="default"/>
              <w:b/>
              <w:bCs/>
              <w:sz w:val="22"/>
              <w:szCs w:val="22"/>
              <w:lang w:val="en-US"/>
            </w:rPr>
          </w:pPr>
          <w:r>
            <w:rPr>
              <w:rFonts w:hint="default"/>
              <w:b/>
              <w:bCs/>
              <w:sz w:val="22"/>
              <w:szCs w:val="22"/>
              <w:lang w:val="en-US"/>
            </w:rPr>
            <w:t>(1) The organization structure has low normalization</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auto"/>
            <w:ind w:firstLine="440" w:firstLineChars="200"/>
            <w:textAlignment w:val="auto"/>
            <w:rPr>
              <w:rFonts w:hint="default"/>
              <w:b w:val="0"/>
              <w:bCs w:val="0"/>
              <w:sz w:val="22"/>
              <w:szCs w:val="22"/>
              <w:lang w:val="en-US"/>
            </w:rPr>
          </w:pPr>
          <w:r>
            <w:rPr>
              <w:rFonts w:hint="default"/>
              <w:b w:val="0"/>
              <w:bCs w:val="0"/>
              <w:sz w:val="22"/>
              <w:szCs w:val="22"/>
              <w:lang w:val="en-US"/>
            </w:rPr>
            <w:t>The organizational structure of a company is the structured arrangement that arises from the distribution of tasks and collaboration among employees concerning their job roles, duties, and authority, all aimed at fulfilling the company's goals. In crafting the organizational structure, managers need to evaluate six crucial elements: role specialization, division into departments, hierarchy of authority, scope of supervision, centralization versus decentralization, and standardization</w:t>
          </w:r>
          <w:r>
            <w:rPr>
              <w:rFonts w:hint="eastAsia" w:eastAsia="宋体"/>
              <w:b w:val="0"/>
              <w:bCs w:val="0"/>
              <w:sz w:val="22"/>
              <w:szCs w:val="22"/>
              <w:lang w:val="en-US" w:eastAsia="zh-CN"/>
            </w:rPr>
            <w:t xml:space="preserve"> </w:t>
          </w:r>
          <w:r>
            <w:rPr>
              <w:rFonts w:hint="default"/>
              <w:b w:val="0"/>
              <w:bCs w:val="0"/>
              <w:sz w:val="22"/>
              <w:szCs w:val="22"/>
              <w:lang w:val="en-US"/>
            </w:rPr>
            <w:t>(Tamhir, 2018) [16]. However, the organization is too simple, only the production and storage department, production design department, sales department and administration department are set up, the normalization intensity is low, and the unequal distribution of power will affect the performance of enterprises.</w:t>
          </w:r>
        </w:p>
        <w:p>
          <w:pPr>
            <w:keepNext w:val="0"/>
            <w:keepLines w:val="0"/>
            <w:pageBreakBefore w:val="0"/>
            <w:widowControl w:val="0"/>
            <w:numPr>
              <w:ilvl w:val="0"/>
              <w:numId w:val="8"/>
            </w:numPr>
            <w:kinsoku/>
            <w:wordWrap/>
            <w:overflowPunct/>
            <w:topLinePunct w:val="0"/>
            <w:autoSpaceDE/>
            <w:autoSpaceDN/>
            <w:bidi w:val="0"/>
            <w:adjustRightInd/>
            <w:snapToGrid/>
            <w:spacing w:after="0" w:line="480" w:lineRule="auto"/>
            <w:ind w:firstLine="440" w:firstLineChars="200"/>
            <w:textAlignment w:val="auto"/>
            <w:rPr>
              <w:rFonts w:hint="default"/>
              <w:b/>
              <w:bCs/>
              <w:sz w:val="22"/>
              <w:szCs w:val="22"/>
              <w:lang w:val="en-US"/>
            </w:rPr>
          </w:pPr>
          <w:r>
            <w:rPr>
              <w:rFonts w:hint="default"/>
              <w:b/>
              <w:bCs/>
              <w:sz w:val="22"/>
              <w:szCs w:val="22"/>
              <w:lang w:val="en-US"/>
            </w:rPr>
            <w:t>Raw materials’ cost increases, gross profit decreases</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auto"/>
            <w:ind w:firstLine="440" w:firstLineChars="200"/>
            <w:textAlignment w:val="auto"/>
            <w:rPr>
              <w:rFonts w:hint="eastAsia" w:eastAsiaTheme="minorEastAsia"/>
              <w:b w:val="0"/>
              <w:bCs w:val="0"/>
              <w:sz w:val="22"/>
              <w:szCs w:val="22"/>
              <w:lang w:val="en-US" w:eastAsia="zh-CN"/>
            </w:rPr>
          </w:pPr>
          <w:r>
            <w:rPr>
              <w:rFonts w:hint="default"/>
              <w:b w:val="0"/>
              <w:bCs w:val="0"/>
              <w:sz w:val="22"/>
              <w:szCs w:val="22"/>
              <w:lang w:val="en-US"/>
            </w:rPr>
            <w:t>Between 2010 and 2015, a period of relatively low raw material and labor costs, Defoe's average gross margin reached 80%. However, since 2015, due to the ban on sourcing raw materials from Uzbekistan, the company has had to source raw materials elsewhere. The impact of this decision increased costs and significantly reduced gross profit.</w:t>
          </w:r>
          <w:r>
            <w:rPr>
              <w:rFonts w:hint="eastAsia"/>
              <w:b w:val="0"/>
              <w:bCs w:val="0"/>
              <w:sz w:val="22"/>
              <w:szCs w:val="22"/>
              <w:lang w:val="en-US" w:eastAsia="zh-CN"/>
            </w:rPr>
            <w:t xml:space="preserve"> Jocelyn Jones found that the price of major raw materials such as leather and wool purchased from Japan is double that of countries such as Brazil, Thailand and Vietnam, and this price difference has greatly increased operating costs.</w:t>
          </w:r>
        </w:p>
        <w:p>
          <w:pPr>
            <w:keepNext w:val="0"/>
            <w:keepLines w:val="0"/>
            <w:pageBreakBefore w:val="0"/>
            <w:widowControl w:val="0"/>
            <w:numPr>
              <w:ilvl w:val="0"/>
              <w:numId w:val="8"/>
            </w:numPr>
            <w:kinsoku/>
            <w:wordWrap/>
            <w:overflowPunct/>
            <w:topLinePunct w:val="0"/>
            <w:autoSpaceDE/>
            <w:autoSpaceDN/>
            <w:bidi w:val="0"/>
            <w:adjustRightInd/>
            <w:snapToGrid/>
            <w:spacing w:after="0" w:line="480" w:lineRule="auto"/>
            <w:ind w:left="0" w:leftChars="0" w:firstLine="440" w:firstLineChars="200"/>
            <w:textAlignment w:val="auto"/>
            <w:rPr>
              <w:rFonts w:hint="default"/>
              <w:b/>
              <w:bCs/>
              <w:sz w:val="22"/>
              <w:szCs w:val="22"/>
              <w:lang w:val="en-US"/>
            </w:rPr>
          </w:pPr>
          <w:r>
            <w:rPr>
              <w:rFonts w:hint="default"/>
              <w:b/>
              <w:bCs/>
              <w:sz w:val="22"/>
              <w:szCs w:val="22"/>
              <w:lang w:val="en-US"/>
            </w:rPr>
            <w:t>Sales are down</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auto"/>
            <w:ind w:firstLine="440" w:firstLineChars="200"/>
            <w:textAlignment w:val="auto"/>
            <w:rPr>
              <w:rFonts w:hint="default" w:eastAsiaTheme="minorEastAsia"/>
              <w:b w:val="0"/>
              <w:bCs w:val="0"/>
              <w:sz w:val="22"/>
              <w:szCs w:val="22"/>
              <w:lang w:val="en-US" w:eastAsia="zh-CN"/>
            </w:rPr>
          </w:pPr>
          <w:r>
            <w:rPr>
              <w:rFonts w:hint="default"/>
              <w:b w:val="0"/>
              <w:bCs w:val="0"/>
              <w:sz w:val="22"/>
              <w:szCs w:val="22"/>
              <w:lang w:val="en-US"/>
            </w:rPr>
            <w:t xml:space="preserve">Most of the company's orders are placed through the company's website, and delivery is completed within the agreed days, and the goods are shipped to the customer. However, due to the impact of Brexit and the COVID-19 pandemic, the number of orders has dropped significantly. In addition, the British pound depreciated against the euro and therefore had a negative impact on reported annual sales. The turnover had decreases to </w:t>
          </w:r>
          <w:r>
            <w:rPr>
              <w:sz w:val="22"/>
              <w:szCs w:val="22"/>
            </w:rPr>
            <w:t>£</w:t>
          </w:r>
          <w:r>
            <w:rPr>
              <w:rFonts w:hint="default"/>
              <w:b w:val="0"/>
              <w:bCs w:val="0"/>
              <w:sz w:val="22"/>
              <w:szCs w:val="22"/>
              <w:lang w:val="en-US"/>
            </w:rPr>
            <w:t xml:space="preserve">600,000 in 2022 from </w:t>
          </w:r>
          <w:r>
            <w:rPr>
              <w:sz w:val="22"/>
              <w:szCs w:val="22"/>
            </w:rPr>
            <w:t>£</w:t>
          </w:r>
          <w:r>
            <w:rPr>
              <w:rFonts w:hint="default"/>
              <w:b w:val="0"/>
              <w:bCs w:val="0"/>
              <w:sz w:val="22"/>
              <w:szCs w:val="22"/>
              <w:lang w:val="en-US"/>
            </w:rPr>
            <w:t>1,400,000 in 2019.</w:t>
          </w:r>
        </w:p>
        <w:p>
          <w:pPr>
            <w:keepNext w:val="0"/>
            <w:keepLines w:val="0"/>
            <w:pageBreakBefore w:val="0"/>
            <w:widowControl w:val="0"/>
            <w:numPr>
              <w:ilvl w:val="0"/>
              <w:numId w:val="8"/>
            </w:numPr>
            <w:kinsoku/>
            <w:wordWrap/>
            <w:overflowPunct/>
            <w:topLinePunct w:val="0"/>
            <w:autoSpaceDE/>
            <w:autoSpaceDN/>
            <w:bidi w:val="0"/>
            <w:adjustRightInd/>
            <w:snapToGrid/>
            <w:spacing w:after="0" w:line="480" w:lineRule="auto"/>
            <w:ind w:left="0" w:leftChars="0" w:firstLine="440" w:firstLineChars="200"/>
            <w:textAlignment w:val="auto"/>
            <w:rPr>
              <w:rFonts w:hint="default"/>
              <w:b/>
              <w:bCs/>
              <w:sz w:val="22"/>
              <w:szCs w:val="22"/>
              <w:lang w:val="en-US" w:eastAsia="zh-CN"/>
            </w:rPr>
          </w:pPr>
          <w:r>
            <w:rPr>
              <w:rFonts w:hint="default"/>
              <w:b/>
              <w:bCs/>
              <w:sz w:val="22"/>
              <w:szCs w:val="22"/>
              <w:lang w:val="en-US" w:eastAsia="zh-CN"/>
            </w:rPr>
            <w:t>Lack of product diversification</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auto"/>
            <w:ind w:firstLine="440" w:firstLineChars="200"/>
            <w:textAlignment w:val="auto"/>
            <w:rPr>
              <w:rFonts w:hint="default"/>
              <w:b w:val="0"/>
              <w:bCs w:val="0"/>
              <w:sz w:val="22"/>
              <w:szCs w:val="22"/>
              <w:lang w:val="en-US"/>
            </w:rPr>
          </w:pPr>
          <w:r>
            <w:rPr>
              <w:rFonts w:hint="default"/>
              <w:b w:val="0"/>
              <w:bCs w:val="0"/>
              <w:sz w:val="22"/>
              <w:szCs w:val="22"/>
              <w:lang w:val="en-US"/>
            </w:rPr>
            <w:t>Defoe focuses on footwear, while its peer corporate operator has expanded into fashion, perfume and cosmetics lines. Not conducive to its expansion of business, promote sales. We can see that its shoe sales of London market share was only 0.25% in 2022.</w:t>
          </w:r>
        </w:p>
        <w:p>
          <w:pPr>
            <w:keepNext w:val="0"/>
            <w:keepLines w:val="0"/>
            <w:pageBreakBefore w:val="0"/>
            <w:widowControl w:val="0"/>
            <w:numPr>
              <w:ilvl w:val="0"/>
              <w:numId w:val="8"/>
            </w:numPr>
            <w:kinsoku/>
            <w:wordWrap/>
            <w:overflowPunct/>
            <w:topLinePunct w:val="0"/>
            <w:autoSpaceDE/>
            <w:autoSpaceDN/>
            <w:bidi w:val="0"/>
            <w:adjustRightInd/>
            <w:snapToGrid/>
            <w:spacing w:after="0" w:line="480" w:lineRule="auto"/>
            <w:ind w:left="0" w:leftChars="0" w:firstLine="440" w:firstLineChars="200"/>
            <w:textAlignment w:val="auto"/>
            <w:rPr>
              <w:rFonts w:hint="default"/>
              <w:b/>
              <w:bCs/>
              <w:sz w:val="22"/>
              <w:szCs w:val="22"/>
              <w:lang w:val="en-US" w:eastAsia="zh-CN"/>
            </w:rPr>
          </w:pPr>
          <w:r>
            <w:rPr>
              <w:rFonts w:hint="default"/>
              <w:b/>
              <w:bCs/>
              <w:sz w:val="22"/>
              <w:szCs w:val="22"/>
              <w:lang w:val="en-US" w:eastAsia="zh-CN"/>
            </w:rPr>
            <w:t>L</w:t>
          </w:r>
          <w:r>
            <w:rPr>
              <w:rFonts w:hint="eastAsia"/>
              <w:b/>
              <w:bCs/>
              <w:sz w:val="22"/>
              <w:szCs w:val="22"/>
              <w:lang w:val="en-US" w:eastAsia="zh-CN"/>
            </w:rPr>
            <w:t>imited</w:t>
          </w:r>
          <w:r>
            <w:rPr>
              <w:rFonts w:hint="default"/>
              <w:b/>
              <w:bCs/>
              <w:sz w:val="22"/>
              <w:szCs w:val="22"/>
              <w:lang w:val="en-US" w:eastAsia="zh-CN"/>
            </w:rPr>
            <w:t xml:space="preserve"> payment method</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auto"/>
            <w:ind w:firstLine="440" w:firstLineChars="200"/>
            <w:textAlignment w:val="auto"/>
            <w:rPr>
              <w:rFonts w:hint="default"/>
              <w:b w:val="0"/>
              <w:bCs w:val="0"/>
              <w:sz w:val="22"/>
              <w:szCs w:val="22"/>
              <w:lang w:val="en-US" w:eastAsia="zh-CN"/>
            </w:rPr>
          </w:pPr>
          <w:r>
            <w:rPr>
              <w:rFonts w:hint="default"/>
              <w:b w:val="0"/>
              <w:bCs w:val="0"/>
              <w:sz w:val="22"/>
              <w:szCs w:val="22"/>
              <w:lang w:val="en-US" w:eastAsia="zh-CN"/>
            </w:rPr>
            <w:t>All sales of Defoe Limited are conducted on an entirely cash basis. Some customers prefer to use credit or debit cards, and the company's approach can lead to potential customer losses, especially in e-commerce and fast-moving consumer goods.</w:t>
          </w:r>
        </w:p>
        <w:p>
          <w:pPr>
            <w:keepNext w:val="0"/>
            <w:keepLines w:val="0"/>
            <w:pageBreakBefore w:val="0"/>
            <w:widowControl w:val="0"/>
            <w:numPr>
              <w:ilvl w:val="0"/>
              <w:numId w:val="8"/>
            </w:numPr>
            <w:kinsoku/>
            <w:wordWrap/>
            <w:overflowPunct/>
            <w:topLinePunct w:val="0"/>
            <w:autoSpaceDE/>
            <w:autoSpaceDN/>
            <w:bidi w:val="0"/>
            <w:adjustRightInd/>
            <w:snapToGrid/>
            <w:spacing w:after="0" w:line="480" w:lineRule="auto"/>
            <w:ind w:left="0" w:leftChars="0" w:firstLine="440" w:firstLineChars="200"/>
            <w:textAlignment w:val="auto"/>
            <w:rPr>
              <w:rFonts w:hint="default"/>
              <w:b/>
              <w:bCs/>
              <w:sz w:val="22"/>
              <w:szCs w:val="22"/>
              <w:lang w:val="en-US" w:eastAsia="zh-CN"/>
            </w:rPr>
          </w:pPr>
          <w:r>
            <w:rPr>
              <w:rFonts w:hint="default"/>
              <w:b/>
              <w:bCs/>
              <w:sz w:val="22"/>
              <w:szCs w:val="22"/>
              <w:lang w:val="en-US" w:eastAsia="zh-CN"/>
            </w:rPr>
            <w:t>Long lead times</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auto"/>
            <w:ind w:firstLine="440" w:firstLineChars="200"/>
            <w:textAlignment w:val="auto"/>
            <w:rPr>
              <w:rFonts w:hint="default"/>
              <w:b w:val="0"/>
              <w:bCs w:val="0"/>
              <w:sz w:val="22"/>
              <w:szCs w:val="22"/>
              <w:lang w:val="en-US" w:eastAsia="zh-CN"/>
            </w:rPr>
          </w:pPr>
          <w:r>
            <w:rPr>
              <w:rFonts w:hint="default"/>
              <w:b w:val="0"/>
              <w:bCs w:val="0"/>
              <w:sz w:val="22"/>
              <w:szCs w:val="22"/>
              <w:lang w:val="en-US" w:eastAsia="zh-CN"/>
            </w:rPr>
            <w:t xml:space="preserve">The current average lead time with Japanese suppliers is 60 days, which is long and can affect the company's ability to respond quickly to market demand or inventory shortages. By sourcing from other countries, lead times can be greatly reduced, thereby increasing the flexibility and efficiency of the supply chain (Das and Abdel-Malek, 2003) [17]. </w:t>
          </w:r>
        </w:p>
        <w:p>
          <w:pPr>
            <w:keepNext w:val="0"/>
            <w:keepLines w:val="0"/>
            <w:pageBreakBefore w:val="0"/>
            <w:widowControl w:val="0"/>
            <w:numPr>
              <w:ilvl w:val="0"/>
              <w:numId w:val="8"/>
            </w:numPr>
            <w:kinsoku/>
            <w:wordWrap/>
            <w:overflowPunct/>
            <w:topLinePunct w:val="0"/>
            <w:autoSpaceDE/>
            <w:autoSpaceDN/>
            <w:bidi w:val="0"/>
            <w:adjustRightInd/>
            <w:snapToGrid/>
            <w:spacing w:after="0" w:line="480" w:lineRule="auto"/>
            <w:ind w:left="0" w:leftChars="0" w:firstLine="440" w:firstLineChars="200"/>
            <w:textAlignment w:val="auto"/>
            <w:rPr>
              <w:rFonts w:hint="default"/>
              <w:b/>
              <w:bCs/>
              <w:sz w:val="22"/>
              <w:szCs w:val="22"/>
              <w:lang w:val="en-US" w:eastAsia="zh-CN"/>
            </w:rPr>
          </w:pPr>
          <w:r>
            <w:rPr>
              <w:rFonts w:hint="default"/>
              <w:b/>
              <w:bCs/>
              <w:sz w:val="22"/>
              <w:szCs w:val="22"/>
              <w:lang w:val="en-US" w:eastAsia="zh-CN"/>
            </w:rPr>
            <w:t>Increased opportunity cost</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auto"/>
            <w:ind w:firstLine="440" w:firstLineChars="200"/>
            <w:textAlignment w:val="auto"/>
            <w:rPr>
              <w:rFonts w:hint="default"/>
              <w:b w:val="0"/>
              <w:bCs w:val="0"/>
              <w:sz w:val="22"/>
              <w:szCs w:val="22"/>
              <w:lang w:val="en-US" w:eastAsia="zh-CN"/>
            </w:rPr>
          </w:pPr>
          <w:r>
            <w:rPr>
              <w:rFonts w:hint="default"/>
              <w:b w:val="0"/>
              <w:bCs w:val="0"/>
              <w:sz w:val="22"/>
              <w:szCs w:val="22"/>
              <w:lang w:val="en-US" w:eastAsia="zh-CN"/>
            </w:rPr>
            <w:t>While Japanese suppliers offer 30-day credit, which is good for cash flow management, this advantage may be offset by higher costs and longer lead times. The opportunity cost of taking advantage of credit terms needs to be weighed against possible cost savings from other suppliers and increased supply chain agility (Graham and Coyle, 2000) [18].</w:t>
          </w:r>
        </w:p>
        <w:p>
          <w:pPr>
            <w:pStyle w:val="4"/>
            <w:pageBreakBefore w:val="0"/>
            <w:widowControl/>
            <w:kinsoku/>
            <w:wordWrap/>
            <w:overflowPunct/>
            <w:topLinePunct w:val="0"/>
            <w:autoSpaceDE/>
            <w:autoSpaceDN/>
            <w:bidi w:val="0"/>
            <w:adjustRightInd/>
            <w:snapToGrid/>
            <w:spacing w:before="0" w:beforeLines="0" w:after="0" w:afterLines="0" w:line="480" w:lineRule="auto"/>
            <w:textAlignment w:val="auto"/>
            <w:rPr>
              <w:rFonts w:hint="default"/>
              <w:b w:val="0"/>
              <w:bCs w:val="0"/>
              <w:sz w:val="22"/>
              <w:szCs w:val="22"/>
              <w:lang w:val="en-US" w:eastAsia="zh-CN"/>
            </w:rPr>
          </w:pPr>
          <w:bookmarkStart w:id="9" w:name="_Toc478808513"/>
          <w:r>
            <w:rPr>
              <w:rFonts w:hint="default"/>
              <w:b/>
              <w:bCs w:val="0"/>
              <w:color w:val="000000" w:themeColor="text1"/>
              <w:sz w:val="24"/>
              <w:szCs w:val="24"/>
              <w:lang w:val="en-US" w:eastAsia="zh-CN"/>
              <w14:textFill>
                <w14:solidFill>
                  <w14:schemeClr w14:val="tx1"/>
                </w14:solidFill>
              </w14:textFill>
            </w:rPr>
            <w:t>2.2.2 Quantitative and qualitative performance</w:t>
          </w:r>
          <w:bookmarkEnd w:id="9"/>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auto"/>
            <w:ind w:firstLine="440" w:firstLineChars="200"/>
            <w:textAlignment w:val="auto"/>
            <w:rPr>
              <w:rFonts w:hint="default"/>
              <w:b w:val="0"/>
              <w:bCs w:val="0"/>
              <w:sz w:val="22"/>
              <w:szCs w:val="22"/>
              <w:lang w:val="en-US" w:eastAsia="zh-CN"/>
            </w:rPr>
          </w:pPr>
          <w:r>
            <w:rPr>
              <w:rFonts w:hint="default"/>
              <w:b w:val="0"/>
              <w:bCs w:val="0"/>
              <w:sz w:val="22"/>
              <w:szCs w:val="22"/>
              <w:lang w:val="en-US" w:eastAsia="zh-CN"/>
            </w:rPr>
            <w:t>The Balanced Scorecard (BSC) stands as a prevalent method for evaluating performance. This innovative management tool translates an organization’s strategic goals into quantifiable metrics and benchmarks, covering perspectives of finance, customers, internal operations, and learning and growth (Hasan, 2017) [19]. The Balanced Scorecard demonstrates equilibrium across various dimensions: it balances financial with non-financial metrics, long-term objectives with short-term imperatives, external benchmarks with internal standards, outcomes with processes, and managerial effectiveness with operational efficiency. Thus, it offers a holistic view of an organization’s operational health, fostering a more balanced and refined approach to performance assessment and supporting the organization's sustained growth</w:t>
          </w:r>
          <w:r>
            <w:rPr>
              <w:rFonts w:hint="eastAsia"/>
              <w:b w:val="0"/>
              <w:bCs w:val="0"/>
              <w:sz w:val="22"/>
              <w:szCs w:val="22"/>
              <w:lang w:val="en-US" w:eastAsia="zh-CN"/>
            </w:rPr>
            <w:t xml:space="preserve"> </w:t>
          </w:r>
          <w:r>
            <w:rPr>
              <w:rFonts w:hint="default"/>
              <w:b w:val="0"/>
              <w:bCs w:val="0"/>
              <w:sz w:val="22"/>
              <w:szCs w:val="22"/>
              <w:lang w:val="en-US" w:eastAsia="zh-CN"/>
            </w:rPr>
            <w:t>(Tuan, 2020) [20].</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auto"/>
            <w:ind w:firstLine="440" w:firstLineChars="200"/>
            <w:textAlignment w:val="auto"/>
            <w:rPr>
              <w:rFonts w:hint="default"/>
              <w:b w:val="0"/>
              <w:bCs w:val="0"/>
              <w:sz w:val="22"/>
              <w:szCs w:val="22"/>
              <w:lang w:val="en-US" w:eastAsia="zh-CN"/>
            </w:rPr>
          </w:pPr>
          <w:r>
            <w:rPr>
              <w:rFonts w:hint="default"/>
              <w:b w:val="0"/>
              <w:bCs w:val="0"/>
              <w:sz w:val="22"/>
              <w:szCs w:val="22"/>
              <w:lang w:val="en-US" w:eastAsia="zh-CN"/>
            </w:rPr>
            <w:t>This paper will use the Balanced Scorecard to analyze the qualitative and quantitative performance of Defoe, In order to have a more comprehensive understanding of the current performance management status of D</w:t>
          </w:r>
          <w:r>
            <w:rPr>
              <w:rFonts w:hint="eastAsia"/>
              <w:b w:val="0"/>
              <w:bCs w:val="0"/>
              <w:sz w:val="22"/>
              <w:szCs w:val="22"/>
              <w:lang w:val="en-US" w:eastAsia="zh-CN"/>
            </w:rPr>
            <w:t>efoe</w:t>
          </w:r>
          <w:r>
            <w:rPr>
              <w:rFonts w:hint="default"/>
              <w:b w:val="0"/>
              <w:bCs w:val="0"/>
              <w:sz w:val="22"/>
              <w:szCs w:val="22"/>
              <w:lang w:val="en-US" w:eastAsia="zh-CN"/>
            </w:rPr>
            <w:t>.</w:t>
          </w:r>
          <w:r>
            <w:rPr>
              <w:rFonts w:hint="default"/>
              <w:b w:val="0"/>
              <w:bCs w:val="0"/>
              <w:sz w:val="22"/>
              <w:szCs w:val="22"/>
              <w:lang w:val="en-US" w:eastAsia="zh-CN"/>
            </w:rPr>
            <w:tab/>
          </w:r>
        </w:p>
        <w:p>
          <w:pPr>
            <w:keepNext w:val="0"/>
            <w:keepLines w:val="0"/>
            <w:pageBreakBefore w:val="0"/>
            <w:widowControl w:val="0"/>
            <w:numPr>
              <w:ilvl w:val="0"/>
              <w:numId w:val="9"/>
            </w:numPr>
            <w:kinsoku/>
            <w:wordWrap/>
            <w:overflowPunct/>
            <w:topLinePunct w:val="0"/>
            <w:autoSpaceDE/>
            <w:autoSpaceDN/>
            <w:bidi w:val="0"/>
            <w:adjustRightInd/>
            <w:snapToGrid/>
            <w:spacing w:after="0" w:line="480" w:lineRule="auto"/>
            <w:ind w:firstLine="440" w:firstLineChars="200"/>
            <w:textAlignment w:val="auto"/>
            <w:rPr>
              <w:rFonts w:hint="default"/>
              <w:b/>
              <w:bCs/>
              <w:sz w:val="22"/>
              <w:szCs w:val="22"/>
              <w:lang w:val="en-US"/>
            </w:rPr>
          </w:pPr>
          <w:r>
            <w:rPr>
              <w:rFonts w:hint="default"/>
              <w:b/>
              <w:bCs/>
              <w:sz w:val="22"/>
              <w:szCs w:val="22"/>
              <w:lang w:val="en-US"/>
            </w:rPr>
            <w:t>Financial Perspective:</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auto"/>
            <w:ind w:firstLine="440" w:firstLineChars="200"/>
            <w:textAlignment w:val="auto"/>
            <w:rPr>
              <w:rFonts w:hint="default"/>
              <w:b w:val="0"/>
              <w:bCs w:val="0"/>
              <w:sz w:val="22"/>
              <w:szCs w:val="22"/>
              <w:lang w:val="en-US"/>
            </w:rPr>
          </w:pPr>
          <w:r>
            <w:rPr>
              <w:rFonts w:hint="default"/>
              <w:b w:val="0"/>
              <w:bCs w:val="0"/>
              <w:sz w:val="22"/>
              <w:szCs w:val="22"/>
              <w:lang w:val="en-US"/>
            </w:rPr>
            <w:t>Financial performance metrics reveal the extent to which a firm's strategy, along with its deployment and execution, enhance the firm's profitability. Financial objectives often correlate with profit measures such as operating income, return on capital, economic value added, and could also include targets like swift growth in sales or cash flow generation</w:t>
          </w:r>
          <w:r>
            <w:rPr>
              <w:rFonts w:hint="eastAsia" w:eastAsia="宋体"/>
              <w:b w:val="0"/>
              <w:bCs w:val="0"/>
              <w:sz w:val="22"/>
              <w:szCs w:val="22"/>
              <w:lang w:val="en-US" w:eastAsia="zh-CN"/>
            </w:rPr>
            <w:t xml:space="preserve"> </w:t>
          </w:r>
          <w:r>
            <w:rPr>
              <w:rFonts w:hint="default"/>
              <w:b w:val="0"/>
              <w:bCs w:val="0"/>
              <w:sz w:val="22"/>
              <w:szCs w:val="22"/>
              <w:lang w:val="en-US"/>
            </w:rPr>
            <w:t>(Bhagwat and Sharma, 2007) [21].</w:t>
          </w:r>
        </w:p>
        <w:p>
          <w:pPr>
            <w:keepNext w:val="0"/>
            <w:keepLines w:val="0"/>
            <w:pageBreakBefore w:val="0"/>
            <w:widowControl w:val="0"/>
            <w:numPr>
              <w:ilvl w:val="0"/>
              <w:numId w:val="10"/>
            </w:numPr>
            <w:kinsoku/>
            <w:wordWrap/>
            <w:overflowPunct/>
            <w:topLinePunct w:val="0"/>
            <w:autoSpaceDE/>
            <w:autoSpaceDN/>
            <w:bidi w:val="0"/>
            <w:adjustRightInd/>
            <w:snapToGrid/>
            <w:spacing w:after="0" w:line="480" w:lineRule="auto"/>
            <w:ind w:firstLine="440" w:firstLineChars="200"/>
            <w:textAlignment w:val="auto"/>
            <w:rPr>
              <w:rFonts w:hint="default"/>
              <w:b w:val="0"/>
              <w:bCs w:val="0"/>
              <w:sz w:val="22"/>
              <w:szCs w:val="22"/>
              <w:lang w:val="en-US"/>
            </w:rPr>
          </w:pPr>
          <w:r>
            <w:rPr>
              <w:rFonts w:hint="default"/>
              <w:b w:val="0"/>
              <w:bCs w:val="0"/>
              <w:sz w:val="22"/>
              <w:szCs w:val="22"/>
              <w:lang w:val="en-US"/>
            </w:rPr>
            <w:t>Revenue and Profit Decline: Turnover has decreased from £1,750,000 in 2020 to a projected £600,000 in 2022, with corresponding declines in profit after tax.</w:t>
          </w:r>
        </w:p>
        <w:p>
          <w:pPr>
            <w:keepNext w:val="0"/>
            <w:keepLines w:val="0"/>
            <w:pageBreakBefore w:val="0"/>
            <w:widowControl/>
            <w:numPr>
              <w:ilvl w:val="0"/>
              <w:numId w:val="10"/>
            </w:numPr>
            <w:kinsoku/>
            <w:wordWrap/>
            <w:overflowPunct/>
            <w:topLinePunct w:val="0"/>
            <w:autoSpaceDE/>
            <w:autoSpaceDN/>
            <w:bidi w:val="0"/>
            <w:adjustRightInd/>
            <w:snapToGrid/>
            <w:spacing w:after="0" w:line="480" w:lineRule="auto"/>
            <w:ind w:left="0" w:leftChars="0" w:firstLine="440" w:firstLineChars="200"/>
            <w:textAlignment w:val="auto"/>
            <w:rPr>
              <w:rFonts w:hint="default"/>
              <w:b w:val="0"/>
              <w:bCs w:val="0"/>
              <w:sz w:val="22"/>
              <w:szCs w:val="22"/>
              <w:lang w:val="en-US"/>
            </w:rPr>
          </w:pPr>
          <w:r>
            <w:rPr>
              <w:rFonts w:hint="default"/>
              <w:b w:val="0"/>
              <w:bCs w:val="0"/>
              <w:sz w:val="22"/>
              <w:szCs w:val="22"/>
              <w:lang w:val="en-US"/>
            </w:rPr>
            <w:t>liquidity Issues: Current Ratio</w:t>
          </w:r>
          <w:r>
            <w:rPr>
              <w:rFonts w:hint="eastAsia"/>
              <w:b w:val="0"/>
              <w:bCs w:val="0"/>
              <w:sz w:val="22"/>
              <w:szCs w:val="22"/>
              <w:lang w:val="en-US" w:eastAsia="zh-CN"/>
            </w:rPr>
            <w:t xml:space="preserve"> i</w:t>
          </w:r>
          <w:r>
            <w:rPr>
              <w:rFonts w:hint="default"/>
              <w:b w:val="0"/>
              <w:bCs w:val="0"/>
              <w:sz w:val="22"/>
              <w:szCs w:val="22"/>
              <w:lang w:val="en-US"/>
            </w:rPr>
            <w:t>s a common financial ratio used to assess the short-term solvency of enterprises (Wikipedia Contributors, 2019) [22]. Noticeable decrease in current ratio (Appendix</w:t>
          </w:r>
          <w:r>
            <w:rPr>
              <w:rFonts w:hint="eastAsia"/>
              <w:b w:val="0"/>
              <w:bCs w:val="0"/>
              <w:sz w:val="22"/>
              <w:szCs w:val="22"/>
              <w:lang w:val="en-US" w:eastAsia="zh-CN"/>
            </w:rPr>
            <w:t xml:space="preserve"> </w:t>
          </w:r>
          <w:r>
            <w:rPr>
              <w:rFonts w:hint="default"/>
              <w:b w:val="0"/>
              <w:bCs w:val="0"/>
              <w:sz w:val="22"/>
              <w:szCs w:val="22"/>
              <w:lang w:val="en-US" w:eastAsia="zh-CN"/>
            </w:rPr>
            <w:t>W</w:t>
          </w:r>
          <w:r>
            <w:rPr>
              <w:rFonts w:hint="default"/>
              <w:b w:val="0"/>
              <w:bCs w:val="0"/>
              <w:sz w:val="22"/>
              <w:szCs w:val="22"/>
              <w:lang w:val="en-US"/>
            </w:rPr>
            <w:t>1) from 1.79 in 2019 to a projected 1.3 in 2022, Although the current ratio is still in a healthy range, the working capital has decreased significantly, indicating a slow phase change in the flow.</w:t>
          </w:r>
        </w:p>
        <w:p>
          <w:pPr>
            <w:keepNext w:val="0"/>
            <w:keepLines w:val="0"/>
            <w:pageBreakBefore w:val="0"/>
            <w:widowControl/>
            <w:numPr>
              <w:ilvl w:val="0"/>
              <w:numId w:val="10"/>
            </w:numPr>
            <w:kinsoku/>
            <w:wordWrap/>
            <w:overflowPunct/>
            <w:topLinePunct w:val="0"/>
            <w:autoSpaceDE/>
            <w:autoSpaceDN/>
            <w:bidi w:val="0"/>
            <w:adjustRightInd/>
            <w:snapToGrid/>
            <w:spacing w:after="0" w:line="480" w:lineRule="auto"/>
            <w:ind w:left="0" w:leftChars="0" w:firstLine="440" w:firstLineChars="200"/>
            <w:textAlignment w:val="auto"/>
            <w:rPr>
              <w:rFonts w:hint="default" w:eastAsiaTheme="minorEastAsia"/>
              <w:b w:val="0"/>
              <w:bCs w:val="0"/>
              <w:sz w:val="22"/>
              <w:szCs w:val="22"/>
              <w:lang w:val="en-US" w:eastAsia="zh-CN"/>
            </w:rPr>
          </w:pPr>
          <w:r>
            <w:rPr>
              <w:rFonts w:hint="default"/>
              <w:b w:val="0"/>
              <w:bCs w:val="0"/>
              <w:sz w:val="22"/>
              <w:szCs w:val="22"/>
              <w:lang w:val="en-US"/>
            </w:rPr>
            <w:t>ROCE decreased significantly</w:t>
          </w:r>
          <w:r>
            <w:rPr>
              <w:rFonts w:hint="eastAsia"/>
              <w:b w:val="0"/>
              <w:bCs w:val="0"/>
              <w:sz w:val="22"/>
              <w:szCs w:val="22"/>
              <w:lang w:val="en-US" w:eastAsia="zh-CN"/>
            </w:rPr>
            <w:t>：ROCE evaluates a company's effectiveness in utilizing its capital, determined by dividing the pre-tax earnings by the total capital used, generally encompassing both debt and equity</w:t>
          </w:r>
          <w:r>
            <w:rPr>
              <w:rFonts w:hint="default"/>
              <w:b w:val="0"/>
              <w:bCs w:val="0"/>
              <w:sz w:val="22"/>
              <w:szCs w:val="22"/>
              <w:lang w:val="en-US" w:eastAsia="zh-CN"/>
            </w:rPr>
            <w:t xml:space="preserve"> </w:t>
          </w:r>
          <w:r>
            <w:rPr>
              <w:rFonts w:hint="eastAsia"/>
              <w:b w:val="0"/>
              <w:bCs w:val="0"/>
              <w:sz w:val="22"/>
              <w:szCs w:val="22"/>
              <w:lang w:val="en-US" w:eastAsia="zh-CN"/>
            </w:rPr>
            <w:t>(CFI</w:t>
          </w:r>
          <w:r>
            <w:rPr>
              <w:rFonts w:hint="default"/>
              <w:b w:val="0"/>
              <w:bCs w:val="0"/>
              <w:sz w:val="22"/>
              <w:szCs w:val="22"/>
              <w:lang w:val="en-US" w:eastAsia="zh-CN"/>
            </w:rPr>
            <w:t>, 2022</w:t>
          </w:r>
          <w:r>
            <w:rPr>
              <w:rFonts w:hint="eastAsia"/>
              <w:b w:val="0"/>
              <w:bCs w:val="0"/>
              <w:sz w:val="22"/>
              <w:szCs w:val="22"/>
              <w:lang w:val="en-US" w:eastAsia="zh-CN"/>
            </w:rPr>
            <w:t>)</w:t>
          </w:r>
          <w:r>
            <w:rPr>
              <w:rFonts w:hint="default"/>
              <w:b w:val="0"/>
              <w:bCs w:val="0"/>
              <w:sz w:val="22"/>
              <w:szCs w:val="22"/>
              <w:lang w:val="en-US" w:eastAsia="zh-CN"/>
            </w:rPr>
            <w:t xml:space="preserve"> [23]. </w:t>
          </w:r>
          <w:r>
            <w:rPr>
              <w:rFonts w:hint="default"/>
              <w:b w:val="0"/>
              <w:bCs w:val="0"/>
              <w:sz w:val="22"/>
              <w:szCs w:val="22"/>
              <w:lang w:val="en-US"/>
            </w:rPr>
            <w:t>Noticeable decrease in ROCE (Appendix</w:t>
          </w:r>
          <w:r>
            <w:rPr>
              <w:rFonts w:hint="eastAsia"/>
              <w:b w:val="0"/>
              <w:bCs w:val="0"/>
              <w:sz w:val="22"/>
              <w:szCs w:val="22"/>
              <w:lang w:val="en-US" w:eastAsia="zh-CN"/>
            </w:rPr>
            <w:t xml:space="preserve"> </w:t>
          </w:r>
          <w:r>
            <w:rPr>
              <w:rFonts w:hint="default"/>
              <w:b w:val="0"/>
              <w:bCs w:val="0"/>
              <w:sz w:val="22"/>
              <w:szCs w:val="22"/>
              <w:lang w:val="en-US" w:eastAsia="zh-CN"/>
            </w:rPr>
            <w:t>W</w:t>
          </w:r>
          <w:r>
            <w:rPr>
              <w:rFonts w:hint="default"/>
              <w:b w:val="0"/>
              <w:bCs w:val="0"/>
              <w:sz w:val="22"/>
              <w:szCs w:val="22"/>
              <w:lang w:val="en-US"/>
            </w:rPr>
            <w:t>2) from 35.5% in 2019 to a projected -20.54% in 2022. On the one hand, the profitability of enterprises has declined, the operating income has declined, and the income has decreased significantly. On the other hand, the company's debt increases, which compresses profits and ROCE.</w:t>
          </w:r>
        </w:p>
        <w:p>
          <w:pPr>
            <w:keepNext w:val="0"/>
            <w:keepLines w:val="0"/>
            <w:pageBreakBefore w:val="0"/>
            <w:widowControl w:val="0"/>
            <w:numPr>
              <w:ilvl w:val="0"/>
              <w:numId w:val="9"/>
            </w:numPr>
            <w:kinsoku/>
            <w:wordWrap/>
            <w:overflowPunct/>
            <w:topLinePunct w:val="0"/>
            <w:autoSpaceDE/>
            <w:autoSpaceDN/>
            <w:bidi w:val="0"/>
            <w:adjustRightInd/>
            <w:snapToGrid/>
            <w:spacing w:after="0" w:line="480" w:lineRule="auto"/>
            <w:ind w:left="0" w:leftChars="0" w:firstLine="440" w:firstLineChars="200"/>
            <w:textAlignment w:val="auto"/>
            <w:rPr>
              <w:rFonts w:hint="default"/>
              <w:b/>
              <w:bCs/>
              <w:sz w:val="22"/>
              <w:szCs w:val="22"/>
              <w:lang w:val="en-US"/>
            </w:rPr>
          </w:pPr>
          <w:r>
            <w:rPr>
              <w:rFonts w:hint="default"/>
              <w:b/>
              <w:bCs/>
              <w:sz w:val="22"/>
              <w:szCs w:val="22"/>
              <w:lang w:val="en-US"/>
            </w:rPr>
            <w:t>Customer Perspective:</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auto"/>
            <w:ind w:firstLine="440" w:firstLineChars="200"/>
            <w:textAlignment w:val="auto"/>
            <w:rPr>
              <w:rFonts w:hint="default"/>
              <w:b w:val="0"/>
              <w:bCs w:val="0"/>
              <w:sz w:val="22"/>
              <w:szCs w:val="22"/>
              <w:lang w:val="en-US"/>
            </w:rPr>
          </w:pPr>
          <w:r>
            <w:rPr>
              <w:rFonts w:hint="default"/>
              <w:b w:val="0"/>
              <w:bCs w:val="0"/>
              <w:sz w:val="22"/>
              <w:szCs w:val="22"/>
              <w:lang w:val="en-US"/>
            </w:rPr>
            <w:t>Within the customer dimension of the Balanced Scorecard, managers identify target markets and customer segments where their business units will compete, along with the performance indicators for these areas. Common metrics at this level often encompass customer satisfaction, customer retention, acquisition rates, profitability per customer, and market share within chosen segments. This dimension allows managers of business units to define strategies focused on customers and markets that lead to exceptional financial outcomes (Kim et al., 2003) [24].</w:t>
          </w:r>
        </w:p>
        <w:p>
          <w:pPr>
            <w:keepNext w:val="0"/>
            <w:keepLines w:val="0"/>
            <w:pageBreakBefore w:val="0"/>
            <w:widowControl w:val="0"/>
            <w:numPr>
              <w:ilvl w:val="0"/>
              <w:numId w:val="11"/>
            </w:numPr>
            <w:kinsoku/>
            <w:wordWrap/>
            <w:overflowPunct/>
            <w:topLinePunct w:val="0"/>
            <w:autoSpaceDE/>
            <w:autoSpaceDN/>
            <w:bidi w:val="0"/>
            <w:adjustRightInd/>
            <w:snapToGrid/>
            <w:spacing w:after="0" w:line="480" w:lineRule="auto"/>
            <w:ind w:firstLine="440" w:firstLineChars="200"/>
            <w:textAlignment w:val="auto"/>
            <w:rPr>
              <w:rFonts w:hint="default" w:eastAsiaTheme="minorEastAsia"/>
              <w:b w:val="0"/>
              <w:bCs w:val="0"/>
              <w:sz w:val="22"/>
              <w:szCs w:val="22"/>
              <w:lang w:val="en-US" w:eastAsia="zh-CN"/>
            </w:rPr>
          </w:pPr>
          <w:r>
            <w:rPr>
              <w:rFonts w:hint="default"/>
              <w:b w:val="0"/>
              <w:bCs w:val="0"/>
              <w:sz w:val="22"/>
              <w:szCs w:val="22"/>
              <w:lang w:val="en-US"/>
            </w:rPr>
            <w:t>Customer satisfaction:</w:t>
          </w:r>
          <w:r>
            <w:rPr>
              <w:rFonts w:hint="eastAsia"/>
              <w:b w:val="0"/>
              <w:bCs w:val="0"/>
              <w:sz w:val="22"/>
              <w:szCs w:val="22"/>
              <w:lang w:val="en-US" w:eastAsia="zh-CN"/>
            </w:rPr>
            <w:t xml:space="preserve"> </w:t>
          </w:r>
          <w:r>
            <w:rPr>
              <w:rFonts w:hint="default"/>
              <w:b w:val="0"/>
              <w:bCs w:val="0"/>
              <w:sz w:val="22"/>
              <w:szCs w:val="22"/>
              <w:lang w:val="en-US"/>
            </w:rPr>
            <w:t>It has made significant progress in recent years, with satisfaction rising from 69% in 2019 to 82% in 2021. This upward trend shows that the company's efforts to enhance the customer experience are paying off.</w:t>
          </w:r>
        </w:p>
        <w:p>
          <w:pPr>
            <w:keepNext w:val="0"/>
            <w:keepLines w:val="0"/>
            <w:pageBreakBefore w:val="0"/>
            <w:widowControl w:val="0"/>
            <w:numPr>
              <w:ilvl w:val="0"/>
              <w:numId w:val="11"/>
            </w:numPr>
            <w:kinsoku/>
            <w:wordWrap/>
            <w:overflowPunct/>
            <w:topLinePunct w:val="0"/>
            <w:autoSpaceDE/>
            <w:autoSpaceDN/>
            <w:bidi w:val="0"/>
            <w:adjustRightInd/>
            <w:snapToGrid/>
            <w:spacing w:after="0" w:line="480" w:lineRule="auto"/>
            <w:ind w:left="0" w:leftChars="0" w:firstLine="440" w:firstLineChars="200"/>
            <w:textAlignment w:val="auto"/>
            <w:rPr>
              <w:rFonts w:hint="default" w:eastAsiaTheme="minorEastAsia"/>
              <w:b w:val="0"/>
              <w:bCs w:val="0"/>
              <w:sz w:val="22"/>
              <w:szCs w:val="22"/>
              <w:lang w:val="en-US" w:eastAsia="zh-CN"/>
            </w:rPr>
          </w:pPr>
          <w:r>
            <w:rPr>
              <w:rFonts w:hint="default"/>
              <w:b w:val="0"/>
              <w:bCs w:val="0"/>
              <w:sz w:val="22"/>
              <w:szCs w:val="22"/>
              <w:lang w:val="en-US"/>
            </w:rPr>
            <w:t>Sales to Website Hits Ratio: This rate increased significantly from 10% in 2019 to 18% in 2021, indicating that the company's online engagement strategy is becoming more effective. his metric, measuring the percentage of website visitors who actually make a purchase, is a critical indicator of how well a company is converting online interest into tangible sales.</w:t>
          </w:r>
        </w:p>
        <w:p>
          <w:pPr>
            <w:keepNext w:val="0"/>
            <w:keepLines w:val="0"/>
            <w:pageBreakBefore w:val="0"/>
            <w:widowControl w:val="0"/>
            <w:numPr>
              <w:ilvl w:val="0"/>
              <w:numId w:val="11"/>
            </w:numPr>
            <w:kinsoku/>
            <w:wordWrap/>
            <w:overflowPunct/>
            <w:topLinePunct w:val="0"/>
            <w:autoSpaceDE/>
            <w:autoSpaceDN/>
            <w:bidi w:val="0"/>
            <w:adjustRightInd/>
            <w:snapToGrid/>
            <w:spacing w:after="0" w:line="480" w:lineRule="auto"/>
            <w:ind w:left="0" w:leftChars="0" w:firstLine="440" w:firstLineChars="200"/>
            <w:textAlignment w:val="auto"/>
            <w:rPr>
              <w:rFonts w:hint="default"/>
              <w:b w:val="0"/>
              <w:bCs w:val="0"/>
              <w:sz w:val="22"/>
              <w:szCs w:val="22"/>
              <w:lang w:val="en-US"/>
            </w:rPr>
          </w:pPr>
          <w:r>
            <w:rPr>
              <w:rFonts w:hint="default"/>
              <w:b w:val="0"/>
              <w:bCs w:val="0"/>
              <w:sz w:val="22"/>
              <w:szCs w:val="22"/>
              <w:lang w:val="en-US"/>
            </w:rPr>
            <w:t>However, reduction in market share in London from 2.75% in 2020 to a projected 0.25% in 2022. It may be because the company has a single product line, basically only selling shoes, and the same type of companies have increased the product line of perfume, cosmetics, clothing, etc., to attract more customers.</w:t>
          </w:r>
        </w:p>
        <w:p>
          <w:pPr>
            <w:keepNext w:val="0"/>
            <w:keepLines w:val="0"/>
            <w:pageBreakBefore w:val="0"/>
            <w:widowControl w:val="0"/>
            <w:numPr>
              <w:ilvl w:val="0"/>
              <w:numId w:val="9"/>
            </w:numPr>
            <w:kinsoku/>
            <w:wordWrap/>
            <w:overflowPunct/>
            <w:topLinePunct w:val="0"/>
            <w:autoSpaceDE/>
            <w:autoSpaceDN/>
            <w:bidi w:val="0"/>
            <w:adjustRightInd/>
            <w:snapToGrid/>
            <w:spacing w:after="0" w:line="480" w:lineRule="auto"/>
            <w:ind w:left="0" w:leftChars="0" w:firstLine="440" w:firstLineChars="200"/>
            <w:textAlignment w:val="auto"/>
            <w:rPr>
              <w:rFonts w:hint="default"/>
              <w:b/>
              <w:bCs/>
              <w:sz w:val="22"/>
              <w:szCs w:val="22"/>
              <w:lang w:val="en-US"/>
            </w:rPr>
          </w:pPr>
          <w:r>
            <w:rPr>
              <w:rFonts w:hint="default"/>
              <w:b/>
              <w:bCs/>
              <w:sz w:val="22"/>
              <w:szCs w:val="22"/>
              <w:lang w:val="en-US"/>
            </w:rPr>
            <w:t>Internal Business Processes:</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auto"/>
            <w:ind w:firstLine="440" w:firstLineChars="200"/>
            <w:textAlignment w:val="auto"/>
            <w:rPr>
              <w:rFonts w:hint="default"/>
              <w:b w:val="0"/>
              <w:bCs w:val="0"/>
              <w:sz w:val="22"/>
              <w:szCs w:val="22"/>
              <w:lang w:val="en-US"/>
            </w:rPr>
          </w:pPr>
          <w:r>
            <w:rPr>
              <w:rFonts w:hint="default"/>
              <w:b w:val="0"/>
              <w:bCs w:val="0"/>
              <w:sz w:val="22"/>
              <w:szCs w:val="22"/>
              <w:lang w:val="en-US"/>
            </w:rPr>
            <w:t>Managers pinpoint the crucial internal processes that the organization must master to support its business units in delivering their value propositions effectively. This proficiency helps attract and retain customers in designated market segments and fulfill shareholder demands for excellent financial performance (Tibbs and Langat, 2016) [25].</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auto"/>
            <w:ind w:firstLine="440" w:firstLineChars="200"/>
            <w:textAlignment w:val="auto"/>
            <w:rPr>
              <w:rFonts w:hint="default"/>
              <w:b w:val="0"/>
              <w:bCs w:val="0"/>
              <w:sz w:val="22"/>
              <w:szCs w:val="22"/>
              <w:lang w:val="en-US"/>
            </w:rPr>
          </w:pPr>
          <w:r>
            <w:rPr>
              <w:rFonts w:hint="default"/>
              <w:b w:val="0"/>
              <w:bCs w:val="0"/>
              <w:sz w:val="22"/>
              <w:szCs w:val="22"/>
              <w:lang w:val="en-US"/>
            </w:rPr>
            <w:t>1) S</w:t>
          </w:r>
          <w:r>
            <w:rPr>
              <w:rFonts w:hint="eastAsia"/>
              <w:b w:val="0"/>
              <w:bCs w:val="0"/>
              <w:sz w:val="22"/>
              <w:szCs w:val="22"/>
              <w:lang w:val="en-US" w:eastAsia="zh-CN"/>
            </w:rPr>
            <w:t>ervice</w:t>
          </w:r>
          <w:r>
            <w:rPr>
              <w:rFonts w:hint="default"/>
              <w:b w:val="0"/>
              <w:bCs w:val="0"/>
              <w:sz w:val="22"/>
              <w:szCs w:val="22"/>
              <w:lang w:val="en-US" w:eastAsia="zh-CN"/>
            </w:rPr>
            <w:t xml:space="preserve"> e</w:t>
          </w:r>
          <w:r>
            <w:rPr>
              <w:rFonts w:hint="default"/>
              <w:b w:val="0"/>
              <w:bCs w:val="0"/>
              <w:sz w:val="22"/>
              <w:szCs w:val="22"/>
              <w:lang w:val="en-US"/>
            </w:rPr>
            <w:t>fficiency: The notable reduction in average job completion time from 14 days in 2019 to just 7 days in 2021 within the service sector of the company reflects a significant improvement in service efficiency. This enhancement in efficiency can be attributed to a series of operational and organizational changes aimed at streamlining workflows, optimizing resource allocation, and leveraging technology.</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auto"/>
            <w:ind w:firstLine="440" w:firstLineChars="200"/>
            <w:textAlignment w:val="auto"/>
            <w:rPr>
              <w:rFonts w:hint="default"/>
              <w:b w:val="0"/>
              <w:bCs w:val="0"/>
              <w:sz w:val="22"/>
              <w:szCs w:val="22"/>
              <w:lang w:val="en-US"/>
            </w:rPr>
          </w:pPr>
          <w:r>
            <w:rPr>
              <w:rFonts w:hint="default"/>
              <w:b/>
              <w:bCs/>
              <w:sz w:val="22"/>
              <w:szCs w:val="22"/>
              <w:lang w:val="en-US"/>
            </w:rPr>
            <w:t>(4) Learning and Growth:</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auto"/>
            <w:ind w:firstLine="440" w:firstLineChars="200"/>
            <w:textAlignment w:val="auto"/>
            <w:rPr>
              <w:rFonts w:hint="default"/>
              <w:b w:val="0"/>
              <w:bCs w:val="0"/>
              <w:sz w:val="22"/>
              <w:szCs w:val="22"/>
              <w:lang w:val="en-US"/>
            </w:rPr>
          </w:pPr>
          <w:r>
            <w:rPr>
              <w:rFonts w:hint="default"/>
              <w:b w:val="0"/>
              <w:bCs w:val="0"/>
              <w:sz w:val="22"/>
              <w:szCs w:val="22"/>
              <w:lang w:val="en-US"/>
            </w:rPr>
            <w:t>It lays the essential groundwork necessary for sustained growth and enhancement, highlighting critical elements for future prosperity. The initial three tiers of the Balanced Scorecard typically expose the discrepancy between a company's current competencies and those required for exceptional performance. To bridge this divide, the organization needs to focus on enhancing employee skills, refining organizational processes, and optimizing routine operations, which are targeted at the learning and growth stage of the Balanced Scorecard</w:t>
          </w:r>
          <w:r>
            <w:rPr>
              <w:rFonts w:hint="eastAsia" w:eastAsia="宋体"/>
              <w:b w:val="0"/>
              <w:bCs w:val="0"/>
              <w:sz w:val="22"/>
              <w:szCs w:val="22"/>
              <w:lang w:val="en-US" w:eastAsia="zh-CN"/>
            </w:rPr>
            <w:t xml:space="preserve"> </w:t>
          </w:r>
          <w:r>
            <w:rPr>
              <w:rFonts w:hint="default"/>
              <w:b w:val="0"/>
              <w:bCs w:val="0"/>
              <w:sz w:val="22"/>
              <w:szCs w:val="22"/>
              <w:lang w:val="en-US"/>
            </w:rPr>
            <w:t>(Bhagwat and Sharma, 2007) [21].</w:t>
          </w:r>
          <w:r>
            <w:rPr>
              <w:rFonts w:hint="eastAsia" w:eastAsia="宋体"/>
              <w:b w:val="0"/>
              <w:bCs w:val="0"/>
              <w:sz w:val="22"/>
              <w:szCs w:val="22"/>
              <w:lang w:val="en-US" w:eastAsia="zh-CN"/>
            </w:rPr>
            <w:t xml:space="preserve"> </w:t>
          </w:r>
          <w:r>
            <w:rPr>
              <w:rFonts w:hint="default"/>
              <w:b w:val="0"/>
              <w:bCs w:val="0"/>
              <w:sz w:val="22"/>
              <w:szCs w:val="22"/>
              <w:lang w:val="en-US"/>
            </w:rPr>
            <w:t>Such as employee satisfaction, employee retention, employee training and skills, and the drivers of these indicators.</w:t>
          </w:r>
        </w:p>
        <w:p>
          <w:pPr>
            <w:keepNext w:val="0"/>
            <w:keepLines w:val="0"/>
            <w:pageBreakBefore w:val="0"/>
            <w:widowControl w:val="0"/>
            <w:numPr>
              <w:ilvl w:val="0"/>
              <w:numId w:val="12"/>
            </w:numPr>
            <w:kinsoku/>
            <w:wordWrap/>
            <w:overflowPunct/>
            <w:topLinePunct w:val="0"/>
            <w:autoSpaceDE/>
            <w:autoSpaceDN/>
            <w:bidi w:val="0"/>
            <w:adjustRightInd/>
            <w:snapToGrid/>
            <w:spacing w:after="0" w:line="480" w:lineRule="auto"/>
            <w:ind w:firstLine="440" w:firstLineChars="200"/>
            <w:textAlignment w:val="auto"/>
            <w:rPr>
              <w:rFonts w:hint="default"/>
              <w:b w:val="0"/>
              <w:bCs w:val="0"/>
              <w:sz w:val="22"/>
              <w:szCs w:val="22"/>
              <w:lang w:val="en-US"/>
            </w:rPr>
          </w:pPr>
          <w:r>
            <w:rPr>
              <w:rFonts w:hint="default"/>
              <w:b w:val="0"/>
              <w:bCs w:val="0"/>
              <w:sz w:val="22"/>
              <w:szCs w:val="22"/>
              <w:lang w:val="en-US"/>
            </w:rPr>
            <w:t xml:space="preserve">Employee Development: The significant increase in Continuous Professional Development (CPD) sessions attended per employee, from 5 in 2019 to 12 in 2021, underscores a deliberate and strategic commitment by the company to invest in its workforce's growth and skill enhancement. </w:t>
          </w:r>
        </w:p>
        <w:p>
          <w:pPr>
            <w:keepNext w:val="0"/>
            <w:keepLines w:val="0"/>
            <w:pageBreakBefore w:val="0"/>
            <w:widowControl w:val="0"/>
            <w:numPr>
              <w:ilvl w:val="0"/>
              <w:numId w:val="12"/>
            </w:numPr>
            <w:kinsoku/>
            <w:wordWrap/>
            <w:overflowPunct/>
            <w:topLinePunct w:val="0"/>
            <w:autoSpaceDE/>
            <w:autoSpaceDN/>
            <w:bidi w:val="0"/>
            <w:adjustRightInd/>
            <w:snapToGrid/>
            <w:spacing w:after="0" w:line="480" w:lineRule="auto"/>
            <w:ind w:left="0" w:leftChars="0" w:firstLine="440" w:firstLineChars="200"/>
            <w:textAlignment w:val="auto"/>
            <w:rPr>
              <w:rFonts w:hint="default"/>
              <w:b w:val="0"/>
              <w:bCs w:val="0"/>
              <w:sz w:val="22"/>
              <w:szCs w:val="22"/>
              <w:lang w:val="en-US"/>
            </w:rPr>
          </w:pPr>
          <w:r>
            <w:rPr>
              <w:rFonts w:hint="default"/>
              <w:b w:val="0"/>
              <w:bCs w:val="0"/>
              <w:sz w:val="22"/>
              <w:szCs w:val="22"/>
              <w:lang w:val="en-US"/>
            </w:rPr>
            <w:t xml:space="preserve">Error rate in jobs done’s control: A decline in error rates from 111% in 2019 to 4% in 2021 indicates significant improvements in quality management. The significant reduction in error rates suggests that the company has effectively implemented or refined its quality control mechanisms. </w:t>
          </w:r>
        </w:p>
        <w:p>
          <w:pPr>
            <w:keepNext w:val="0"/>
            <w:keepLines w:val="0"/>
            <w:pageBreakBefore w:val="0"/>
            <w:widowControl w:val="0"/>
            <w:numPr>
              <w:ilvl w:val="0"/>
              <w:numId w:val="12"/>
            </w:numPr>
            <w:kinsoku/>
            <w:wordWrap/>
            <w:overflowPunct/>
            <w:topLinePunct w:val="0"/>
            <w:autoSpaceDE/>
            <w:autoSpaceDN/>
            <w:bidi w:val="0"/>
            <w:adjustRightInd/>
            <w:snapToGrid/>
            <w:spacing w:after="0" w:line="480" w:lineRule="auto"/>
            <w:ind w:left="0" w:leftChars="0" w:firstLine="440" w:firstLineChars="200"/>
            <w:textAlignment w:val="auto"/>
            <w:rPr>
              <w:rFonts w:hint="default"/>
              <w:b w:val="0"/>
              <w:bCs w:val="0"/>
              <w:sz w:val="22"/>
              <w:szCs w:val="22"/>
              <w:lang w:val="en-US"/>
            </w:rPr>
          </w:pPr>
          <w:r>
            <w:rPr>
              <w:rFonts w:hint="default"/>
              <w:b w:val="0"/>
              <w:bCs w:val="0"/>
              <w:sz w:val="22"/>
              <w:szCs w:val="22"/>
              <w:lang w:val="en-US"/>
            </w:rPr>
            <w:t>Employee retention: The improvement in employee retention from 82% in 2019 to 95% in 2021 demonstrates a significant enhancement in the company's human resource practices and overall work environment. A more supportive and fulfilling work environment likely contributed to higher retention rates.</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auto"/>
            <w:ind w:leftChars="0" w:firstLine="440" w:firstLineChars="200"/>
            <w:textAlignment w:val="auto"/>
            <w:rPr>
              <w:rFonts w:hint="default"/>
              <w:b w:val="0"/>
              <w:bCs w:val="0"/>
              <w:sz w:val="22"/>
              <w:szCs w:val="22"/>
              <w:lang w:val="en-US"/>
            </w:rPr>
          </w:pPr>
          <w:r>
            <w:rPr>
              <w:rFonts w:hint="default"/>
              <w:b w:val="0"/>
              <w:bCs w:val="0"/>
              <w:sz w:val="22"/>
              <w:szCs w:val="22"/>
              <w:lang w:val="en-US"/>
            </w:rPr>
            <w:t>Through the above analysis, this paper will get a balanced scorecard table, the table is shown as follows:</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auto"/>
            <w:ind w:leftChars="0"/>
            <w:jc w:val="center"/>
            <w:textAlignment w:val="auto"/>
            <w:rPr>
              <w:rFonts w:hint="default"/>
              <w:b w:val="0"/>
              <w:bCs w:val="0"/>
              <w:sz w:val="22"/>
              <w:szCs w:val="22"/>
              <w:lang w:val="en-US"/>
            </w:rPr>
            <w:sectPr>
              <w:pgSz w:w="11906" w:h="16838"/>
              <w:pgMar w:top="1440" w:right="1800" w:bottom="1440" w:left="1800" w:header="708" w:footer="708" w:gutter="0"/>
              <w:pgNumType w:fmt="decimal"/>
              <w:cols w:space="708" w:num="1"/>
              <w:titlePg/>
              <w:docGrid w:linePitch="360"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auto"/>
            <w:ind w:leftChars="0"/>
            <w:jc w:val="center"/>
            <w:textAlignment w:val="auto"/>
            <w:rPr>
              <w:rFonts w:hint="default"/>
              <w:b w:val="0"/>
              <w:bCs w:val="0"/>
              <w:sz w:val="22"/>
              <w:szCs w:val="22"/>
              <w:lang w:val="en-US"/>
            </w:rPr>
          </w:pPr>
          <w:r>
            <w:rPr>
              <w:rFonts w:hint="default"/>
              <w:b w:val="0"/>
              <w:bCs w:val="0"/>
              <w:sz w:val="22"/>
              <w:szCs w:val="22"/>
              <w:lang w:val="en-US"/>
            </w:rPr>
            <w:t>Table: Balanced Scorecard</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9"/>
            <w:gridCol w:w="2833"/>
            <w:gridCol w:w="2840"/>
          </w:tblGrid>
          <w:tr>
            <w:tc>
              <w:tcPr>
                <w:tcW w:w="3080" w:type="dxa"/>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default" w:eastAsia="宋体"/>
                    <w:b w:val="0"/>
                    <w:bCs w:val="0"/>
                    <w:kern w:val="2"/>
                    <w:sz w:val="20"/>
                    <w:szCs w:val="20"/>
                    <w:vertAlign w:val="baseline"/>
                    <w:lang w:val="en-US" w:eastAsia="zh-CN"/>
                  </w:rPr>
                </w:pPr>
                <w:r>
                  <w:rPr>
                    <w:rFonts w:hint="default"/>
                    <w:b w:val="0"/>
                    <w:bCs w:val="0"/>
                    <w:kern w:val="2"/>
                    <w:sz w:val="20"/>
                    <w:szCs w:val="20"/>
                    <w:vertAlign w:val="baseline"/>
                    <w:lang w:val="en-US"/>
                  </w:rPr>
                  <w:t>D</w:t>
                </w:r>
                <w:r>
                  <w:rPr>
                    <w:rFonts w:hint="eastAsia" w:eastAsia="宋体"/>
                    <w:b w:val="0"/>
                    <w:bCs w:val="0"/>
                    <w:kern w:val="2"/>
                    <w:sz w:val="20"/>
                    <w:szCs w:val="20"/>
                    <w:vertAlign w:val="baseline"/>
                    <w:lang w:val="en-US" w:eastAsia="zh-CN"/>
                  </w:rPr>
                  <w:t>ime</w:t>
                </w:r>
                <w:r>
                  <w:rPr>
                    <w:rFonts w:hint="default" w:eastAsia="宋体"/>
                    <w:b w:val="0"/>
                    <w:bCs w:val="0"/>
                    <w:kern w:val="2"/>
                    <w:sz w:val="20"/>
                    <w:szCs w:val="20"/>
                    <w:vertAlign w:val="baseline"/>
                    <w:lang w:val="en-US" w:eastAsia="zh-CN"/>
                  </w:rPr>
                  <w:t>nsionalit</w:t>
                </w:r>
                <w:r>
                  <w:rPr>
                    <w:rFonts w:hint="eastAsia" w:eastAsia="宋体"/>
                    <w:b w:val="0"/>
                    <w:bCs w:val="0"/>
                    <w:kern w:val="2"/>
                    <w:sz w:val="20"/>
                    <w:szCs w:val="20"/>
                    <w:vertAlign w:val="baseline"/>
                    <w:lang w:val="en-US" w:eastAsia="zh-CN"/>
                  </w:rPr>
                  <w:t>y</w:t>
                </w:r>
              </w:p>
            </w:tc>
            <w:tc>
              <w:tcPr>
                <w:tcW w:w="3081" w:type="dxa"/>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default" w:eastAsia="宋体"/>
                    <w:b w:val="0"/>
                    <w:bCs w:val="0"/>
                    <w:kern w:val="2"/>
                    <w:sz w:val="20"/>
                    <w:szCs w:val="20"/>
                    <w:vertAlign w:val="baseline"/>
                    <w:lang w:val="en-US" w:eastAsia="zh-CN"/>
                  </w:rPr>
                </w:pPr>
                <w:r>
                  <w:rPr>
                    <w:rFonts w:hint="default"/>
                    <w:b w:val="0"/>
                    <w:bCs w:val="0"/>
                    <w:kern w:val="2"/>
                    <w:sz w:val="20"/>
                    <w:szCs w:val="20"/>
                    <w:vertAlign w:val="baseline"/>
                    <w:lang w:val="en-US"/>
                  </w:rPr>
                  <w:t>M</w:t>
                </w:r>
                <w:r>
                  <w:rPr>
                    <w:rFonts w:hint="eastAsia" w:eastAsia="宋体"/>
                    <w:b w:val="0"/>
                    <w:bCs w:val="0"/>
                    <w:kern w:val="2"/>
                    <w:sz w:val="20"/>
                    <w:szCs w:val="20"/>
                    <w:vertAlign w:val="baseline"/>
                    <w:lang w:val="en-US" w:eastAsia="zh-CN"/>
                  </w:rPr>
                  <w:t>easurabl</w:t>
                </w:r>
                <w:r>
                  <w:rPr>
                    <w:rFonts w:hint="default" w:eastAsia="宋体"/>
                    <w:b w:val="0"/>
                    <w:bCs w:val="0"/>
                    <w:kern w:val="2"/>
                    <w:sz w:val="20"/>
                    <w:szCs w:val="20"/>
                    <w:vertAlign w:val="baseline"/>
                    <w:lang w:val="en-US" w:eastAsia="zh-CN"/>
                  </w:rPr>
                  <w:t>e Indicator</w:t>
                </w:r>
              </w:p>
            </w:tc>
            <w:tc>
              <w:tcPr>
                <w:tcW w:w="3081" w:type="dxa"/>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eastAsia" w:eastAsia="宋体"/>
                    <w:b w:val="0"/>
                    <w:bCs w:val="0"/>
                    <w:kern w:val="2"/>
                    <w:sz w:val="20"/>
                    <w:szCs w:val="20"/>
                    <w:vertAlign w:val="baseline"/>
                    <w:lang w:val="en-US" w:eastAsia="zh-CN"/>
                  </w:rPr>
                </w:pPr>
                <w:r>
                  <w:rPr>
                    <w:rFonts w:hint="default"/>
                    <w:b w:val="0"/>
                    <w:bCs w:val="0"/>
                    <w:kern w:val="2"/>
                    <w:sz w:val="20"/>
                    <w:szCs w:val="20"/>
                    <w:vertAlign w:val="baseline"/>
                    <w:lang w:val="en-US"/>
                  </w:rPr>
                  <w:t>De</w:t>
                </w:r>
                <w:r>
                  <w:rPr>
                    <w:rFonts w:hint="eastAsia" w:eastAsia="宋体"/>
                    <w:b w:val="0"/>
                    <w:bCs w:val="0"/>
                    <w:kern w:val="2"/>
                    <w:sz w:val="20"/>
                    <w:szCs w:val="20"/>
                    <w:vertAlign w:val="baseline"/>
                    <w:lang w:val="en-US" w:eastAsia="zh-CN"/>
                  </w:rPr>
                  <w:t>mark</w:t>
                </w:r>
              </w:p>
            </w:tc>
          </w:tr>
          <w:tr>
            <w:trPr>
              <w:trHeight w:val="256" w:hRule="atLeast"/>
            </w:trPr>
            <w:tc>
              <w:tcPr>
                <w:tcW w:w="3080" w:type="dxa"/>
                <w:vMerge w:val="restart"/>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default"/>
                    <w:b w:val="0"/>
                    <w:bCs w:val="0"/>
                    <w:kern w:val="2"/>
                    <w:sz w:val="20"/>
                    <w:szCs w:val="20"/>
                    <w:vertAlign w:val="baseline"/>
                    <w:lang w:val="en-US"/>
                  </w:rPr>
                </w:pPr>
                <w:r>
                  <w:rPr>
                    <w:rFonts w:hint="default"/>
                    <w:b w:val="0"/>
                    <w:bCs w:val="0"/>
                    <w:kern w:val="2"/>
                    <w:sz w:val="20"/>
                    <w:szCs w:val="20"/>
                    <w:vertAlign w:val="baseline"/>
                    <w:lang w:val="en-US"/>
                  </w:rPr>
                  <w:t>Financial Perspective</w:t>
                </w:r>
              </w:p>
            </w:tc>
            <w:tc>
              <w:tcPr>
                <w:tcW w:w="3081" w:type="dxa"/>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default"/>
                    <w:b w:val="0"/>
                    <w:bCs w:val="0"/>
                    <w:kern w:val="2"/>
                    <w:sz w:val="20"/>
                    <w:szCs w:val="20"/>
                    <w:vertAlign w:val="baseline"/>
                    <w:lang w:val="en-US"/>
                  </w:rPr>
                </w:pPr>
                <w:r>
                  <w:rPr>
                    <w:rFonts w:hint="default"/>
                    <w:b w:val="0"/>
                    <w:bCs w:val="0"/>
                    <w:kern w:val="2"/>
                    <w:sz w:val="20"/>
                    <w:szCs w:val="20"/>
                    <w:vertAlign w:val="baseline"/>
                    <w:lang w:val="en-US"/>
                  </w:rPr>
                  <w:t>Revenue and profit</w:t>
                </w:r>
              </w:p>
            </w:tc>
            <w:tc>
              <w:tcPr>
                <w:tcW w:w="3081" w:type="dxa"/>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default"/>
                    <w:b w:val="0"/>
                    <w:bCs w:val="0"/>
                    <w:kern w:val="2"/>
                    <w:sz w:val="20"/>
                    <w:szCs w:val="20"/>
                    <w:vertAlign w:val="baseline"/>
                    <w:lang w:val="en-US"/>
                  </w:rPr>
                </w:pPr>
                <w:r>
                  <w:rPr>
                    <w:rFonts w:hint="default"/>
                    <w:b w:val="0"/>
                    <w:bCs w:val="0"/>
                    <w:kern w:val="2"/>
                    <w:sz w:val="20"/>
                    <w:szCs w:val="20"/>
                    <w:vertAlign w:val="baseline"/>
                    <w:lang w:val="en-US"/>
                  </w:rPr>
                  <w:t>Significantly decreased</w:t>
                </w:r>
              </w:p>
            </w:tc>
          </w:tr>
          <w:tr>
            <w:tc>
              <w:tcPr>
                <w:tcW w:w="3080"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default"/>
                    <w:b w:val="0"/>
                    <w:bCs w:val="0"/>
                    <w:kern w:val="2"/>
                    <w:sz w:val="20"/>
                    <w:szCs w:val="20"/>
                    <w:vertAlign w:val="baseline"/>
                    <w:lang w:val="en-US"/>
                  </w:rPr>
                </w:pPr>
              </w:p>
            </w:tc>
            <w:tc>
              <w:tcPr>
                <w:tcW w:w="3081" w:type="dxa"/>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default"/>
                    <w:b w:val="0"/>
                    <w:bCs w:val="0"/>
                    <w:kern w:val="2"/>
                    <w:sz w:val="20"/>
                    <w:szCs w:val="20"/>
                    <w:vertAlign w:val="baseline"/>
                    <w:lang w:val="en-US"/>
                  </w:rPr>
                </w:pPr>
                <w:r>
                  <w:rPr>
                    <w:rFonts w:hint="default"/>
                    <w:b w:val="0"/>
                    <w:bCs w:val="0"/>
                    <w:kern w:val="2"/>
                    <w:sz w:val="20"/>
                    <w:szCs w:val="20"/>
                    <w:vertAlign w:val="baseline"/>
                    <w:lang w:val="en-US"/>
                  </w:rPr>
                  <w:t>Liquidity</w:t>
                </w:r>
              </w:p>
            </w:tc>
            <w:tc>
              <w:tcPr>
                <w:tcW w:w="3081" w:type="dxa"/>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default"/>
                    <w:b w:val="0"/>
                    <w:bCs w:val="0"/>
                    <w:kern w:val="2"/>
                    <w:sz w:val="20"/>
                    <w:szCs w:val="20"/>
                    <w:vertAlign w:val="baseline"/>
                    <w:lang w:val="en-US"/>
                  </w:rPr>
                </w:pPr>
                <w:r>
                  <w:rPr>
                    <w:rFonts w:hint="default"/>
                    <w:b w:val="0"/>
                    <w:bCs w:val="0"/>
                    <w:kern w:val="2"/>
                    <w:sz w:val="20"/>
                    <w:szCs w:val="20"/>
                    <w:vertAlign w:val="baseline"/>
                    <w:lang w:val="en-US"/>
                  </w:rPr>
                  <w:t>While still within healthy limits, working capital has decreased significantly</w:t>
                </w:r>
              </w:p>
            </w:tc>
          </w:tr>
          <w:tr>
            <w:tc>
              <w:tcPr>
                <w:tcW w:w="3080"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default"/>
                    <w:b w:val="0"/>
                    <w:bCs w:val="0"/>
                    <w:kern w:val="2"/>
                    <w:sz w:val="20"/>
                    <w:szCs w:val="20"/>
                    <w:vertAlign w:val="baseline"/>
                    <w:lang w:val="en-US"/>
                  </w:rPr>
                </w:pPr>
              </w:p>
            </w:tc>
            <w:tc>
              <w:tcPr>
                <w:tcW w:w="3081" w:type="dxa"/>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default"/>
                    <w:b w:val="0"/>
                    <w:bCs w:val="0"/>
                    <w:kern w:val="2"/>
                    <w:sz w:val="20"/>
                    <w:szCs w:val="20"/>
                    <w:vertAlign w:val="baseline"/>
                    <w:lang w:val="en-US"/>
                  </w:rPr>
                </w:pPr>
                <w:r>
                  <w:rPr>
                    <w:rFonts w:hint="default"/>
                    <w:b w:val="0"/>
                    <w:bCs w:val="0"/>
                    <w:kern w:val="2"/>
                    <w:sz w:val="20"/>
                    <w:szCs w:val="20"/>
                    <w:vertAlign w:val="baseline"/>
                    <w:lang w:val="en-US"/>
                  </w:rPr>
                  <w:t>ROCE</w:t>
                </w:r>
              </w:p>
            </w:tc>
            <w:tc>
              <w:tcPr>
                <w:tcW w:w="3081" w:type="dxa"/>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default"/>
                    <w:b w:val="0"/>
                    <w:bCs w:val="0"/>
                    <w:kern w:val="2"/>
                    <w:sz w:val="20"/>
                    <w:szCs w:val="20"/>
                    <w:vertAlign w:val="baseline"/>
                    <w:lang w:val="en-US"/>
                  </w:rPr>
                </w:pPr>
                <w:r>
                  <w:rPr>
                    <w:rFonts w:hint="default"/>
                    <w:b w:val="0"/>
                    <w:bCs w:val="0"/>
                    <w:kern w:val="2"/>
                    <w:sz w:val="20"/>
                    <w:szCs w:val="20"/>
                    <w:vertAlign w:val="baseline"/>
                    <w:lang w:val="en-US"/>
                  </w:rPr>
                  <w:t>Significantly lower, lower profits, higher debt</w:t>
                </w:r>
              </w:p>
            </w:tc>
          </w:tr>
          <w:tr>
            <w:tc>
              <w:tcPr>
                <w:tcW w:w="3080" w:type="dxa"/>
                <w:vMerge w:val="restart"/>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default"/>
                    <w:b w:val="0"/>
                    <w:bCs w:val="0"/>
                    <w:kern w:val="2"/>
                    <w:sz w:val="20"/>
                    <w:szCs w:val="20"/>
                    <w:vertAlign w:val="baseline"/>
                    <w:lang w:val="en-US"/>
                  </w:rPr>
                </w:pPr>
                <w:r>
                  <w:rPr>
                    <w:rFonts w:hint="default"/>
                    <w:b w:val="0"/>
                    <w:bCs w:val="0"/>
                    <w:kern w:val="2"/>
                    <w:sz w:val="20"/>
                    <w:szCs w:val="20"/>
                    <w:vertAlign w:val="baseline"/>
                    <w:lang w:val="en-US"/>
                  </w:rPr>
                  <w:t>Customer Perspective</w:t>
                </w:r>
              </w:p>
            </w:tc>
            <w:tc>
              <w:tcPr>
                <w:tcW w:w="3081" w:type="dxa"/>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default"/>
                    <w:b w:val="0"/>
                    <w:bCs w:val="0"/>
                    <w:kern w:val="2"/>
                    <w:sz w:val="20"/>
                    <w:szCs w:val="20"/>
                    <w:vertAlign w:val="baseline"/>
                    <w:lang w:val="en-US"/>
                  </w:rPr>
                </w:pPr>
                <w:r>
                  <w:rPr>
                    <w:rFonts w:hint="default"/>
                    <w:b w:val="0"/>
                    <w:bCs w:val="0"/>
                    <w:kern w:val="2"/>
                    <w:sz w:val="20"/>
                    <w:szCs w:val="20"/>
                    <w:vertAlign w:val="baseline"/>
                    <w:lang w:val="en-US"/>
                  </w:rPr>
                  <w:t>Customer satisfaction</w:t>
                </w:r>
              </w:p>
            </w:tc>
            <w:tc>
              <w:tcPr>
                <w:tcW w:w="3081" w:type="dxa"/>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eastAsia" w:eastAsia="宋体"/>
                    <w:b w:val="0"/>
                    <w:bCs w:val="0"/>
                    <w:kern w:val="2"/>
                    <w:sz w:val="20"/>
                    <w:szCs w:val="20"/>
                    <w:vertAlign w:val="baseline"/>
                    <w:lang w:val="en-US" w:eastAsia="zh-CN"/>
                  </w:rPr>
                </w:pPr>
                <w:r>
                  <w:rPr>
                    <w:rFonts w:hint="default"/>
                    <w:b w:val="0"/>
                    <w:bCs w:val="0"/>
                    <w:kern w:val="2"/>
                    <w:sz w:val="20"/>
                    <w:szCs w:val="20"/>
                    <w:vertAlign w:val="baseline"/>
                    <w:lang w:val="en-US"/>
                  </w:rPr>
                  <w:t>Significant improvement, indicating that efforts to enhance the customer experience are paying off</w:t>
                </w:r>
              </w:p>
            </w:tc>
          </w:tr>
          <w:tr>
            <w:tc>
              <w:tcPr>
                <w:tcW w:w="3080"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default"/>
                    <w:b w:val="0"/>
                    <w:bCs w:val="0"/>
                    <w:kern w:val="2"/>
                    <w:sz w:val="20"/>
                    <w:szCs w:val="20"/>
                    <w:vertAlign w:val="baseline"/>
                    <w:lang w:val="en-US"/>
                  </w:rPr>
                </w:pPr>
              </w:p>
            </w:tc>
            <w:tc>
              <w:tcPr>
                <w:tcW w:w="3081" w:type="dxa"/>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default"/>
                    <w:b w:val="0"/>
                    <w:bCs w:val="0"/>
                    <w:kern w:val="2"/>
                    <w:sz w:val="20"/>
                    <w:szCs w:val="20"/>
                    <w:vertAlign w:val="baseline"/>
                    <w:lang w:val="en-US"/>
                  </w:rPr>
                </w:pPr>
                <w:r>
                  <w:rPr>
                    <w:rFonts w:hint="default"/>
                    <w:b w:val="0"/>
                    <w:bCs w:val="0"/>
                    <w:kern w:val="2"/>
                    <w:sz w:val="20"/>
                    <w:szCs w:val="20"/>
                    <w:vertAlign w:val="baseline"/>
                    <w:lang w:val="en-US"/>
                  </w:rPr>
                  <w:t>Sales to Website Hits Ratio</w:t>
                </w:r>
              </w:p>
            </w:tc>
            <w:tc>
              <w:tcPr>
                <w:tcW w:w="3081" w:type="dxa"/>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default"/>
                    <w:b w:val="0"/>
                    <w:bCs w:val="0"/>
                    <w:kern w:val="2"/>
                    <w:sz w:val="20"/>
                    <w:szCs w:val="20"/>
                    <w:vertAlign w:val="baseline"/>
                    <w:lang w:val="en-US"/>
                  </w:rPr>
                </w:pPr>
                <w:r>
                  <w:rPr>
                    <w:rFonts w:hint="default"/>
                    <w:b w:val="0"/>
                    <w:bCs w:val="0"/>
                    <w:kern w:val="2"/>
                    <w:sz w:val="20"/>
                    <w:szCs w:val="20"/>
                    <w:vertAlign w:val="baseline"/>
                    <w:lang w:val="en-US"/>
                  </w:rPr>
                  <w:t>Significant improvement, indicating that online engagement strategies have become more effective</w:t>
                </w:r>
              </w:p>
            </w:tc>
          </w:tr>
          <w:tr>
            <w:tc>
              <w:tcPr>
                <w:tcW w:w="3080"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default"/>
                    <w:b w:val="0"/>
                    <w:bCs w:val="0"/>
                    <w:kern w:val="2"/>
                    <w:sz w:val="20"/>
                    <w:szCs w:val="20"/>
                    <w:vertAlign w:val="baseline"/>
                    <w:lang w:val="en-US"/>
                  </w:rPr>
                </w:pPr>
              </w:p>
            </w:tc>
            <w:tc>
              <w:tcPr>
                <w:tcW w:w="3081" w:type="dxa"/>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default"/>
                    <w:b w:val="0"/>
                    <w:bCs w:val="0"/>
                    <w:kern w:val="2"/>
                    <w:sz w:val="20"/>
                    <w:szCs w:val="20"/>
                    <w:vertAlign w:val="baseline"/>
                    <w:lang w:val="en-US"/>
                  </w:rPr>
                </w:pPr>
                <w:r>
                  <w:rPr>
                    <w:rFonts w:hint="default"/>
                    <w:b w:val="0"/>
                    <w:bCs w:val="0"/>
                    <w:kern w:val="2"/>
                    <w:sz w:val="20"/>
                    <w:szCs w:val="20"/>
                    <w:vertAlign w:val="baseline"/>
                    <w:lang w:val="en-US"/>
                  </w:rPr>
                  <w:t>Market share in London</w:t>
                </w:r>
              </w:p>
            </w:tc>
            <w:tc>
              <w:tcPr>
                <w:tcW w:w="3081" w:type="dxa"/>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default"/>
                    <w:b w:val="0"/>
                    <w:bCs w:val="0"/>
                    <w:kern w:val="2"/>
                    <w:sz w:val="20"/>
                    <w:szCs w:val="20"/>
                    <w:vertAlign w:val="baseline"/>
                    <w:lang w:val="en-US"/>
                  </w:rPr>
                </w:pPr>
                <w:r>
                  <w:rPr>
                    <w:rFonts w:hint="default"/>
                    <w:b w:val="0"/>
                    <w:bCs w:val="0"/>
                    <w:kern w:val="2"/>
                    <w:sz w:val="20"/>
                    <w:szCs w:val="20"/>
                    <w:vertAlign w:val="baseline"/>
                    <w:lang w:val="en-US"/>
                  </w:rPr>
                  <w:t>A significant decline, possibly due to a single product line and competitors adding diversified products</w:t>
                </w:r>
              </w:p>
            </w:tc>
          </w:tr>
          <w:tr>
            <w:tc>
              <w:tcPr>
                <w:tcW w:w="3080" w:type="dxa"/>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default"/>
                    <w:b w:val="0"/>
                    <w:bCs w:val="0"/>
                    <w:kern w:val="2"/>
                    <w:sz w:val="20"/>
                    <w:szCs w:val="20"/>
                    <w:vertAlign w:val="baseline"/>
                    <w:lang w:val="en-US"/>
                  </w:rPr>
                </w:pPr>
                <w:r>
                  <w:rPr>
                    <w:rFonts w:hint="default"/>
                    <w:b w:val="0"/>
                    <w:bCs w:val="0"/>
                    <w:kern w:val="2"/>
                    <w:sz w:val="20"/>
                    <w:szCs w:val="20"/>
                    <w:vertAlign w:val="baseline"/>
                    <w:lang w:val="en-US"/>
                  </w:rPr>
                  <w:t>Internal Business Processes</w:t>
                </w:r>
              </w:p>
            </w:tc>
            <w:tc>
              <w:tcPr>
                <w:tcW w:w="3081" w:type="dxa"/>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default"/>
                    <w:b w:val="0"/>
                    <w:bCs w:val="0"/>
                    <w:kern w:val="2"/>
                    <w:sz w:val="20"/>
                    <w:szCs w:val="20"/>
                    <w:vertAlign w:val="baseline"/>
                    <w:lang w:val="en-US"/>
                  </w:rPr>
                </w:pPr>
                <w:r>
                  <w:rPr>
                    <w:rFonts w:hint="default"/>
                    <w:b w:val="0"/>
                    <w:bCs w:val="0"/>
                    <w:kern w:val="2"/>
                    <w:sz w:val="20"/>
                    <w:szCs w:val="20"/>
                    <w:vertAlign w:val="baseline"/>
                    <w:lang w:val="en-US"/>
                  </w:rPr>
                  <w:t>Service efficiency</w:t>
                </w:r>
              </w:p>
            </w:tc>
            <w:tc>
              <w:tcPr>
                <w:tcW w:w="3081" w:type="dxa"/>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default" w:eastAsia="宋体"/>
                    <w:b w:val="0"/>
                    <w:bCs w:val="0"/>
                    <w:kern w:val="2"/>
                    <w:sz w:val="20"/>
                    <w:szCs w:val="20"/>
                    <w:vertAlign w:val="baseline"/>
                    <w:lang w:val="en-US" w:eastAsia="zh-CN"/>
                  </w:rPr>
                </w:pPr>
                <w:r>
                  <w:rPr>
                    <w:rFonts w:hint="default"/>
                    <w:b w:val="0"/>
                    <w:bCs w:val="0"/>
                    <w:kern w:val="2"/>
                    <w:sz w:val="20"/>
                    <w:szCs w:val="20"/>
                    <w:vertAlign w:val="baseline"/>
                    <w:lang w:val="en-US"/>
                  </w:rPr>
                  <w:t>Service efficiency has improved significantly, notable reduction in average job completion time</w:t>
                </w:r>
              </w:p>
            </w:tc>
          </w:tr>
          <w:tr>
            <w:tc>
              <w:tcPr>
                <w:tcW w:w="3080" w:type="dxa"/>
                <w:vMerge w:val="restart"/>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default"/>
                    <w:b w:val="0"/>
                    <w:bCs w:val="0"/>
                    <w:kern w:val="2"/>
                    <w:sz w:val="20"/>
                    <w:szCs w:val="20"/>
                    <w:vertAlign w:val="baseline"/>
                    <w:lang w:val="en-US"/>
                  </w:rPr>
                </w:pPr>
                <w:r>
                  <w:rPr>
                    <w:rFonts w:hint="default"/>
                    <w:b w:val="0"/>
                    <w:bCs w:val="0"/>
                    <w:kern w:val="2"/>
                    <w:sz w:val="20"/>
                    <w:szCs w:val="20"/>
                    <w:vertAlign w:val="baseline"/>
                    <w:lang w:val="en-US"/>
                  </w:rPr>
                  <w:t>Learning and Growth</w:t>
                </w:r>
              </w:p>
            </w:tc>
            <w:tc>
              <w:tcPr>
                <w:tcW w:w="3081" w:type="dxa"/>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default"/>
                    <w:b w:val="0"/>
                    <w:bCs w:val="0"/>
                    <w:kern w:val="2"/>
                    <w:sz w:val="20"/>
                    <w:szCs w:val="20"/>
                    <w:vertAlign w:val="baseline"/>
                    <w:lang w:val="en-US"/>
                  </w:rPr>
                </w:pPr>
                <w:r>
                  <w:rPr>
                    <w:rFonts w:hint="default"/>
                    <w:b w:val="0"/>
                    <w:bCs w:val="0"/>
                    <w:kern w:val="2"/>
                    <w:sz w:val="20"/>
                    <w:szCs w:val="20"/>
                    <w:vertAlign w:val="baseline"/>
                    <w:lang w:val="en-US"/>
                  </w:rPr>
                  <w:t>Employee Development</w:t>
                </w:r>
              </w:p>
            </w:tc>
            <w:tc>
              <w:tcPr>
                <w:tcW w:w="3081" w:type="dxa"/>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default"/>
                    <w:b w:val="0"/>
                    <w:bCs w:val="0"/>
                    <w:kern w:val="2"/>
                    <w:sz w:val="20"/>
                    <w:szCs w:val="20"/>
                    <w:vertAlign w:val="baseline"/>
                    <w:lang w:val="en-US"/>
                  </w:rPr>
                </w:pPr>
                <w:r>
                  <w:rPr>
                    <w:rFonts w:hint="default"/>
                    <w:b w:val="0"/>
                    <w:bCs w:val="0"/>
                    <w:kern w:val="2"/>
                    <w:sz w:val="20"/>
                    <w:szCs w:val="20"/>
                    <w:vertAlign w:val="baseline"/>
                    <w:lang w:val="en-US"/>
                  </w:rPr>
                  <w:t>Staff skills improvement and growth investment intensity increase</w:t>
                </w:r>
              </w:p>
            </w:tc>
          </w:tr>
          <w:tr>
            <w:tc>
              <w:tcPr>
                <w:tcW w:w="3080"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default"/>
                    <w:b w:val="0"/>
                    <w:bCs w:val="0"/>
                    <w:kern w:val="2"/>
                    <w:sz w:val="20"/>
                    <w:szCs w:val="20"/>
                    <w:vertAlign w:val="baseline"/>
                    <w:lang w:val="en-US"/>
                  </w:rPr>
                </w:pPr>
              </w:p>
            </w:tc>
            <w:tc>
              <w:tcPr>
                <w:tcW w:w="3081" w:type="dxa"/>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default"/>
                    <w:b w:val="0"/>
                    <w:bCs w:val="0"/>
                    <w:kern w:val="2"/>
                    <w:sz w:val="20"/>
                    <w:szCs w:val="20"/>
                    <w:vertAlign w:val="baseline"/>
                    <w:lang w:val="en-US"/>
                  </w:rPr>
                </w:pPr>
                <w:r>
                  <w:rPr>
                    <w:rFonts w:hint="default"/>
                    <w:b w:val="0"/>
                    <w:bCs w:val="0"/>
                    <w:kern w:val="2"/>
                    <w:sz w:val="20"/>
                    <w:szCs w:val="20"/>
                    <w:vertAlign w:val="baseline"/>
                    <w:lang w:val="en-US"/>
                  </w:rPr>
                  <w:t>Error rate in jobs done’s control</w:t>
                </w:r>
              </w:p>
            </w:tc>
            <w:tc>
              <w:tcPr>
                <w:tcW w:w="3081" w:type="dxa"/>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default"/>
                    <w:b w:val="0"/>
                    <w:bCs w:val="0"/>
                    <w:kern w:val="2"/>
                    <w:sz w:val="20"/>
                    <w:szCs w:val="20"/>
                    <w:vertAlign w:val="baseline"/>
                    <w:lang w:val="en-US"/>
                  </w:rPr>
                </w:pPr>
                <w:r>
                  <w:rPr>
                    <w:rFonts w:hint="default"/>
                    <w:b w:val="0"/>
                    <w:bCs w:val="0"/>
                    <w:kern w:val="2"/>
                    <w:sz w:val="20"/>
                    <w:szCs w:val="20"/>
                    <w:vertAlign w:val="baseline"/>
                    <w:lang w:val="en-US"/>
                  </w:rPr>
                  <w:t>Quality management has been significantly improved, and the error rate has been significantly reduced</w:t>
                </w:r>
              </w:p>
            </w:tc>
          </w:tr>
          <w:tr>
            <w:tc>
              <w:tcPr>
                <w:tcW w:w="3080" w:type="dxa"/>
                <w:vMerge w:val="continue"/>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default"/>
                    <w:b w:val="0"/>
                    <w:bCs w:val="0"/>
                    <w:kern w:val="2"/>
                    <w:sz w:val="20"/>
                    <w:szCs w:val="20"/>
                    <w:vertAlign w:val="baseline"/>
                    <w:lang w:val="en-US"/>
                  </w:rPr>
                </w:pPr>
              </w:p>
            </w:tc>
            <w:tc>
              <w:tcPr>
                <w:tcW w:w="3081" w:type="dxa"/>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default"/>
                    <w:b w:val="0"/>
                    <w:bCs w:val="0"/>
                    <w:kern w:val="2"/>
                    <w:sz w:val="20"/>
                    <w:szCs w:val="20"/>
                    <w:vertAlign w:val="baseline"/>
                    <w:lang w:val="en-US"/>
                  </w:rPr>
                </w:pPr>
                <w:r>
                  <w:rPr>
                    <w:rFonts w:hint="default"/>
                    <w:b w:val="0"/>
                    <w:bCs w:val="0"/>
                    <w:kern w:val="2"/>
                    <w:sz w:val="20"/>
                    <w:szCs w:val="20"/>
                    <w:vertAlign w:val="baseline"/>
                    <w:lang w:val="en-US"/>
                  </w:rPr>
                  <w:t>Employee retention</w:t>
                </w:r>
              </w:p>
            </w:tc>
            <w:tc>
              <w:tcPr>
                <w:tcW w:w="3081" w:type="dxa"/>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default"/>
                    <w:b w:val="0"/>
                    <w:bCs w:val="0"/>
                    <w:kern w:val="2"/>
                    <w:sz w:val="20"/>
                    <w:szCs w:val="20"/>
                    <w:vertAlign w:val="baseline"/>
                    <w:lang w:val="en-US"/>
                  </w:rPr>
                </w:pPr>
                <w:r>
                  <w:rPr>
                    <w:rFonts w:hint="default"/>
                    <w:b w:val="0"/>
                    <w:bCs w:val="0"/>
                    <w:kern w:val="2"/>
                    <w:sz w:val="20"/>
                    <w:szCs w:val="20"/>
                    <w:vertAlign w:val="baseline"/>
                    <w:lang w:val="en-US"/>
                  </w:rPr>
                  <w:t>Significant improvement, indicating improved human resource practices and working environment</w:t>
                </w:r>
              </w:p>
            </w:tc>
          </w:tr>
        </w:tbl>
        <w:p>
          <w:pPr>
            <w:keepNext w:val="0"/>
            <w:keepLines w:val="0"/>
            <w:pageBreakBefore w:val="0"/>
            <w:widowControl w:val="0"/>
            <w:numPr>
              <w:ilvl w:val="0"/>
              <w:numId w:val="0"/>
            </w:numPr>
            <w:kinsoku/>
            <w:wordWrap/>
            <w:overflowPunct/>
            <w:topLinePunct w:val="0"/>
            <w:autoSpaceDE/>
            <w:autoSpaceDN/>
            <w:bidi w:val="0"/>
            <w:adjustRightInd/>
            <w:snapToGrid/>
            <w:spacing w:after="0" w:line="480" w:lineRule="auto"/>
            <w:ind w:leftChars="0" w:firstLine="440" w:firstLineChars="200"/>
            <w:textAlignment w:val="auto"/>
            <w:rPr>
              <w:rFonts w:hint="default"/>
              <w:b w:val="0"/>
              <w:bCs w:val="0"/>
              <w:sz w:val="22"/>
              <w:szCs w:val="22"/>
              <w:lang w:val="en-US"/>
            </w:rPr>
          </w:pPr>
          <w:r>
            <w:rPr>
              <w:rFonts w:hint="default"/>
              <w:b w:val="0"/>
              <w:bCs w:val="0"/>
              <w:sz w:val="22"/>
              <w:szCs w:val="22"/>
              <w:lang w:val="en-US"/>
            </w:rPr>
            <w:t>Nonetheless, the Balanced Scorecard may not always be the optimal tool for assessing enterprise performance management, nor does it necessarily advance corporate progress in two critical areas. Initially, it lacks applicability to strategy formulation; as Kaplan and Norton have noted, its effective implementation presupposes an existing consensus on corporate strategy. Furthermore, it does not serve as a method for enhancing operational processes</w:t>
          </w:r>
          <w:r>
            <w:rPr>
              <w:rFonts w:hint="eastAsia" w:eastAsia="宋体"/>
              <w:b w:val="0"/>
              <w:bCs w:val="0"/>
              <w:sz w:val="22"/>
              <w:szCs w:val="22"/>
              <w:lang w:val="en-US" w:eastAsia="zh-CN"/>
            </w:rPr>
            <w:t xml:space="preserve"> </w:t>
          </w:r>
          <w:r>
            <w:rPr>
              <w:rFonts w:hint="default"/>
              <w:b w:val="0"/>
              <w:bCs w:val="0"/>
              <w:sz w:val="22"/>
              <w:szCs w:val="22"/>
              <w:lang w:val="en-US" w:eastAsia="zh-CN"/>
            </w:rPr>
            <w:t>(Tuan, 2020) [20]</w:t>
          </w:r>
          <w:r>
            <w:rPr>
              <w:rFonts w:hint="default"/>
              <w:b w:val="0"/>
              <w:bCs w:val="0"/>
              <w:sz w:val="22"/>
              <w:szCs w:val="22"/>
              <w:lang w:val="en-US"/>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auto"/>
            <w:ind w:leftChars="0" w:firstLine="440" w:firstLineChars="200"/>
            <w:textAlignment w:val="auto"/>
            <w:rPr>
              <w:rFonts w:hint="default" w:eastAsia="宋体"/>
              <w:b w:val="0"/>
              <w:bCs w:val="0"/>
              <w:sz w:val="22"/>
              <w:szCs w:val="22"/>
              <w:lang w:val="en-US" w:eastAsia="zh-CN"/>
            </w:rPr>
          </w:pPr>
          <w:r>
            <w:rPr>
              <w:rFonts w:hint="default"/>
              <w:b w:val="0"/>
              <w:bCs w:val="0"/>
              <w:sz w:val="22"/>
              <w:szCs w:val="22"/>
              <w:lang w:val="en-US"/>
            </w:rPr>
            <w:t>The Balanced Scorecard marks a significant evolution from traditional performance evaluation methods, yet it is not without its drawbacks. Firstly, it demands high technical expertise, involves a substantial amount of work, and requires intricate operations with ongoing communication and feedback, leading to complex implementations and high costs (Akkermans and Oorschot, 2002) [26]. Secondly, determining the appropriate weight for various indicators across different levels presents challenges, particularly in quantifying some non-financial metrics</w:t>
          </w:r>
          <w:r>
            <w:rPr>
              <w:rFonts w:hint="eastAsia" w:eastAsia="宋体"/>
              <w:b w:val="0"/>
              <w:bCs w:val="0"/>
              <w:sz w:val="22"/>
              <w:szCs w:val="22"/>
              <w:lang w:val="en-US" w:eastAsia="zh-CN"/>
            </w:rPr>
            <w:t xml:space="preserve"> </w:t>
          </w:r>
          <w:r>
            <w:rPr>
              <w:rFonts w:hint="default"/>
              <w:b w:val="0"/>
              <w:bCs w:val="0"/>
              <w:sz w:val="22"/>
              <w:szCs w:val="22"/>
              <w:lang w:val="en-US"/>
            </w:rPr>
            <w:t>(Jackson, 2024) [27]. Lastly, its systematic and comprehensive nature necessitates guidance from experts, involvement from all company employees, and persistent, long-term adjustments and enhancements, placing greater demands on information systems and management skills (Jackson, 2024) [27].</w:t>
          </w:r>
        </w:p>
        <w:p>
          <w:pPr>
            <w:pStyle w:val="4"/>
            <w:keepNext/>
            <w:keepLines/>
            <w:pageBreakBefore w:val="0"/>
            <w:widowControl/>
            <w:kinsoku/>
            <w:wordWrap/>
            <w:overflowPunct/>
            <w:topLinePunct w:val="0"/>
            <w:autoSpaceDE/>
            <w:autoSpaceDN/>
            <w:bidi w:val="0"/>
            <w:adjustRightInd/>
            <w:snapToGrid/>
            <w:spacing w:before="0" w:beforeLines="0" w:after="0" w:afterLines="0" w:line="480" w:lineRule="auto"/>
            <w:ind w:firstLine="0" w:firstLineChars="0"/>
            <w:textAlignment w:val="auto"/>
            <w:rPr>
              <w:rFonts w:hint="default"/>
              <w:b/>
              <w:bCs w:val="0"/>
              <w:color w:val="000000" w:themeColor="text1"/>
              <w:sz w:val="24"/>
              <w:szCs w:val="24"/>
              <w:lang w:val="en-US"/>
              <w14:textFill>
                <w14:solidFill>
                  <w14:schemeClr w14:val="tx1"/>
                </w14:solidFill>
              </w14:textFill>
            </w:rPr>
          </w:pPr>
          <w:bookmarkStart w:id="10" w:name="_Toc713452682"/>
          <w:r>
            <w:rPr>
              <w:rFonts w:hint="default"/>
              <w:b/>
              <w:bCs w:val="0"/>
              <w:color w:val="000000" w:themeColor="text1"/>
              <w:sz w:val="24"/>
              <w:szCs w:val="24"/>
              <w:lang w:val="en-US"/>
              <w14:textFill>
                <w14:solidFill>
                  <w14:schemeClr w14:val="tx1"/>
                </w14:solidFill>
              </w14:textFill>
            </w:rPr>
            <w:t>2.2.3 The need for business process reengineering</w:t>
          </w:r>
          <w:bookmarkEnd w:id="10"/>
          <w:r>
            <w:rPr>
              <w:rFonts w:hint="default"/>
              <w:b/>
              <w:bCs w:val="0"/>
              <w:color w:val="000000" w:themeColor="text1"/>
              <w:sz w:val="24"/>
              <w:szCs w:val="24"/>
              <w:lang w:val="en-US"/>
              <w14:textFill>
                <w14:solidFill>
                  <w14:schemeClr w14:val="tx1"/>
                </w14:solidFill>
              </w14:textFill>
            </w:rPr>
            <w:t xml:space="preserve"> </w:t>
          </w:r>
          <w:r>
            <w:rPr>
              <w:rFonts w:hint="default"/>
              <w:b/>
              <w:bCs w:val="0"/>
              <w:color w:val="000000" w:themeColor="text1"/>
              <w:sz w:val="24"/>
              <w:szCs w:val="24"/>
              <w:lang w:val="en-US"/>
              <w14:textFill>
                <w14:solidFill>
                  <w14:schemeClr w14:val="tx1"/>
                </w14:solidFill>
              </w14:textFill>
            </w:rPr>
            <w:tab/>
          </w:r>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Business process reengineering typically involves the restructuring and enhancement of company strategies, value-adding operational procedures, and the supporting systems, policies, organizational frameworks, and infrastructures, aiming to optimize workflow efficiency and overall productivity (Bhaskar and Singh, 2014) [28].This approach prioritizes business processes as the core of transformation, with customer needs and satisfaction as the primary objectives. It entails a fundamental reevaluation and radical redesign of current processes, utilizing cutting-edge manufacturing technologies, information systems, and contemporary management techniques to maximize integration of technical and managerial functions, thereby dismantling traditional departmental organizational structures (O’Neill and Sohal, 1999) [29]. Create a novel organizational structure for processes to substantially enhance the cost-effectiveness, quality, service, and speed of business operations. Business process reengineering represents a critical strategic action for enterprises aiming to boost efficiency, lower costs, and increase competitive edge</w:t>
          </w:r>
          <w:r>
            <w:rPr>
              <w:rFonts w:hint="eastAsia" w:eastAsia="宋体"/>
              <w:lang w:val="en-US" w:eastAsia="zh-CN"/>
            </w:rPr>
            <w:t xml:space="preserve"> </w:t>
          </w:r>
          <w:r>
            <w:rPr>
              <w:rFonts w:hint="default"/>
              <w:lang w:val="en-US"/>
            </w:rPr>
            <w:t xml:space="preserve">(Goksoy et al., 20) [30]. </w:t>
          </w:r>
        </w:p>
        <w:p>
          <w:pPr>
            <w:keepNext w:val="0"/>
            <w:keepLines w:val="0"/>
            <w:pageBreakBefore w:val="0"/>
            <w:widowControl/>
            <w:numPr>
              <w:ilvl w:val="0"/>
              <w:numId w:val="13"/>
            </w:numPr>
            <w:kinsoku/>
            <w:wordWrap/>
            <w:overflowPunct/>
            <w:topLinePunct w:val="0"/>
            <w:autoSpaceDE/>
            <w:autoSpaceDN/>
            <w:bidi w:val="0"/>
            <w:adjustRightInd/>
            <w:snapToGrid/>
            <w:spacing w:after="0" w:line="480" w:lineRule="auto"/>
            <w:ind w:left="0" w:leftChars="0" w:firstLine="440" w:firstLineChars="200"/>
            <w:textAlignment w:val="auto"/>
            <w:rPr>
              <w:rFonts w:hint="default"/>
              <w:b/>
              <w:bCs/>
              <w:lang w:val="en-US"/>
            </w:rPr>
          </w:pPr>
          <w:r>
            <w:rPr>
              <w:rFonts w:hint="default"/>
              <w:b/>
              <w:bCs/>
              <w:lang w:val="en-US"/>
            </w:rPr>
            <w:t xml:space="preserve"> Reasons why Defoe needs to business process reengineering</w:t>
          </w:r>
        </w:p>
        <w:p>
          <w:pPr>
            <w:keepNext w:val="0"/>
            <w:keepLines w:val="0"/>
            <w:pageBreakBefore w:val="0"/>
            <w:widowControl/>
            <w:numPr>
              <w:ilvl w:val="0"/>
              <w:numId w:val="14"/>
            </w:numPr>
            <w:kinsoku/>
            <w:wordWrap/>
            <w:overflowPunct/>
            <w:topLinePunct w:val="0"/>
            <w:autoSpaceDE/>
            <w:autoSpaceDN/>
            <w:bidi w:val="0"/>
            <w:adjustRightInd/>
            <w:snapToGrid/>
            <w:spacing w:after="0" w:line="480" w:lineRule="auto"/>
            <w:ind w:firstLine="440" w:firstLineChars="200"/>
            <w:textAlignment w:val="auto"/>
            <w:rPr>
              <w:rFonts w:hint="default"/>
              <w:b/>
              <w:bCs/>
              <w:lang w:val="en-US"/>
            </w:rPr>
          </w:pPr>
          <w:r>
            <w:rPr>
              <w:rFonts w:hint="default"/>
              <w:b/>
              <w:bCs/>
              <w:lang w:val="en-US"/>
            </w:rPr>
            <w:t>The need for expansion in business operations.</w:t>
          </w:r>
        </w:p>
        <w:p>
          <w:pPr>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default"/>
              <w:lang w:val="en-US"/>
            </w:rPr>
            <w:t>It is losing market share because it operates in too few areas. At present, the footwear industry is faced with two choices: first, continue to follow the luxury brand strategy and change the pricing policy to penetration pricing to maintain the existing market share; second, like other similar companies, expand their business fields, selling not only footwear products, but also clothing and perfume to achieve multi-field development.</w:t>
          </w:r>
        </w:p>
        <w:p>
          <w:pPr>
            <w:keepNext w:val="0"/>
            <w:keepLines w:val="0"/>
            <w:pageBreakBefore w:val="0"/>
            <w:widowControl/>
            <w:numPr>
              <w:ilvl w:val="0"/>
              <w:numId w:val="14"/>
            </w:numPr>
            <w:kinsoku/>
            <w:wordWrap/>
            <w:overflowPunct/>
            <w:topLinePunct w:val="0"/>
            <w:autoSpaceDE/>
            <w:autoSpaceDN/>
            <w:bidi w:val="0"/>
            <w:adjustRightInd/>
            <w:snapToGrid/>
            <w:spacing w:after="0" w:line="480" w:lineRule="auto"/>
            <w:ind w:left="0" w:leftChars="0" w:firstLine="440" w:firstLineChars="200"/>
            <w:textAlignment w:val="auto"/>
            <w:rPr>
              <w:rFonts w:hint="default"/>
              <w:b/>
              <w:bCs/>
              <w:lang w:val="en-US"/>
            </w:rPr>
          </w:pPr>
          <w:r>
            <w:rPr>
              <w:rFonts w:hint="default"/>
              <w:b/>
              <w:bCs/>
              <w:lang w:val="en-US"/>
            </w:rPr>
            <w:t>The need for overseas market expansion</w:t>
          </w:r>
        </w:p>
        <w:p>
          <w:pPr>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40" w:firstLineChars="200"/>
            <w:textAlignment w:val="auto"/>
            <w:rPr>
              <w:rFonts w:hint="default" w:eastAsia="宋体"/>
              <w:lang w:val="en-US" w:eastAsia="zh-CN"/>
            </w:rPr>
          </w:pPr>
          <w:r>
            <w:rPr>
              <w:rFonts w:hint="default"/>
              <w:lang w:val="en-US"/>
            </w:rPr>
            <w:t>At present, Defoe's market is concentrated in the United Kingdom and other European regions, and it is necessary to cooperate with other foreign enterprises in order to sell to China, the United States and the Middle East and other places to increase additional sales.</w:t>
          </w:r>
        </w:p>
        <w:p>
          <w:pPr>
            <w:keepNext w:val="0"/>
            <w:keepLines w:val="0"/>
            <w:pageBreakBefore w:val="0"/>
            <w:widowControl/>
            <w:numPr>
              <w:ilvl w:val="0"/>
              <w:numId w:val="13"/>
            </w:numPr>
            <w:kinsoku/>
            <w:wordWrap/>
            <w:overflowPunct/>
            <w:topLinePunct w:val="0"/>
            <w:autoSpaceDE/>
            <w:autoSpaceDN/>
            <w:bidi w:val="0"/>
            <w:adjustRightInd/>
            <w:snapToGrid/>
            <w:spacing w:after="0" w:line="480" w:lineRule="auto"/>
            <w:ind w:left="0" w:leftChars="0" w:firstLine="440" w:firstLineChars="200"/>
            <w:textAlignment w:val="auto"/>
            <w:rPr>
              <w:rFonts w:hint="eastAsia" w:eastAsia="宋体"/>
              <w:b/>
              <w:bCs/>
              <w:lang w:val="en-US" w:eastAsia="zh-CN"/>
            </w:rPr>
          </w:pPr>
          <w:r>
            <w:rPr>
              <w:rFonts w:hint="eastAsia" w:eastAsia="宋体"/>
              <w:b/>
              <w:bCs/>
              <w:lang w:val="en-US" w:eastAsia="zh-CN"/>
            </w:rPr>
            <w:t xml:space="preserve">The benefits of business process reengineering include: </w:t>
          </w:r>
        </w:p>
        <w:p>
          <w:pPr>
            <w:keepNext w:val="0"/>
            <w:keepLines w:val="0"/>
            <w:pageBreakBefore w:val="0"/>
            <w:widowControl/>
            <w:numPr>
              <w:ilvl w:val="0"/>
              <w:numId w:val="15"/>
            </w:numPr>
            <w:kinsoku/>
            <w:wordWrap/>
            <w:overflowPunct/>
            <w:topLinePunct w:val="0"/>
            <w:autoSpaceDE/>
            <w:autoSpaceDN/>
            <w:bidi w:val="0"/>
            <w:adjustRightInd/>
            <w:snapToGrid/>
            <w:spacing w:after="0" w:line="480" w:lineRule="auto"/>
            <w:ind w:firstLine="440" w:firstLineChars="200"/>
            <w:textAlignment w:val="auto"/>
            <w:rPr>
              <w:rFonts w:hint="eastAsia" w:eastAsia="宋体"/>
              <w:b/>
              <w:bCs/>
              <w:lang w:val="en-US" w:eastAsia="zh-CN"/>
            </w:rPr>
          </w:pPr>
          <w:r>
            <w:rPr>
              <w:rFonts w:hint="eastAsia" w:eastAsia="宋体"/>
              <w:b/>
              <w:bCs/>
              <w:lang w:val="en-US" w:eastAsia="zh-CN"/>
            </w:rPr>
            <w:t xml:space="preserve">Improve efficiency: </w:t>
          </w:r>
        </w:p>
        <w:p>
          <w:pPr>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40" w:firstLineChars="200"/>
            <w:textAlignment w:val="auto"/>
            <w:rPr>
              <w:rFonts w:hint="eastAsia" w:eastAsia="宋体"/>
              <w:lang w:val="en-US" w:eastAsia="zh-CN"/>
            </w:rPr>
          </w:pPr>
          <w:r>
            <w:rPr>
              <w:rFonts w:hint="eastAsia" w:eastAsia="宋体"/>
              <w:lang w:val="en-US" w:eastAsia="zh-CN"/>
            </w:rPr>
            <w:t>By optimizing business processes and eliminating several steps and inefficient links, you can improve work efficiency and shorten the product or service delivery cycle, thereby improving the overall effectiveness of the organization (Cheng and Ying Jen Wang</w:t>
          </w:r>
          <w:r>
            <w:rPr>
              <w:rFonts w:hint="default" w:eastAsia="宋体"/>
              <w:lang w:val="en-US" w:eastAsia="zh-CN"/>
            </w:rPr>
            <w:t>, 2006</w:t>
          </w:r>
          <w:r>
            <w:rPr>
              <w:rFonts w:hint="eastAsia" w:eastAsia="宋体"/>
              <w:lang w:val="en-US" w:eastAsia="zh-CN"/>
            </w:rPr>
            <w:t>)</w:t>
          </w:r>
          <w:r>
            <w:rPr>
              <w:rFonts w:hint="default" w:eastAsia="宋体"/>
              <w:lang w:val="en-US" w:eastAsia="zh-CN"/>
            </w:rPr>
            <w:t xml:space="preserve"> [31]</w:t>
          </w:r>
          <w:r>
            <w:rPr>
              <w:rFonts w:hint="eastAsia" w:eastAsia="宋体"/>
              <w:lang w:val="en-US" w:eastAsia="zh-CN"/>
            </w:rPr>
            <w:t xml:space="preserve">. </w:t>
          </w:r>
        </w:p>
        <w:p>
          <w:pPr>
            <w:keepNext w:val="0"/>
            <w:keepLines w:val="0"/>
            <w:pageBreakBefore w:val="0"/>
            <w:widowControl/>
            <w:numPr>
              <w:ilvl w:val="0"/>
              <w:numId w:val="15"/>
            </w:numPr>
            <w:kinsoku/>
            <w:wordWrap/>
            <w:overflowPunct/>
            <w:topLinePunct w:val="0"/>
            <w:autoSpaceDE/>
            <w:autoSpaceDN/>
            <w:bidi w:val="0"/>
            <w:adjustRightInd/>
            <w:snapToGrid/>
            <w:spacing w:after="0" w:line="480" w:lineRule="auto"/>
            <w:ind w:left="0" w:leftChars="0" w:firstLine="440" w:firstLineChars="200"/>
            <w:textAlignment w:val="auto"/>
            <w:rPr>
              <w:rFonts w:hint="eastAsia" w:eastAsia="宋体"/>
              <w:b/>
              <w:bCs/>
              <w:lang w:val="en-US" w:eastAsia="zh-CN"/>
            </w:rPr>
          </w:pPr>
          <w:r>
            <w:rPr>
              <w:rFonts w:hint="eastAsia" w:eastAsia="宋体"/>
              <w:b/>
              <w:bCs/>
              <w:lang w:val="en-US" w:eastAsia="zh-CN"/>
            </w:rPr>
            <w:t xml:space="preserve">Cost reduction: </w:t>
          </w:r>
        </w:p>
        <w:p>
          <w:pPr>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40" w:firstLineChars="200"/>
            <w:textAlignment w:val="auto"/>
            <w:rPr>
              <w:rFonts w:hint="eastAsia" w:eastAsia="宋体"/>
              <w:lang w:val="en-US" w:eastAsia="zh-CN"/>
            </w:rPr>
          </w:pPr>
          <w:r>
            <w:rPr>
              <w:rFonts w:hint="eastAsia" w:eastAsia="宋体"/>
              <w:lang w:val="en-US" w:eastAsia="zh-CN"/>
            </w:rPr>
            <w:t>Streamlining business processes can reduce waste of resources, reduce operating costs, and improve profit margins. Through process reengineering, organizations can use resources more effectively and achieve cost control</w:t>
          </w:r>
          <w:r>
            <w:rPr>
              <w:rFonts w:hint="default" w:eastAsia="宋体"/>
              <w:lang w:val="en-US" w:eastAsia="zh-CN"/>
            </w:rPr>
            <w:t xml:space="preserve"> </w:t>
          </w:r>
          <w:r>
            <w:rPr>
              <w:rFonts w:hint="eastAsia" w:eastAsia="宋体"/>
              <w:lang w:val="en-US" w:eastAsia="zh-CN"/>
            </w:rPr>
            <w:t xml:space="preserve">(Bhaskar and Singh, 2014) [28]. </w:t>
          </w:r>
        </w:p>
        <w:p>
          <w:pPr>
            <w:keepNext w:val="0"/>
            <w:keepLines w:val="0"/>
            <w:pageBreakBefore w:val="0"/>
            <w:widowControl/>
            <w:numPr>
              <w:ilvl w:val="0"/>
              <w:numId w:val="15"/>
            </w:numPr>
            <w:kinsoku/>
            <w:wordWrap/>
            <w:overflowPunct/>
            <w:topLinePunct w:val="0"/>
            <w:autoSpaceDE/>
            <w:autoSpaceDN/>
            <w:bidi w:val="0"/>
            <w:adjustRightInd/>
            <w:snapToGrid/>
            <w:spacing w:after="0" w:line="480" w:lineRule="auto"/>
            <w:ind w:left="0" w:leftChars="0" w:firstLine="440" w:firstLineChars="200"/>
            <w:textAlignment w:val="auto"/>
            <w:rPr>
              <w:rFonts w:hint="eastAsia" w:eastAsia="宋体"/>
              <w:b/>
              <w:bCs/>
              <w:lang w:val="en-US" w:eastAsia="zh-CN"/>
            </w:rPr>
          </w:pPr>
          <w:r>
            <w:rPr>
              <w:rFonts w:hint="eastAsia" w:eastAsia="宋体"/>
              <w:b/>
              <w:bCs/>
              <w:lang w:val="en-US" w:eastAsia="zh-CN"/>
            </w:rPr>
            <w:t xml:space="preserve">Enhance competitiveness: </w:t>
          </w:r>
        </w:p>
        <w:p>
          <w:pPr>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40" w:firstLineChars="200"/>
            <w:textAlignment w:val="auto"/>
            <w:rPr>
              <w:rFonts w:hint="eastAsia" w:eastAsia="宋体"/>
              <w:lang w:val="en-US" w:eastAsia="zh-CN"/>
            </w:rPr>
          </w:pPr>
          <w:r>
            <w:rPr>
              <w:rFonts w:hint="eastAsia" w:eastAsia="宋体"/>
              <w:lang w:val="en-US" w:eastAsia="zh-CN"/>
            </w:rPr>
            <w:t xml:space="preserve">Optimizing business processes can improve product or service quality, enhance customer satisfaction, and improve market competitiveness. Reorganizing business processes helps organizations adapt more quickly to market changes and better grasp business opportunities. </w:t>
          </w:r>
        </w:p>
        <w:p>
          <w:pPr>
            <w:keepNext w:val="0"/>
            <w:keepLines w:val="0"/>
            <w:pageBreakBefore w:val="0"/>
            <w:widowControl/>
            <w:numPr>
              <w:ilvl w:val="0"/>
              <w:numId w:val="15"/>
            </w:numPr>
            <w:kinsoku/>
            <w:wordWrap/>
            <w:overflowPunct/>
            <w:topLinePunct w:val="0"/>
            <w:autoSpaceDE/>
            <w:autoSpaceDN/>
            <w:bidi w:val="0"/>
            <w:adjustRightInd/>
            <w:snapToGrid/>
            <w:spacing w:after="0" w:line="480" w:lineRule="auto"/>
            <w:ind w:left="0" w:leftChars="0" w:firstLine="440" w:firstLineChars="200"/>
            <w:textAlignment w:val="auto"/>
            <w:rPr>
              <w:rFonts w:hint="eastAsia" w:eastAsia="宋体"/>
              <w:b/>
              <w:bCs/>
              <w:lang w:val="en-US" w:eastAsia="zh-CN"/>
            </w:rPr>
          </w:pPr>
          <w:r>
            <w:rPr>
              <w:rFonts w:hint="eastAsia" w:eastAsia="宋体"/>
              <w:b/>
              <w:bCs/>
              <w:lang w:val="en-US" w:eastAsia="zh-CN"/>
            </w:rPr>
            <w:t xml:space="preserve">Fostering innovation: </w:t>
          </w:r>
        </w:p>
        <w:p>
          <w:pPr>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40" w:firstLineChars="200"/>
            <w:textAlignment w:val="auto"/>
            <w:rPr>
              <w:rFonts w:hint="eastAsia" w:eastAsia="宋体"/>
              <w:lang w:val="en-US" w:eastAsia="zh-CN"/>
            </w:rPr>
          </w:pPr>
          <w:r>
            <w:rPr>
              <w:rFonts w:hint="eastAsia" w:eastAsia="宋体"/>
              <w:lang w:val="en-US" w:eastAsia="zh-CN"/>
            </w:rPr>
            <w:t>Business process reengineering can promote innovation within an organization and stimulate the potential and creativity of employees. By redesigning business processes. Organizations can break the stereotype and introduce new thinking and methods to promote the sustainable development of the organization.</w:t>
          </w:r>
        </w:p>
        <w:p>
          <w:pPr>
            <w:keepNext w:val="0"/>
            <w:keepLines w:val="0"/>
            <w:pageBreakBefore w:val="0"/>
            <w:widowControl/>
            <w:numPr>
              <w:ilvl w:val="0"/>
              <w:numId w:val="15"/>
            </w:numPr>
            <w:kinsoku/>
            <w:wordWrap/>
            <w:overflowPunct/>
            <w:topLinePunct w:val="0"/>
            <w:autoSpaceDE/>
            <w:autoSpaceDN/>
            <w:bidi w:val="0"/>
            <w:adjustRightInd/>
            <w:snapToGrid/>
            <w:spacing w:after="0" w:line="480" w:lineRule="auto"/>
            <w:ind w:left="0" w:leftChars="0" w:firstLine="440" w:firstLineChars="200"/>
            <w:textAlignment w:val="auto"/>
            <w:rPr>
              <w:rFonts w:hint="eastAsia" w:eastAsia="宋体"/>
              <w:b/>
              <w:bCs/>
              <w:lang w:val="en-US" w:eastAsia="zh-CN"/>
            </w:rPr>
          </w:pPr>
          <w:r>
            <w:rPr>
              <w:rFonts w:hint="eastAsia" w:eastAsia="宋体"/>
              <w:b/>
              <w:bCs/>
              <w:lang w:val="en-US" w:eastAsia="zh-CN"/>
            </w:rPr>
            <w:t>Clear Objectives:</w:t>
          </w:r>
        </w:p>
        <w:p>
          <w:pPr>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40" w:firstLineChars="200"/>
            <w:textAlignment w:val="auto"/>
          </w:pPr>
          <w:r>
            <w:rPr>
              <w:rFonts w:hint="eastAsia" w:eastAsia="宋体"/>
              <w:lang w:val="en-US" w:eastAsia="zh-CN"/>
            </w:rPr>
            <w:t>Aside from some well-known processes that operate within business application suites and certain mandatory compliance activities, many organizations lack a complete and documented understanding of their processes from start to finish. The initial phase of any effective business process reengineering effort involves gaining a thorough understanding of your existing business processes. This ensures that your automation efforts, if applicable, are focused correctly, thereby minimizing the potential for expensive errors in the future</w:t>
          </w:r>
          <w:r>
            <w:rPr>
              <w:rFonts w:hint="default" w:eastAsia="宋体"/>
              <w:lang w:val="en-US" w:eastAsia="zh-CN"/>
            </w:rPr>
            <w:t xml:space="preserve"> </w:t>
          </w:r>
          <w:r>
            <w:rPr>
              <w:rFonts w:hint="eastAsia" w:eastAsia="宋体"/>
              <w:lang w:val="en-US" w:eastAsia="zh-CN"/>
            </w:rPr>
            <w:t>(Bhaskar and Singh, 2014) [28]</w:t>
          </w:r>
          <w:r>
            <w:rPr>
              <w:rFonts w:hint="default" w:eastAsia="宋体"/>
              <w:lang w:val="en-US" w:eastAsia="zh-CN"/>
            </w:rPr>
            <w:t>.</w:t>
          </w:r>
        </w:p>
        <w:p>
          <w:pPr>
            <w:pStyle w:val="2"/>
            <w:pageBreakBefore w:val="0"/>
            <w:widowControl/>
            <w:kinsoku/>
            <w:wordWrap/>
            <w:overflowPunct/>
            <w:topLinePunct w:val="0"/>
            <w:autoSpaceDE/>
            <w:autoSpaceDN/>
            <w:bidi w:val="0"/>
            <w:adjustRightInd/>
            <w:snapToGrid/>
            <w:spacing w:line="480" w:lineRule="auto"/>
            <w:ind w:firstLine="640" w:firstLineChars="200"/>
            <w:textAlignment w:val="auto"/>
            <w:sectPr>
              <w:pgSz w:w="11906" w:h="16838"/>
              <w:pgMar w:top="1440" w:right="1800" w:bottom="1440" w:left="1800" w:header="708" w:footer="708" w:gutter="0"/>
              <w:pgNumType w:fmt="decimal"/>
              <w:cols w:space="708" w:num="1"/>
              <w:titlePg/>
              <w:docGrid w:linePitch="360" w:charSpace="0"/>
            </w:sectPr>
          </w:pPr>
        </w:p>
        <w:p>
          <w:pPr>
            <w:pStyle w:val="2"/>
            <w:numPr>
              <w:ilvl w:val="0"/>
              <w:numId w:val="1"/>
            </w:numPr>
            <w:spacing w:line="480" w:lineRule="auto"/>
            <w:ind w:left="0" w:leftChars="0" w:firstLine="0" w:firstLineChars="0"/>
            <w:rPr>
              <w:rFonts w:hint="default"/>
              <w:lang w:val="en-US"/>
            </w:rPr>
          </w:pPr>
          <w:bookmarkStart w:id="11" w:name="_Toc1598025173"/>
          <w:r>
            <w:t>Conclusion</w:t>
          </w:r>
          <w:bookmarkEnd w:id="11"/>
        </w:p>
        <w:p>
          <w:pPr>
            <w:keepNext w:val="0"/>
            <w:keepLines w:val="0"/>
            <w:pageBreakBefore w:val="0"/>
            <w:widowControl/>
            <w:kinsoku/>
            <w:wordWrap/>
            <w:overflowPunct/>
            <w:topLinePunct w:val="0"/>
            <w:autoSpaceDE/>
            <w:autoSpaceDN/>
            <w:bidi w:val="0"/>
            <w:adjustRightInd/>
            <w:snapToGrid/>
            <w:spacing w:after="0" w:line="480" w:lineRule="auto"/>
            <w:ind w:firstLine="440" w:firstLineChars="200"/>
            <w:textAlignment w:val="auto"/>
            <w:rPr>
              <w:rFonts w:hint="default"/>
              <w:lang w:val="en-US"/>
            </w:rPr>
          </w:pPr>
          <w:r>
            <w:rPr>
              <w:rFonts w:hint="eastAsia"/>
            </w:rPr>
            <w:t>This report analyzes the performance management of Wirral Manufacturing Ltd and the Defoe brand</w:t>
          </w:r>
          <w:r>
            <w:rPr>
              <w:rFonts w:hint="eastAsia" w:eastAsia="宋体"/>
              <w:lang w:val="en-US" w:eastAsia="zh-CN"/>
            </w:rPr>
            <w:t xml:space="preserve"> a</w:t>
          </w:r>
          <w:r>
            <w:rPr>
              <w:rFonts w:hint="eastAsia"/>
            </w:rPr>
            <w:t>nd draw the following conclusions</w:t>
          </w:r>
          <w:r>
            <w:rPr>
              <w:rFonts w:hint="default"/>
              <w:lang w:val="en-US"/>
            </w:rPr>
            <w:t>.</w:t>
          </w:r>
        </w:p>
        <w:p>
          <w:pPr>
            <w:keepNext w:val="0"/>
            <w:keepLines w:val="0"/>
            <w:pageBreakBefore w:val="0"/>
            <w:widowControl/>
            <w:numPr>
              <w:ilvl w:val="0"/>
              <w:numId w:val="16"/>
            </w:numPr>
            <w:kinsoku/>
            <w:wordWrap/>
            <w:overflowPunct/>
            <w:topLinePunct w:val="0"/>
            <w:autoSpaceDE/>
            <w:autoSpaceDN/>
            <w:bidi w:val="0"/>
            <w:adjustRightInd/>
            <w:snapToGrid/>
            <w:spacing w:after="0" w:line="480" w:lineRule="auto"/>
            <w:ind w:left="61" w:leftChars="0" w:firstLine="440" w:firstLineChars="200"/>
            <w:textAlignment w:val="auto"/>
            <w:rPr>
              <w:rFonts w:hint="eastAsia"/>
            </w:rPr>
          </w:pPr>
          <w:r>
            <w:rPr>
              <w:rFonts w:hint="eastAsia"/>
            </w:rPr>
            <w:t>The first part  is the analysis of WIRRAL FABRICATION PLC</w:t>
          </w:r>
        </w:p>
        <w:p>
          <w:pPr>
            <w:keepNext w:val="0"/>
            <w:keepLines w:val="0"/>
            <w:pageBreakBefore w:val="0"/>
            <w:widowControl/>
            <w:numPr>
              <w:ilvl w:val="0"/>
              <w:numId w:val="0"/>
            </w:numPr>
            <w:kinsoku/>
            <w:wordWrap/>
            <w:overflowPunct/>
            <w:topLinePunct w:val="0"/>
            <w:autoSpaceDE/>
            <w:autoSpaceDN/>
            <w:bidi w:val="0"/>
            <w:adjustRightInd/>
            <w:snapToGrid/>
            <w:spacing w:after="0" w:line="480" w:lineRule="auto"/>
            <w:ind w:left="61" w:leftChars="0" w:firstLine="440" w:firstLineChars="200"/>
            <w:textAlignment w:val="auto"/>
            <w:rPr>
              <w:rFonts w:hint="eastAsia"/>
            </w:rPr>
          </w:pPr>
          <w:r>
            <w:rPr>
              <w:rFonts w:hint="eastAsia"/>
            </w:rPr>
            <w:t>First</w:t>
          </w:r>
          <w:r>
            <w:rPr>
              <w:rFonts w:hint="eastAsia" w:eastAsia="宋体"/>
              <w:lang w:val="en-US" w:eastAsia="zh-CN"/>
            </w:rPr>
            <w:t>ly</w:t>
          </w:r>
          <w:r>
            <w:rPr>
              <w:rFonts w:hint="eastAsia"/>
            </w:rPr>
            <w:t>, it critically assesse</w:t>
          </w:r>
          <w:r>
            <w:rPr>
              <w:rFonts w:hint="default"/>
              <w:lang w:val="en-US"/>
            </w:rPr>
            <w:t>s</w:t>
          </w:r>
          <w:r>
            <w:rPr>
              <w:rFonts w:hint="eastAsia"/>
            </w:rPr>
            <w:t xml:space="preserve"> the performance of its departments </w:t>
          </w:r>
          <w:r>
            <w:rPr>
              <w:rFonts w:hint="eastAsia" w:eastAsia="宋体"/>
              <w:lang w:val="en-US" w:eastAsia="zh-CN"/>
            </w:rPr>
            <w:t>by</w:t>
          </w:r>
          <w:r>
            <w:rPr>
              <w:rFonts w:hint="default" w:eastAsia="宋体"/>
              <w:lang w:val="en-US" w:eastAsia="zh-CN"/>
            </w:rPr>
            <w:t xml:space="preserve"> using ROI,RI and EVA</w:t>
          </w:r>
          <w:r>
            <w:rPr>
              <w:rFonts w:hint="default" w:eastAsia="宋体"/>
              <w:vertAlign w:val="superscript"/>
              <w:lang w:val="en-US" w:eastAsia="zh-CN"/>
            </w:rPr>
            <w:t>TM</w:t>
          </w:r>
          <w:r>
            <w:rPr>
              <w:rFonts w:hint="eastAsia" w:eastAsia="宋体"/>
              <w:vertAlign w:val="superscript"/>
              <w:lang w:val="en-US" w:eastAsia="zh-CN"/>
            </w:rPr>
            <w:t xml:space="preserve"> </w:t>
          </w:r>
          <w:r>
            <w:rPr>
              <w:rFonts w:hint="eastAsia"/>
            </w:rPr>
            <w:t xml:space="preserve">and discusses measures related to departmental performance. </w:t>
          </w:r>
          <w:r>
            <w:rPr>
              <w:rFonts w:hint="default"/>
              <w:lang w:val="en-US"/>
            </w:rPr>
            <w:t>T</w:t>
          </w:r>
          <w:r>
            <w:rPr>
              <w:rFonts w:hint="eastAsia"/>
            </w:rPr>
            <w:t>he ROI of M/S and service departments is higher than the cost of capital, showing good investment efficiency. M/S has a higher ROI, indicating a more efficient use of its assets. Meanwhile, M/S 'high EVA™ reflects its excellent cost control and asset utilization, while the service division's low EVA™ suggests the need to improve its operational efficiency, but each of the three approaches has its advantages and disadvantages. Therefore, the proper use of these financial indicators can help optimize decision making and improve the overall performance of the company.</w:t>
          </w:r>
          <w:r>
            <w:rPr>
              <w:rFonts w:hint="default"/>
              <w:lang w:val="en-US"/>
            </w:rPr>
            <w:t xml:space="preserve"> </w:t>
          </w:r>
          <w:r>
            <w:rPr>
              <w:rFonts w:hint="eastAsia"/>
            </w:rPr>
            <w:t>Second</w:t>
          </w:r>
          <w:r>
            <w:rPr>
              <w:rFonts w:hint="default"/>
              <w:lang w:val="en-US"/>
            </w:rPr>
            <w:t>ly</w:t>
          </w:r>
          <w:r>
            <w:rPr>
              <w:rFonts w:hint="eastAsia"/>
            </w:rPr>
            <w:t xml:space="preserve">, it outlines the criteria for designing a transfer pricing system and evaluates the transfer prices of two departments using </w:t>
          </w:r>
          <w:r>
            <w:rPr>
              <w:rFonts w:hint="eastAsia" w:eastAsia="宋体"/>
              <w:lang w:val="en-US" w:eastAsia="zh-CN"/>
            </w:rPr>
            <w:t>market based</w:t>
          </w:r>
          <w:r>
            <w:rPr>
              <w:rFonts w:hint="eastAsia"/>
            </w:rPr>
            <w:t xml:space="preserve"> </w:t>
          </w:r>
          <w:r>
            <w:rPr>
              <w:rFonts w:hint="default"/>
              <w:lang w:val="en-US"/>
            </w:rPr>
            <w:t>pricing</w:t>
          </w:r>
          <w:r>
            <w:rPr>
              <w:rFonts w:hint="eastAsia" w:eastAsia="宋体"/>
              <w:lang w:val="en-US" w:eastAsia="zh-CN"/>
            </w:rPr>
            <w:t xml:space="preserve"> </w:t>
          </w:r>
          <w:r>
            <w:rPr>
              <w:rFonts w:hint="default" w:eastAsia="宋体"/>
              <w:lang w:val="en-US" w:eastAsia="zh-CN"/>
            </w:rPr>
            <w:t>and cost-plus pricing method</w:t>
          </w:r>
          <w:r>
            <w:rPr>
              <w:rFonts w:hint="eastAsia"/>
            </w:rPr>
            <w:t>. Wirral Fabrication plc's analysis showed that by optimizing transfer pricing, Wirral could improve management efficiency and the satisfaction of various departments.</w:t>
          </w:r>
          <w:r>
            <w:rPr>
              <w:rFonts w:hint="default"/>
              <w:lang w:val="en-US"/>
            </w:rPr>
            <w:t xml:space="preserve"> </w:t>
          </w:r>
          <w:r>
            <w:rPr>
              <w:rFonts w:hint="eastAsia"/>
            </w:rPr>
            <w:t>Third</w:t>
          </w:r>
          <w:r>
            <w:rPr>
              <w:rFonts w:hint="eastAsia" w:eastAsia="宋体"/>
              <w:lang w:val="en-US" w:eastAsia="zh-CN"/>
            </w:rPr>
            <w:t>ly</w:t>
          </w:r>
          <w:r>
            <w:rPr>
              <w:rFonts w:hint="eastAsia"/>
            </w:rPr>
            <w:t>, it evaluates the potential impact of the new executive information system adopted on performance management.</w:t>
          </w:r>
          <w:r>
            <w:rPr>
              <w:rFonts w:hint="default"/>
              <w:lang w:val="en-US"/>
            </w:rPr>
            <w:t xml:space="preserve"> W</w:t>
          </w:r>
          <w:r>
            <w:rPr>
              <w:rFonts w:hint="eastAsia"/>
            </w:rPr>
            <w:t xml:space="preserve">hich can significantly improve performance management. </w:t>
          </w:r>
        </w:p>
        <w:p>
          <w:pPr>
            <w:keepNext w:val="0"/>
            <w:keepLines w:val="0"/>
            <w:pageBreakBefore w:val="0"/>
            <w:widowControl/>
            <w:numPr>
              <w:ilvl w:val="0"/>
              <w:numId w:val="16"/>
            </w:numPr>
            <w:kinsoku/>
            <w:wordWrap/>
            <w:overflowPunct/>
            <w:topLinePunct w:val="0"/>
            <w:autoSpaceDE/>
            <w:autoSpaceDN/>
            <w:bidi w:val="0"/>
            <w:adjustRightInd/>
            <w:snapToGrid/>
            <w:spacing w:after="0" w:line="480" w:lineRule="auto"/>
            <w:ind w:left="61" w:leftChars="0" w:firstLine="440" w:firstLineChars="200"/>
            <w:textAlignment w:val="auto"/>
            <w:rPr>
              <w:rFonts w:hint="eastAsia"/>
            </w:rPr>
          </w:pPr>
          <w:r>
            <w:rPr>
              <w:rFonts w:hint="eastAsia"/>
            </w:rPr>
            <w:t>The second part  is the analysis of Defoe Brands</w:t>
          </w:r>
        </w:p>
        <w:p>
          <w:pPr>
            <w:keepNext w:val="0"/>
            <w:keepLines w:val="0"/>
            <w:pageBreakBefore w:val="0"/>
            <w:widowControl/>
            <w:numPr>
              <w:ilvl w:val="0"/>
              <w:numId w:val="0"/>
            </w:numPr>
            <w:kinsoku/>
            <w:wordWrap/>
            <w:overflowPunct/>
            <w:topLinePunct w:val="0"/>
            <w:autoSpaceDE/>
            <w:autoSpaceDN/>
            <w:bidi w:val="0"/>
            <w:adjustRightInd/>
            <w:snapToGrid/>
            <w:spacing w:after="0" w:line="480" w:lineRule="auto"/>
            <w:ind w:left="61" w:leftChars="0" w:firstLine="440" w:firstLineChars="200"/>
            <w:textAlignment w:val="auto"/>
            <w:rPr>
              <w:rFonts w:hint="eastAsia"/>
            </w:rPr>
          </w:pPr>
          <w:r>
            <w:rPr>
              <w:rFonts w:hint="default"/>
              <w:lang w:val="en-US"/>
            </w:rPr>
            <w:t>To start,</w:t>
          </w:r>
          <w:r>
            <w:rPr>
              <w:rFonts w:hint="eastAsia"/>
            </w:rPr>
            <w:t xml:space="preserve"> </w:t>
          </w:r>
          <w:r>
            <w:rPr>
              <w:rFonts w:hint="default"/>
              <w:lang w:val="en-US"/>
            </w:rPr>
            <w:t xml:space="preserve">this report </w:t>
          </w:r>
          <w:r>
            <w:rPr>
              <w:rFonts w:hint="eastAsia"/>
            </w:rPr>
            <w:t>analyze</w:t>
          </w:r>
          <w:r>
            <w:rPr>
              <w:rFonts w:hint="default"/>
              <w:lang w:val="en-US"/>
            </w:rPr>
            <w:t>d</w:t>
          </w:r>
          <w:r>
            <w:rPr>
              <w:rFonts w:hint="eastAsia"/>
            </w:rPr>
            <w:t xml:space="preserve"> the growth crisis faced by the company</w:t>
          </w:r>
          <w:r>
            <w:rPr>
              <w:rFonts w:hint="default"/>
              <w:lang w:val="en-US"/>
            </w:rPr>
            <w:t xml:space="preserve">. Defoe is facing a growth crisis on multiple fronts, such as structural inefficiencies, cost challenges and market pressures. Addressing these challenges requires a comprehensive strategic overhaul to improve structural design, diversify product lines, enhance customer payment options, and optimize the supply chain. Following that, </w:t>
          </w:r>
          <w:r>
            <w:rPr>
              <w:rFonts w:hint="eastAsia" w:eastAsia="宋体"/>
              <w:lang w:val="en-US" w:eastAsia="zh-CN"/>
            </w:rPr>
            <w:t xml:space="preserve">it is </w:t>
          </w:r>
          <w:r>
            <w:rPr>
              <w:rFonts w:hint="eastAsia"/>
            </w:rPr>
            <w:t>analyze</w:t>
          </w:r>
          <w:r>
            <w:rPr>
              <w:rFonts w:hint="eastAsia" w:eastAsia="宋体"/>
              <w:lang w:val="en-US" w:eastAsia="zh-CN"/>
            </w:rPr>
            <w:t>d</w:t>
          </w:r>
          <w:r>
            <w:rPr>
              <w:rFonts w:hint="eastAsia"/>
            </w:rPr>
            <w:t xml:space="preserve"> qualitatively and quantitatively </w:t>
          </w:r>
          <w:r>
            <w:rPr>
              <w:rFonts w:hint="default"/>
              <w:lang w:val="en-US"/>
            </w:rPr>
            <w:t>by</w:t>
          </w:r>
          <w:r>
            <w:rPr>
              <w:rFonts w:hint="eastAsia"/>
            </w:rPr>
            <w:t xml:space="preserve"> balanced scorecard</w:t>
          </w:r>
          <w:r>
            <w:rPr>
              <w:rFonts w:hint="default"/>
              <w:lang w:val="en-US"/>
            </w:rPr>
            <w:t>. On the financial front, the company's financial position is deteriorating. From a customer perspective, although customer satisfaction and online conversion rates have improved, it faces the challenge of product diversification. Internally, service efficiency has improved, but overall performance remains hampered by external market conditions. In terms of learning and growth, investment in human capital is emphasized. Overall, the Balanced Scorecard reveals a mixed but insightful picture of Defoe's current key areas of business and strategic improvement.</w:t>
          </w:r>
          <w:r>
            <w:rPr>
              <w:rFonts w:hint="eastAsia" w:eastAsia="宋体"/>
              <w:lang w:val="en-US" w:eastAsia="zh-CN"/>
            </w:rPr>
            <w:t xml:space="preserve"> </w:t>
          </w:r>
          <w:r>
            <w:rPr>
              <w:rFonts w:hint="default"/>
              <w:lang w:val="en-US"/>
            </w:rPr>
            <w:t>T</w:t>
          </w:r>
          <w:r>
            <w:rPr>
              <w:rFonts w:hint="eastAsia"/>
            </w:rPr>
            <w:t>o wrap u</w:t>
          </w:r>
          <w:r>
            <w:rPr>
              <w:rFonts w:hint="default"/>
              <w:lang w:val="en-US"/>
            </w:rPr>
            <w:t>p,</w:t>
          </w:r>
          <w:r>
            <w:rPr>
              <w:rFonts w:hint="eastAsia"/>
            </w:rPr>
            <w:t xml:space="preserve"> points out the need of business process reengineering. </w:t>
          </w:r>
        </w:p>
        <w:p>
          <w:pPr>
            <w:keepNext w:val="0"/>
            <w:keepLines w:val="0"/>
            <w:pageBreakBefore w:val="0"/>
            <w:widowControl/>
            <w:numPr>
              <w:ilvl w:val="0"/>
              <w:numId w:val="0"/>
            </w:numPr>
            <w:kinsoku/>
            <w:wordWrap/>
            <w:overflowPunct/>
            <w:topLinePunct w:val="0"/>
            <w:autoSpaceDE/>
            <w:autoSpaceDN/>
            <w:bidi w:val="0"/>
            <w:adjustRightInd/>
            <w:snapToGrid/>
            <w:spacing w:after="0" w:line="480" w:lineRule="auto"/>
            <w:ind w:left="61" w:leftChars="0" w:firstLine="440" w:firstLineChars="200"/>
            <w:textAlignment w:val="auto"/>
            <w:rPr>
              <w:rFonts w:hint="eastAsia"/>
            </w:rPr>
          </w:pPr>
          <w:r>
            <w:rPr>
              <w:rFonts w:hint="default"/>
              <w:lang w:val="en-US"/>
            </w:rPr>
            <w:t xml:space="preserve">In </w:t>
          </w:r>
          <w:r>
            <w:rPr>
              <w:rFonts w:hint="eastAsia" w:eastAsia="宋体"/>
              <w:lang w:val="en-US" w:eastAsia="zh-CN"/>
            </w:rPr>
            <w:t>short</w:t>
          </w:r>
          <w:r>
            <w:rPr>
              <w:rFonts w:hint="default" w:eastAsia="宋体"/>
              <w:lang w:val="en-US" w:eastAsia="zh-CN"/>
            </w:rPr>
            <w:t xml:space="preserve">, </w:t>
          </w:r>
          <w:r>
            <w:rPr>
              <w:rFonts w:hint="eastAsia"/>
            </w:rPr>
            <w:t>based on the performance management analysis of the above two cases, Performance management plays a very important role in the strategic planning of every company. Opportunities and challenges coexist. According to the current development situation of the company, the company needs to formulate business management strategies that are in line with the company, so as to improve corporate performance and enhance competitiveness.</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
        <w:p/>
        <w:p/>
        <w:p>
          <w:pPr>
            <w:pStyle w:val="2"/>
            <w:sectPr>
              <w:pgSz w:w="11906" w:h="16838"/>
              <w:pgMar w:top="1440" w:right="1800" w:bottom="1440" w:left="1800" w:header="708" w:footer="708" w:gutter="0"/>
              <w:pgNumType w:fmt="decimal"/>
              <w:cols w:space="708" w:num="1"/>
              <w:titlePg/>
              <w:docGrid w:linePitch="360" w:charSpace="0"/>
            </w:sectPr>
          </w:pPr>
        </w:p>
        <w:p>
          <w:pPr>
            <w:pStyle w:val="2"/>
          </w:pPr>
          <w:bookmarkStart w:id="12" w:name="_Toc1578593229"/>
          <w:r>
            <w:t>Bibliography</w:t>
          </w:r>
          <w:bookmarkEnd w:id="12"/>
        </w:p>
      </w:sdtContent>
    </w:sdt>
    <w:p>
      <w:pPr>
        <w:keepNext w:val="0"/>
        <w:keepLines w:val="0"/>
        <w:pageBreakBefore w:val="0"/>
        <w:widowControl/>
        <w:numPr>
          <w:ilvl w:val="0"/>
          <w:numId w:val="17"/>
        </w:numPr>
        <w:kinsoku/>
        <w:wordWrap/>
        <w:overflowPunct/>
        <w:topLinePunct w:val="0"/>
        <w:autoSpaceDE/>
        <w:autoSpaceDN/>
        <w:bidi w:val="0"/>
        <w:adjustRightInd/>
        <w:snapToGrid/>
        <w:spacing w:after="0" w:line="480" w:lineRule="auto"/>
        <w:textAlignment w:val="auto"/>
        <w:rPr>
          <w:rFonts w:hint="eastAsia" w:eastAsiaTheme="minorHAnsi"/>
          <w:color w:val="auto"/>
          <w:lang w:val="en-GB"/>
        </w:rPr>
      </w:pPr>
      <w:r>
        <w:rPr>
          <w:rFonts w:hint="eastAsia" w:eastAsiaTheme="minorHAnsi"/>
          <w:color w:val="auto"/>
          <w:lang w:val="en-GB"/>
        </w:rPr>
        <w:t>Armstrong, Michael, and Angela Baron. Managing Performance: Performance Management in Action. Chartered Institute of Personnel and Development, CIPD House, 2005, pp. 1–2.</w:t>
      </w:r>
    </w:p>
    <w:p>
      <w:pPr>
        <w:keepNext w:val="0"/>
        <w:keepLines w:val="0"/>
        <w:pageBreakBefore w:val="0"/>
        <w:widowControl/>
        <w:numPr>
          <w:ilvl w:val="0"/>
          <w:numId w:val="17"/>
        </w:numPr>
        <w:kinsoku/>
        <w:wordWrap/>
        <w:overflowPunct/>
        <w:topLinePunct w:val="0"/>
        <w:autoSpaceDE/>
        <w:autoSpaceDN/>
        <w:bidi w:val="0"/>
        <w:adjustRightInd/>
        <w:snapToGrid/>
        <w:spacing w:after="0" w:line="480" w:lineRule="auto"/>
        <w:textAlignment w:val="auto"/>
        <w:rPr>
          <w:rFonts w:hint="eastAsia" w:eastAsiaTheme="minorHAnsi"/>
          <w:color w:val="auto"/>
          <w:lang w:val="en-GB"/>
        </w:rPr>
      </w:pPr>
      <w:r>
        <w:rPr>
          <w:rFonts w:hint="eastAsia" w:eastAsiaTheme="minorHAnsi"/>
          <w:color w:val="auto"/>
          <w:lang w:val="en-GB"/>
        </w:rPr>
        <w:t>Ferreira, Aldónio, and David Otley. “The Design and Use of Performance Management Systems: An Extended Framework for Analysis.” Management Accounting Research, vol. 20, no. 4, Dec. 2009, pp. 263–282.</w:t>
      </w:r>
    </w:p>
    <w:p>
      <w:pPr>
        <w:keepNext w:val="0"/>
        <w:keepLines w:val="0"/>
        <w:pageBreakBefore w:val="0"/>
        <w:widowControl/>
        <w:numPr>
          <w:ilvl w:val="0"/>
          <w:numId w:val="17"/>
        </w:numPr>
        <w:kinsoku/>
        <w:wordWrap/>
        <w:overflowPunct/>
        <w:topLinePunct w:val="0"/>
        <w:autoSpaceDE/>
        <w:autoSpaceDN/>
        <w:bidi w:val="0"/>
        <w:adjustRightInd/>
        <w:snapToGrid/>
        <w:spacing w:after="0" w:line="480" w:lineRule="auto"/>
        <w:textAlignment w:val="auto"/>
        <w:rPr>
          <w:rFonts w:hint="eastAsia" w:eastAsiaTheme="minorHAnsi"/>
          <w:color w:val="auto"/>
          <w:lang w:val="en-GB"/>
        </w:rPr>
      </w:pPr>
      <w:r>
        <w:rPr>
          <w:rFonts w:hint="eastAsia" w:eastAsiaTheme="minorHAnsi"/>
          <w:color w:val="auto"/>
          <w:lang w:val="en-GB"/>
        </w:rPr>
        <w:t>Boyd, James William, et al. “Conservation Return on Investment Analysis: A Review of Results, Methods, and New Directions.” SSRN Electronic Journal, 2012, https://doi.org/10.2139/ssrn.1984709. Accessed 21 Apr. 2021.</w:t>
      </w:r>
    </w:p>
    <w:p>
      <w:pPr>
        <w:keepNext w:val="0"/>
        <w:keepLines w:val="0"/>
        <w:pageBreakBefore w:val="0"/>
        <w:widowControl/>
        <w:numPr>
          <w:ilvl w:val="0"/>
          <w:numId w:val="17"/>
        </w:numPr>
        <w:kinsoku/>
        <w:wordWrap/>
        <w:overflowPunct/>
        <w:topLinePunct w:val="0"/>
        <w:autoSpaceDE/>
        <w:autoSpaceDN/>
        <w:bidi w:val="0"/>
        <w:adjustRightInd/>
        <w:snapToGrid/>
        <w:spacing w:after="0" w:line="480" w:lineRule="auto"/>
        <w:textAlignment w:val="auto"/>
        <w:rPr>
          <w:rStyle w:val="12"/>
          <w:rFonts w:hint="eastAsia"/>
          <w:lang w:val="en-GB"/>
        </w:rPr>
      </w:pPr>
      <w:r>
        <w:rPr>
          <w:rFonts w:hint="eastAsia" w:eastAsiaTheme="minorHAnsi"/>
          <w:color w:val="auto"/>
          <w:lang w:val="en-GB"/>
        </w:rPr>
        <w:t>Beattie, Andrew. “How to Calculate Return on Investment – ROI.” Investopedia.com, 11 Aug. 2022,</w:t>
      </w:r>
      <w:r>
        <w:rPr>
          <w:rStyle w:val="12"/>
          <w:rFonts w:hint="eastAsia"/>
          <w:lang w:val="en-GB"/>
        </w:rPr>
        <w:t xml:space="preserve"> </w:t>
      </w:r>
      <w:r>
        <w:rPr>
          <w:rStyle w:val="12"/>
          <w:rFonts w:hint="eastAsia"/>
          <w:lang w:val="en-GB"/>
        </w:rPr>
        <w:fldChar w:fldCharType="begin"/>
      </w:r>
      <w:r>
        <w:rPr>
          <w:rStyle w:val="12"/>
          <w:rFonts w:hint="eastAsia"/>
          <w:lang w:val="en-GB"/>
        </w:rPr>
        <w:instrText xml:space="preserve"> HYPERLINK "http://www.investopedia.com/articles/basics/10/guide-to-calculating-roi.asp." </w:instrText>
      </w:r>
      <w:r>
        <w:rPr>
          <w:rStyle w:val="12"/>
          <w:rFonts w:hint="eastAsia"/>
          <w:lang w:val="en-GB"/>
        </w:rPr>
        <w:fldChar w:fldCharType="separate"/>
      </w:r>
      <w:r>
        <w:rPr>
          <w:rStyle w:val="12"/>
          <w:rFonts w:hint="eastAsia"/>
          <w:lang w:val="en-GB"/>
        </w:rPr>
        <w:t>www.investopedia.com/articles/basics/10/guide-to-calculating-roi.asp.</w:t>
      </w:r>
      <w:r>
        <w:rPr>
          <w:rStyle w:val="12"/>
          <w:rFonts w:hint="eastAsia"/>
          <w:lang w:val="en-GB"/>
        </w:rPr>
        <w:fldChar w:fldCharType="end"/>
      </w:r>
    </w:p>
    <w:p>
      <w:pPr>
        <w:keepNext w:val="0"/>
        <w:keepLines w:val="0"/>
        <w:pageBreakBefore w:val="0"/>
        <w:widowControl/>
        <w:numPr>
          <w:ilvl w:val="0"/>
          <w:numId w:val="17"/>
        </w:numPr>
        <w:kinsoku/>
        <w:wordWrap/>
        <w:overflowPunct/>
        <w:topLinePunct w:val="0"/>
        <w:autoSpaceDE/>
        <w:autoSpaceDN/>
        <w:bidi w:val="0"/>
        <w:adjustRightInd/>
        <w:snapToGrid/>
        <w:spacing w:after="0" w:line="480" w:lineRule="auto"/>
        <w:textAlignment w:val="auto"/>
      </w:pPr>
      <w:r>
        <w:rPr>
          <w:rFonts w:hint="eastAsia" w:eastAsiaTheme="minorHAnsi"/>
          <w:color w:val="auto"/>
          <w:lang w:val="en-GB"/>
        </w:rPr>
        <w:t>Murdoch, William , et al. “Maximizing Return on Investment in Conservation.” Biological Conservation, vol. 139, no. 0006-3207, Oct. 2007.</w:t>
      </w:r>
    </w:p>
    <w:p>
      <w:pPr>
        <w:keepNext w:val="0"/>
        <w:keepLines w:val="0"/>
        <w:pageBreakBefore w:val="0"/>
        <w:widowControl/>
        <w:numPr>
          <w:ilvl w:val="0"/>
          <w:numId w:val="17"/>
        </w:numPr>
        <w:kinsoku/>
        <w:wordWrap/>
        <w:overflowPunct/>
        <w:topLinePunct w:val="0"/>
        <w:autoSpaceDE/>
        <w:autoSpaceDN/>
        <w:bidi w:val="0"/>
        <w:adjustRightInd/>
        <w:snapToGrid/>
        <w:spacing w:after="0" w:line="480" w:lineRule="auto"/>
        <w:textAlignment w:val="auto"/>
      </w:pPr>
      <w:r>
        <w:rPr>
          <w:rFonts w:hint="eastAsia"/>
        </w:rPr>
        <w:t>Brewer, Peter C, et al. “Economic Value Added (EVA): Its Uses and - ProQuest.” Www.proquest.com, 1999, www.proquest.com/docview/231139687?pq-origsite=gscholar&amp;fromopenview=true&amp;sourcetype=Scholarly%20Journals. Accessed 26 Apr. 2024.</w:t>
      </w:r>
    </w:p>
    <w:p>
      <w:pPr>
        <w:keepNext w:val="0"/>
        <w:keepLines w:val="0"/>
        <w:pageBreakBefore w:val="0"/>
        <w:widowControl/>
        <w:numPr>
          <w:ilvl w:val="0"/>
          <w:numId w:val="17"/>
        </w:numPr>
        <w:kinsoku/>
        <w:wordWrap/>
        <w:overflowPunct/>
        <w:topLinePunct w:val="0"/>
        <w:autoSpaceDE/>
        <w:autoSpaceDN/>
        <w:bidi w:val="0"/>
        <w:adjustRightInd/>
        <w:snapToGrid/>
        <w:spacing w:after="0" w:line="480" w:lineRule="auto"/>
        <w:textAlignment w:val="auto"/>
      </w:pPr>
      <w:r>
        <w:rPr>
          <w:rFonts w:hint="eastAsia"/>
        </w:rPr>
        <w:t xml:space="preserve">Kenton, Will. “Residual Income.” Investopedia, 24 Mar. 2021, </w:t>
      </w:r>
      <w:r>
        <w:rPr>
          <w:rStyle w:val="12"/>
          <w:rFonts w:hint="eastAsia"/>
        </w:rPr>
        <w:fldChar w:fldCharType="begin"/>
      </w:r>
      <w:r>
        <w:rPr>
          <w:rStyle w:val="12"/>
          <w:rFonts w:hint="eastAsia"/>
        </w:rPr>
        <w:instrText xml:space="preserve"> HYPERLINK "http://www.investopedia.com/terms/r/residualincome.asp." </w:instrText>
      </w:r>
      <w:r>
        <w:rPr>
          <w:rStyle w:val="12"/>
          <w:rFonts w:hint="eastAsia"/>
        </w:rPr>
        <w:fldChar w:fldCharType="separate"/>
      </w:r>
      <w:r>
        <w:rPr>
          <w:rStyle w:val="12"/>
          <w:rFonts w:hint="eastAsia"/>
        </w:rPr>
        <w:t>www.investopedia.com/terms/r/residualincome.asp.</w:t>
      </w:r>
      <w:r>
        <w:rPr>
          <w:rStyle w:val="12"/>
          <w:rFonts w:hint="eastAsia"/>
        </w:rPr>
        <w:fldChar w:fldCharType="end"/>
      </w:r>
    </w:p>
    <w:p>
      <w:pPr>
        <w:keepNext w:val="0"/>
        <w:keepLines w:val="0"/>
        <w:pageBreakBefore w:val="0"/>
        <w:widowControl/>
        <w:numPr>
          <w:ilvl w:val="0"/>
          <w:numId w:val="17"/>
        </w:numPr>
        <w:kinsoku/>
        <w:wordWrap/>
        <w:overflowPunct/>
        <w:topLinePunct w:val="0"/>
        <w:autoSpaceDE/>
        <w:autoSpaceDN/>
        <w:bidi w:val="0"/>
        <w:adjustRightInd/>
        <w:snapToGrid/>
        <w:spacing w:after="0" w:line="480" w:lineRule="auto"/>
        <w:textAlignment w:val="auto"/>
      </w:pPr>
      <w:r>
        <w:rPr>
          <w:rFonts w:hint="eastAsia"/>
        </w:rPr>
        <w:t>Ohlson, James A. “Residual Income Valuation: The Problems.” SSRN Electronic Journal, 2000, https://doi.org/10.2139/ssrn.218748. Accessed 16 Apr. 2020.</w:t>
      </w:r>
    </w:p>
    <w:p>
      <w:pPr>
        <w:keepNext w:val="0"/>
        <w:keepLines w:val="0"/>
        <w:pageBreakBefore w:val="0"/>
        <w:widowControl/>
        <w:numPr>
          <w:ilvl w:val="0"/>
          <w:numId w:val="17"/>
        </w:numPr>
        <w:kinsoku/>
        <w:wordWrap/>
        <w:overflowPunct/>
        <w:topLinePunct w:val="0"/>
        <w:autoSpaceDE/>
        <w:autoSpaceDN/>
        <w:bidi w:val="0"/>
        <w:adjustRightInd/>
        <w:snapToGrid/>
        <w:spacing w:after="0" w:line="480" w:lineRule="auto"/>
        <w:textAlignment w:val="auto"/>
      </w:pPr>
      <w:r>
        <w:rPr>
          <w:rFonts w:hint="eastAsia"/>
        </w:rPr>
        <w:t xml:space="preserve">Sharma, Anil K., and Satish Kumar. “Economic Value Added (EVA) - Literature Review and Relevant Issues.” International Journal of Economics and Finance, vol. 2, no. 2, 15 Apr. 2010, </w:t>
      </w:r>
      <w:r>
        <w:rPr>
          <w:rStyle w:val="12"/>
          <w:rFonts w:hint="eastAsia"/>
        </w:rPr>
        <w:fldChar w:fldCharType="begin"/>
      </w:r>
      <w:r>
        <w:rPr>
          <w:rStyle w:val="12"/>
          <w:rFonts w:hint="eastAsia"/>
        </w:rPr>
        <w:instrText xml:space="preserve"> HYPERLINK "https://doi.org/10.5539/ijef.v2n2p200." </w:instrText>
      </w:r>
      <w:r>
        <w:rPr>
          <w:rStyle w:val="12"/>
          <w:rFonts w:hint="eastAsia"/>
        </w:rPr>
        <w:fldChar w:fldCharType="separate"/>
      </w:r>
      <w:r>
        <w:rPr>
          <w:rStyle w:val="12"/>
          <w:rFonts w:hint="eastAsia"/>
        </w:rPr>
        <w:t>https://doi.org/10.5539/ijef.v2n2p200.</w:t>
      </w:r>
      <w:r>
        <w:rPr>
          <w:rStyle w:val="12"/>
          <w:rFonts w:hint="eastAsia"/>
        </w:rPr>
        <w:fldChar w:fldCharType="end"/>
      </w:r>
    </w:p>
    <w:p>
      <w:pPr>
        <w:keepNext w:val="0"/>
        <w:keepLines w:val="0"/>
        <w:pageBreakBefore w:val="0"/>
        <w:widowControl/>
        <w:numPr>
          <w:ilvl w:val="0"/>
          <w:numId w:val="0"/>
        </w:numPr>
        <w:kinsoku/>
        <w:wordWrap/>
        <w:overflowPunct/>
        <w:topLinePunct w:val="0"/>
        <w:autoSpaceDE/>
        <w:autoSpaceDN/>
        <w:bidi w:val="0"/>
        <w:adjustRightInd/>
        <w:snapToGrid/>
        <w:spacing w:after="0" w:line="480" w:lineRule="auto"/>
        <w:textAlignment w:val="auto"/>
        <w:rPr>
          <w:rFonts w:hint="eastAsia"/>
        </w:rPr>
      </w:pPr>
      <w:r>
        <w:rPr>
          <w:rFonts w:hint="default"/>
          <w:lang w:val="en-US"/>
        </w:rPr>
        <w:t xml:space="preserve">[10] </w:t>
      </w:r>
      <w:r>
        <w:rPr>
          <w:rFonts w:hint="eastAsia"/>
        </w:rPr>
        <w:t>Gravens, Karen S. “Examining the Role of Transfer Pricing as a Strategy for Multinational Firms.” ScienceDirect, vol. 6, no. 2, 1997.</w:t>
      </w:r>
    </w:p>
    <w:p>
      <w:pPr>
        <w:keepNext w:val="0"/>
        <w:keepLines w:val="0"/>
        <w:pageBreakBefore w:val="0"/>
        <w:widowControl/>
        <w:kinsoku/>
        <w:wordWrap/>
        <w:overflowPunct/>
        <w:topLinePunct w:val="0"/>
        <w:autoSpaceDE/>
        <w:autoSpaceDN/>
        <w:bidi w:val="0"/>
        <w:adjustRightInd/>
        <w:snapToGrid/>
        <w:spacing w:after="0" w:line="480" w:lineRule="auto"/>
        <w:textAlignment w:val="auto"/>
        <w:rPr>
          <w:rFonts w:hint="eastAsia"/>
        </w:rPr>
      </w:pPr>
      <w:r>
        <w:rPr>
          <w:rFonts w:hint="default"/>
          <w:lang w:val="en-US"/>
        </w:rPr>
        <w:t xml:space="preserve">[11] </w:t>
      </w:r>
      <w:r>
        <w:rPr>
          <w:rFonts w:hint="eastAsia"/>
        </w:rPr>
        <w:t>Edlin, Aaron S, and Stefan Reichelstein. “Specific Investment under Negotiated Transfer Pricing: An Efficiency Result.” Uwtsd.ac.uk, 2024, www-jstor-org.ezproxy.uwtsd.ac.uk/stable/248306?seq=3. Accessed 26 Apr. 2024.</w:t>
      </w:r>
    </w:p>
    <w:p>
      <w:pPr>
        <w:keepNext w:val="0"/>
        <w:keepLines w:val="0"/>
        <w:pageBreakBefore w:val="0"/>
        <w:widowControl/>
        <w:kinsoku/>
        <w:wordWrap/>
        <w:overflowPunct/>
        <w:topLinePunct w:val="0"/>
        <w:autoSpaceDE/>
        <w:autoSpaceDN/>
        <w:bidi w:val="0"/>
        <w:adjustRightInd/>
        <w:snapToGrid/>
        <w:spacing w:after="0" w:line="480" w:lineRule="auto"/>
        <w:textAlignment w:val="auto"/>
        <w:rPr>
          <w:rFonts w:hint="eastAsia"/>
        </w:rPr>
      </w:pPr>
      <w:r>
        <w:rPr>
          <w:rFonts w:hint="default"/>
          <w:lang w:val="en-US"/>
        </w:rPr>
        <w:t xml:space="preserve">[12] </w:t>
      </w:r>
      <w:r>
        <w:rPr>
          <w:rFonts w:hint="eastAsia"/>
        </w:rPr>
        <w:t xml:space="preserve">Klassen, Kenneth J., et al. “Transfer Pricing: Strategies, Practices, and Tax Minimization.” Contemporary Accounting Research, vol. 34, no. 1, 13 Sept. 2016, pp. 455–493, </w:t>
      </w:r>
      <w:r>
        <w:rPr>
          <w:rStyle w:val="12"/>
          <w:rFonts w:hint="eastAsia"/>
        </w:rPr>
        <w:fldChar w:fldCharType="begin"/>
      </w:r>
      <w:r>
        <w:rPr>
          <w:rStyle w:val="12"/>
          <w:rFonts w:hint="eastAsia"/>
        </w:rPr>
        <w:instrText xml:space="preserve"> HYPERLINK "https://doi.org/10.1111/1911-3846.12239." </w:instrText>
      </w:r>
      <w:r>
        <w:rPr>
          <w:rStyle w:val="12"/>
          <w:rFonts w:hint="eastAsia"/>
        </w:rPr>
        <w:fldChar w:fldCharType="separate"/>
      </w:r>
      <w:r>
        <w:rPr>
          <w:rStyle w:val="12"/>
          <w:rFonts w:hint="eastAsia"/>
        </w:rPr>
        <w:t>https://doi.org/10.1111/1911-3846.12239.</w:t>
      </w:r>
      <w:r>
        <w:rPr>
          <w:rStyle w:val="12"/>
          <w:rFonts w:hint="eastAsia"/>
        </w:rPr>
        <w:fldChar w:fldCharType="end"/>
      </w:r>
    </w:p>
    <w:p>
      <w:pPr>
        <w:keepNext w:val="0"/>
        <w:keepLines w:val="0"/>
        <w:pageBreakBefore w:val="0"/>
        <w:widowControl/>
        <w:kinsoku/>
        <w:wordWrap/>
        <w:overflowPunct/>
        <w:topLinePunct w:val="0"/>
        <w:autoSpaceDE/>
        <w:autoSpaceDN/>
        <w:bidi w:val="0"/>
        <w:adjustRightInd/>
        <w:snapToGrid/>
        <w:spacing w:after="0" w:line="480" w:lineRule="auto"/>
        <w:textAlignment w:val="auto"/>
        <w:rPr>
          <w:rFonts w:hint="eastAsia"/>
        </w:rPr>
      </w:pPr>
      <w:r>
        <w:rPr>
          <w:rFonts w:hint="default"/>
          <w:lang w:val="en-US"/>
        </w:rPr>
        <w:t xml:space="preserve">[13] </w:t>
      </w:r>
      <w:r>
        <w:rPr>
          <w:rFonts w:hint="eastAsia"/>
        </w:rPr>
        <w:t>Johnson, Nicole Bastian, et al. “An Evaluation of Alternative Market‐Based Transfer Prices.” Contemporary Accounting Research, vol. 35, no. 4, 23 Aug. 2018, pp. 1868–1887, https://doi.org/10.1111/1911-3846.12358. Accessed 10 May 2022.</w:t>
      </w:r>
    </w:p>
    <w:p>
      <w:pPr>
        <w:keepNext w:val="0"/>
        <w:keepLines w:val="0"/>
        <w:pageBreakBefore w:val="0"/>
        <w:widowControl/>
        <w:kinsoku/>
        <w:wordWrap/>
        <w:overflowPunct/>
        <w:topLinePunct w:val="0"/>
        <w:autoSpaceDE/>
        <w:autoSpaceDN/>
        <w:bidi w:val="0"/>
        <w:adjustRightInd/>
        <w:snapToGrid/>
        <w:spacing w:after="0" w:line="480" w:lineRule="auto"/>
        <w:textAlignment w:val="auto"/>
        <w:rPr>
          <w:rFonts w:hint="eastAsia"/>
        </w:rPr>
      </w:pPr>
      <w:r>
        <w:rPr>
          <w:rFonts w:hint="default"/>
          <w:lang w:val="en-US"/>
        </w:rPr>
        <w:t xml:space="preserve">[14] </w:t>
      </w:r>
      <w:r>
        <w:rPr>
          <w:rFonts w:hint="eastAsia"/>
        </w:rPr>
        <w:t>Perčević, Hrvoje, and Mirjana Hladika. “Application of Transfer Pricing Methods in Related Companies in Croatia.” Economic Research-Ekonomska Istraživanja, vol. 30, no. 1, Jan. 2017, pp. 611–628, https://doi.org/10.1080/1331677x.2017.1305779. Accessed 28 May 2020.</w:t>
      </w:r>
    </w:p>
    <w:p>
      <w:pPr>
        <w:keepNext w:val="0"/>
        <w:keepLines w:val="0"/>
        <w:pageBreakBefore w:val="0"/>
        <w:widowControl/>
        <w:kinsoku/>
        <w:wordWrap/>
        <w:overflowPunct/>
        <w:topLinePunct w:val="0"/>
        <w:autoSpaceDE/>
        <w:autoSpaceDN/>
        <w:bidi w:val="0"/>
        <w:adjustRightInd/>
        <w:snapToGrid/>
        <w:spacing w:after="0" w:line="480" w:lineRule="auto"/>
        <w:textAlignment w:val="auto"/>
        <w:rPr>
          <w:rFonts w:hint="eastAsia"/>
        </w:rPr>
      </w:pPr>
      <w:r>
        <w:rPr>
          <w:rFonts w:hint="default"/>
          <w:lang w:val="en-US"/>
        </w:rPr>
        <w:t xml:space="preserve">[15] </w:t>
      </w:r>
      <w:r>
        <w:rPr>
          <w:rFonts w:hint="eastAsia"/>
        </w:rPr>
        <w:t>Watson, Hugh J., et al. “Executive Information Systems Executive Information Systems: A Framework for Development and a Survey of Current Practices.” Uwtsd.ac.uk, 2024, www-jstor-org.ezproxy.uwtsd.ac.uk/stable/249431?seq=7. Accessed 26 Apr. 2024.</w:t>
      </w:r>
    </w:p>
    <w:p>
      <w:pPr>
        <w:keepNext w:val="0"/>
        <w:keepLines w:val="0"/>
        <w:pageBreakBefore w:val="0"/>
        <w:widowControl/>
        <w:kinsoku/>
        <w:wordWrap/>
        <w:overflowPunct/>
        <w:topLinePunct w:val="0"/>
        <w:autoSpaceDE/>
        <w:autoSpaceDN/>
        <w:bidi w:val="0"/>
        <w:adjustRightInd/>
        <w:snapToGrid/>
        <w:spacing w:after="0" w:line="480" w:lineRule="auto"/>
        <w:textAlignment w:val="auto"/>
        <w:rPr>
          <w:rFonts w:hint="eastAsia"/>
        </w:rPr>
      </w:pPr>
      <w:r>
        <w:rPr>
          <w:rFonts w:hint="default"/>
          <w:lang w:val="en-US"/>
        </w:rPr>
        <w:t xml:space="preserve">[16] </w:t>
      </w:r>
      <w:r>
        <w:rPr>
          <w:rFonts w:hint="eastAsia"/>
        </w:rPr>
        <w:t>Tamhir, Lukman. “THE EFFECT of ORGANIZATIONAL STRUCTURE and TEAMS PROCESSES toward DECISION MAKING at ELEMENTARY SCHOOL in TERNATE MUNICIPALITY.” Zenodo, vol. 1, 17 Sept. 2018, zenodo.org/records/1420328, https://doi.org/10.5281/zenodo.1420328. Accessed 26 Apr. 2024.</w:t>
      </w:r>
    </w:p>
    <w:p>
      <w:pPr>
        <w:keepNext w:val="0"/>
        <w:keepLines w:val="0"/>
        <w:pageBreakBefore w:val="0"/>
        <w:widowControl/>
        <w:kinsoku/>
        <w:wordWrap/>
        <w:overflowPunct/>
        <w:topLinePunct w:val="0"/>
        <w:autoSpaceDE/>
        <w:autoSpaceDN/>
        <w:bidi w:val="0"/>
        <w:adjustRightInd/>
        <w:snapToGrid/>
        <w:spacing w:after="0" w:line="480" w:lineRule="auto"/>
        <w:textAlignment w:val="auto"/>
        <w:rPr>
          <w:rFonts w:hint="eastAsia"/>
        </w:rPr>
      </w:pPr>
      <w:r>
        <w:rPr>
          <w:rFonts w:hint="default"/>
          <w:lang w:val="en-US"/>
        </w:rPr>
        <w:t xml:space="preserve">[17] </w:t>
      </w:r>
      <w:r>
        <w:rPr>
          <w:rFonts w:hint="eastAsia"/>
        </w:rPr>
        <w:t>Das, Sanchoy K., and Layek Abdel-Malek. “Modeling the Flexibility of Order Quantities and Lead-Times in Supply Chains.” International Journal of Production Economics, vol. 85, no. 2, Aug. 2003, pp. 171–181, https://doi.org/10.1016/s0925-5273(03)00108-7. Accessed 16 Jan. 2020.</w:t>
      </w:r>
    </w:p>
    <w:p>
      <w:pPr>
        <w:keepNext w:val="0"/>
        <w:keepLines w:val="0"/>
        <w:pageBreakBefore w:val="0"/>
        <w:widowControl/>
        <w:kinsoku/>
        <w:wordWrap/>
        <w:overflowPunct/>
        <w:topLinePunct w:val="0"/>
        <w:autoSpaceDE/>
        <w:autoSpaceDN/>
        <w:bidi w:val="0"/>
        <w:adjustRightInd/>
        <w:snapToGrid/>
        <w:spacing w:after="0" w:line="480" w:lineRule="auto"/>
        <w:textAlignment w:val="auto"/>
        <w:rPr>
          <w:rFonts w:hint="eastAsia"/>
        </w:rPr>
      </w:pPr>
      <w:r>
        <w:rPr>
          <w:rFonts w:hint="default"/>
          <w:lang w:val="en-US"/>
        </w:rPr>
        <w:t xml:space="preserve">[18] </w:t>
      </w:r>
      <w:r>
        <w:rPr>
          <w:rFonts w:hint="eastAsia"/>
        </w:rPr>
        <w:t>Graham, Alastair, and Brian Coyle. Framework For: Credit Risk Management. Google Books, Global Professional Publishi, 1 Apr. 2000, books.google.co.uk/books?hl=zh-CN&amp;lr=&amp;id=MfGSXpCvNfkC&amp;oi=fnd&amp;pg=PA23&amp;dq=While+Japanese+suppliers+offer+30-day+credit. Accessed 26 Apr. 2024.</w:t>
      </w:r>
    </w:p>
    <w:p>
      <w:pPr>
        <w:keepNext w:val="0"/>
        <w:keepLines w:val="0"/>
        <w:pageBreakBefore w:val="0"/>
        <w:widowControl/>
        <w:kinsoku/>
        <w:wordWrap/>
        <w:overflowPunct/>
        <w:topLinePunct w:val="0"/>
        <w:autoSpaceDE/>
        <w:autoSpaceDN/>
        <w:bidi w:val="0"/>
        <w:adjustRightInd/>
        <w:snapToGrid/>
        <w:spacing w:after="0" w:line="480" w:lineRule="auto"/>
        <w:textAlignment w:val="auto"/>
        <w:rPr>
          <w:rFonts w:hint="eastAsia"/>
        </w:rPr>
      </w:pPr>
      <w:r>
        <w:rPr>
          <w:rFonts w:hint="default"/>
          <w:lang w:val="en-US"/>
        </w:rPr>
        <w:t xml:space="preserve">[19] </w:t>
      </w:r>
      <w:r>
        <w:rPr>
          <w:rFonts w:hint="eastAsia"/>
        </w:rPr>
        <w:t>Hasan, Rashed Ul. “PRACTICAL APPLICATION of BALANCED SCORECARD - a LITERATURE REVIEW .” Journal of Strategy and Performance Management, vol. 5, no. 3, 2017, pp. 5(3), 87–103.</w:t>
      </w:r>
    </w:p>
    <w:p>
      <w:pPr>
        <w:keepNext w:val="0"/>
        <w:keepLines w:val="0"/>
        <w:pageBreakBefore w:val="0"/>
        <w:widowControl/>
        <w:kinsoku/>
        <w:wordWrap/>
        <w:overflowPunct/>
        <w:topLinePunct w:val="0"/>
        <w:autoSpaceDE/>
        <w:autoSpaceDN/>
        <w:bidi w:val="0"/>
        <w:adjustRightInd/>
        <w:snapToGrid/>
        <w:spacing w:after="0" w:line="480" w:lineRule="auto"/>
        <w:textAlignment w:val="auto"/>
        <w:rPr>
          <w:rFonts w:hint="eastAsia"/>
        </w:rPr>
      </w:pPr>
      <w:r>
        <w:rPr>
          <w:rFonts w:hint="default"/>
          <w:lang w:val="en-US"/>
        </w:rPr>
        <w:t xml:space="preserve">[20] </w:t>
      </w:r>
      <w:r>
        <w:rPr>
          <w:rFonts w:hint="eastAsia"/>
        </w:rPr>
        <w:t xml:space="preserve">Tuan, Tran Trung. “The Impact of Balanced Scorecard on Performance: The Case of Vietnamese Commercial Banks.” The Journal of Asian Finance, Economics and Business, vol. 7, no. 1, 31 Jan. 2020, pp. 71–79, </w:t>
      </w:r>
      <w:r>
        <w:rPr>
          <w:rStyle w:val="12"/>
          <w:rFonts w:hint="eastAsia"/>
        </w:rPr>
        <w:fldChar w:fldCharType="begin"/>
      </w:r>
      <w:r>
        <w:rPr>
          <w:rStyle w:val="12"/>
          <w:rFonts w:hint="eastAsia"/>
        </w:rPr>
        <w:instrText xml:space="preserve"> HYPERLINK "https://doi.org/10.13106/jafeb.2020.vol7.no1.71." </w:instrText>
      </w:r>
      <w:r>
        <w:rPr>
          <w:rStyle w:val="12"/>
          <w:rFonts w:hint="eastAsia"/>
        </w:rPr>
        <w:fldChar w:fldCharType="separate"/>
      </w:r>
      <w:r>
        <w:rPr>
          <w:rStyle w:val="12"/>
          <w:rFonts w:hint="eastAsia"/>
        </w:rPr>
        <w:t>https://doi.org/10.13106/jafeb.2020.vol7.no1.71.</w:t>
      </w:r>
      <w:r>
        <w:rPr>
          <w:rStyle w:val="12"/>
          <w:rFonts w:hint="eastAsia"/>
        </w:rPr>
        <w:fldChar w:fldCharType="end"/>
      </w:r>
    </w:p>
    <w:p>
      <w:pPr>
        <w:keepNext w:val="0"/>
        <w:keepLines w:val="0"/>
        <w:pageBreakBefore w:val="0"/>
        <w:widowControl/>
        <w:kinsoku/>
        <w:wordWrap/>
        <w:overflowPunct/>
        <w:topLinePunct w:val="0"/>
        <w:autoSpaceDE/>
        <w:autoSpaceDN/>
        <w:bidi w:val="0"/>
        <w:adjustRightInd/>
        <w:snapToGrid/>
        <w:spacing w:after="0" w:line="480" w:lineRule="auto"/>
        <w:textAlignment w:val="auto"/>
        <w:rPr>
          <w:rFonts w:hint="eastAsia"/>
        </w:rPr>
      </w:pPr>
      <w:r>
        <w:rPr>
          <w:rFonts w:hint="default"/>
          <w:lang w:val="en-US"/>
        </w:rPr>
        <w:t xml:space="preserve">[21] </w:t>
      </w:r>
      <w:r>
        <w:rPr>
          <w:rFonts w:hint="eastAsia"/>
        </w:rPr>
        <w:t xml:space="preserve">Bhagwat, Rajat, and Milind Kumar Sharma. “Performance Measurement of Supply Chain Management: A Balanced Scorecard Approach.” Computers &amp; Industrial Engineering, vol. 53, no. 1, Aug. 2007, pp. 43–62, </w:t>
      </w:r>
      <w:r>
        <w:rPr>
          <w:rStyle w:val="12"/>
          <w:rFonts w:hint="eastAsia"/>
        </w:rPr>
        <w:fldChar w:fldCharType="begin"/>
      </w:r>
      <w:r>
        <w:rPr>
          <w:rStyle w:val="12"/>
          <w:rFonts w:hint="eastAsia"/>
        </w:rPr>
        <w:instrText xml:space="preserve"> HYPERLINK "https://doi.org/10.1016/j.cie.2007.04.001." </w:instrText>
      </w:r>
      <w:r>
        <w:rPr>
          <w:rStyle w:val="12"/>
          <w:rFonts w:hint="eastAsia"/>
        </w:rPr>
        <w:fldChar w:fldCharType="separate"/>
      </w:r>
      <w:r>
        <w:rPr>
          <w:rStyle w:val="12"/>
          <w:rFonts w:hint="eastAsia"/>
        </w:rPr>
        <w:t>https://doi.org/10.1016/j.cie.2007.04.001.</w:t>
      </w:r>
      <w:r>
        <w:rPr>
          <w:rStyle w:val="12"/>
          <w:rFonts w:hint="eastAsia"/>
        </w:rPr>
        <w:fldChar w:fldCharType="end"/>
      </w:r>
    </w:p>
    <w:p>
      <w:pPr>
        <w:keepNext w:val="0"/>
        <w:keepLines w:val="0"/>
        <w:pageBreakBefore w:val="0"/>
        <w:widowControl/>
        <w:kinsoku/>
        <w:wordWrap/>
        <w:overflowPunct/>
        <w:topLinePunct w:val="0"/>
        <w:autoSpaceDE/>
        <w:autoSpaceDN/>
        <w:bidi w:val="0"/>
        <w:adjustRightInd/>
        <w:snapToGrid/>
        <w:spacing w:after="0" w:line="480" w:lineRule="auto"/>
        <w:textAlignment w:val="auto"/>
      </w:pPr>
      <w:r>
        <w:rPr>
          <w:rFonts w:hint="default"/>
          <w:lang w:val="en-US"/>
        </w:rPr>
        <w:t xml:space="preserve">[22] </w:t>
      </w:r>
      <w:r>
        <w:rPr>
          <w:rFonts w:hint="eastAsia"/>
        </w:rPr>
        <w:t>Wikipedia Contributors. “Current Ratio.” Wikipedia, Wikimedia Foundation, 5 Mar. 2019, en.wikipedia.org/wiki/Current_ratio.</w:t>
      </w:r>
    </w:p>
    <w:p>
      <w:pPr>
        <w:keepNext w:val="0"/>
        <w:keepLines w:val="0"/>
        <w:pageBreakBefore w:val="0"/>
        <w:widowControl/>
        <w:kinsoku/>
        <w:wordWrap/>
        <w:overflowPunct/>
        <w:topLinePunct w:val="0"/>
        <w:autoSpaceDE/>
        <w:autoSpaceDN/>
        <w:bidi w:val="0"/>
        <w:adjustRightInd/>
        <w:snapToGrid/>
        <w:spacing w:after="0" w:line="480" w:lineRule="auto"/>
        <w:textAlignment w:val="auto"/>
        <w:rPr>
          <w:rFonts w:hint="eastAsia"/>
        </w:rPr>
      </w:pPr>
      <w:r>
        <w:rPr>
          <w:rFonts w:hint="default"/>
          <w:lang w:val="en-US"/>
        </w:rPr>
        <w:t xml:space="preserve">[23] </w:t>
      </w:r>
      <w:r>
        <w:rPr>
          <w:rFonts w:hint="eastAsia"/>
        </w:rPr>
        <w:t>CFI. “Return on Capital Employed (ROCE).” Corporate Finance Institute, 1 Nov. 2022, corporatefinanceinstitute.com/resources/accounting/return-on-capital-employed-roce/.</w:t>
      </w:r>
    </w:p>
    <w:p>
      <w:pPr>
        <w:keepNext w:val="0"/>
        <w:keepLines w:val="0"/>
        <w:pageBreakBefore w:val="0"/>
        <w:widowControl/>
        <w:kinsoku/>
        <w:wordWrap/>
        <w:overflowPunct/>
        <w:topLinePunct w:val="0"/>
        <w:autoSpaceDE/>
        <w:autoSpaceDN/>
        <w:bidi w:val="0"/>
        <w:adjustRightInd/>
        <w:snapToGrid/>
        <w:spacing w:after="0" w:line="480" w:lineRule="auto"/>
        <w:textAlignment w:val="auto"/>
        <w:rPr>
          <w:rFonts w:hint="eastAsia"/>
        </w:rPr>
      </w:pPr>
      <w:r>
        <w:rPr>
          <w:rFonts w:hint="default"/>
          <w:lang w:val="en-US"/>
        </w:rPr>
        <w:t xml:space="preserve">[24] </w:t>
      </w:r>
      <w:r>
        <w:rPr>
          <w:rFonts w:hint="eastAsia"/>
        </w:rPr>
        <w:t>Kim, Jonghyeok, et al. “A Model for Evaluating the Effectiveness of CRM Using the Balanced Scorecard.” Journal of Interactive Marketing, vol. 17, no. 2, Jan. 2003, pp. 5–19,</w:t>
      </w:r>
      <w:r>
        <w:rPr>
          <w:rStyle w:val="12"/>
          <w:rFonts w:hint="eastAsia"/>
        </w:rPr>
        <w:t xml:space="preserve"> </w:t>
      </w:r>
      <w:r>
        <w:rPr>
          <w:rStyle w:val="12"/>
          <w:rFonts w:hint="eastAsia"/>
        </w:rPr>
        <w:fldChar w:fldCharType="begin"/>
      </w:r>
      <w:r>
        <w:rPr>
          <w:rStyle w:val="12"/>
          <w:rFonts w:hint="eastAsia"/>
        </w:rPr>
        <w:instrText xml:space="preserve"> HYPERLINK "https://doi.org/10.1002/dir.10051." </w:instrText>
      </w:r>
      <w:r>
        <w:rPr>
          <w:rStyle w:val="12"/>
          <w:rFonts w:hint="eastAsia"/>
        </w:rPr>
        <w:fldChar w:fldCharType="separate"/>
      </w:r>
      <w:r>
        <w:rPr>
          <w:rStyle w:val="12"/>
          <w:rFonts w:hint="eastAsia"/>
        </w:rPr>
        <w:t>https://doi.org/10.1002/dir.10051.</w:t>
      </w:r>
      <w:r>
        <w:rPr>
          <w:rStyle w:val="12"/>
          <w:rFonts w:hint="eastAsia"/>
        </w:rPr>
        <w:fldChar w:fldCharType="end"/>
      </w:r>
    </w:p>
    <w:p>
      <w:pPr>
        <w:keepNext w:val="0"/>
        <w:keepLines w:val="0"/>
        <w:pageBreakBefore w:val="0"/>
        <w:widowControl/>
        <w:kinsoku/>
        <w:wordWrap/>
        <w:overflowPunct/>
        <w:topLinePunct w:val="0"/>
        <w:autoSpaceDE/>
        <w:autoSpaceDN/>
        <w:bidi w:val="0"/>
        <w:adjustRightInd/>
        <w:snapToGrid/>
        <w:spacing w:after="0" w:line="480" w:lineRule="auto"/>
        <w:textAlignment w:val="auto"/>
      </w:pPr>
      <w:r>
        <w:rPr>
          <w:rFonts w:hint="default"/>
          <w:lang w:val="en-US"/>
        </w:rPr>
        <w:t xml:space="preserve">[25] </w:t>
      </w:r>
      <w:r>
        <w:rPr>
          <w:rFonts w:hint="eastAsia"/>
        </w:rPr>
        <w:t>Tibbs, C. Y., and L. K. Langat. “INTERNAL PROCESS, LEARNING PERSPECTIVE of BALANCE SCORECARD and ORGANISATIONAL PERFORMANCE.” International Journal of Economics, Commerce &amp; Management, vol. IV, no. 2340386, Nov. 2016.</w:t>
      </w:r>
    </w:p>
    <w:p>
      <w:pPr>
        <w:keepNext w:val="0"/>
        <w:keepLines w:val="0"/>
        <w:pageBreakBefore w:val="0"/>
        <w:widowControl/>
        <w:kinsoku/>
        <w:wordWrap/>
        <w:overflowPunct/>
        <w:topLinePunct w:val="0"/>
        <w:autoSpaceDE/>
        <w:autoSpaceDN/>
        <w:bidi w:val="0"/>
        <w:adjustRightInd/>
        <w:snapToGrid/>
        <w:spacing w:after="0" w:line="480" w:lineRule="auto"/>
        <w:textAlignment w:val="auto"/>
        <w:rPr>
          <w:rFonts w:hint="eastAsia"/>
        </w:rPr>
      </w:pPr>
      <w:r>
        <w:rPr>
          <w:rFonts w:hint="default"/>
          <w:lang w:val="en-US"/>
        </w:rPr>
        <w:t xml:space="preserve">[26] </w:t>
      </w:r>
      <w:r>
        <w:rPr>
          <w:rFonts w:hint="eastAsia"/>
        </w:rPr>
        <w:t>Akkermans, H, and Kim van Oorschot. “Developing a Balanced Scorecard with System Dynamics.” Journal of the Operational Research Society, 2002, pp. 40(56): 931-941.</w:t>
      </w:r>
    </w:p>
    <w:p>
      <w:pPr>
        <w:keepNext w:val="0"/>
        <w:keepLines w:val="0"/>
        <w:pageBreakBefore w:val="0"/>
        <w:widowControl/>
        <w:kinsoku/>
        <w:wordWrap/>
        <w:overflowPunct/>
        <w:topLinePunct w:val="0"/>
        <w:autoSpaceDE/>
        <w:autoSpaceDN/>
        <w:bidi w:val="0"/>
        <w:adjustRightInd/>
        <w:snapToGrid/>
        <w:spacing w:after="0" w:line="480" w:lineRule="auto"/>
        <w:textAlignment w:val="auto"/>
      </w:pPr>
      <w:r>
        <w:rPr>
          <w:rFonts w:hint="default"/>
          <w:lang w:val="en-US"/>
        </w:rPr>
        <w:t xml:space="preserve">[27] </w:t>
      </w:r>
      <w:r>
        <w:rPr>
          <w:rFonts w:hint="eastAsia"/>
        </w:rPr>
        <w:t>Jackson, Ted. “A Thorough List of Balanced Scorecard Advantages &amp; Disadvantages | ClearPoint Strategy.” Www.clearpointstrategy.com, 16 Jan. 2024, www.clearpointstrategy.com/blog/thorough-list-of-balanced-scorecard-advantages-disadvantages.</w:t>
      </w:r>
    </w:p>
    <w:p>
      <w:pPr>
        <w:keepNext w:val="0"/>
        <w:keepLines w:val="0"/>
        <w:pageBreakBefore w:val="0"/>
        <w:widowControl/>
        <w:kinsoku/>
        <w:wordWrap/>
        <w:overflowPunct/>
        <w:topLinePunct w:val="0"/>
        <w:autoSpaceDE/>
        <w:autoSpaceDN/>
        <w:bidi w:val="0"/>
        <w:adjustRightInd/>
        <w:snapToGrid/>
        <w:spacing w:after="0" w:line="480" w:lineRule="auto"/>
        <w:textAlignment w:val="auto"/>
        <w:rPr>
          <w:rFonts w:hint="eastAsia"/>
        </w:rPr>
      </w:pPr>
      <w:r>
        <w:rPr>
          <w:rFonts w:hint="default"/>
          <w:lang w:val="en-US"/>
        </w:rPr>
        <w:t xml:space="preserve">[28] </w:t>
      </w:r>
      <w:r>
        <w:rPr>
          <w:rFonts w:hint="eastAsia"/>
        </w:rPr>
        <w:t>Bhaskar, H. L., and R. P. Singh. “Business Process Reengineering: A Recent Review.” Papers.ssrn.com, 1 Dec. 2014, papers.ssrn.com/sol3/papers.cfm?abstract_id=3331568.</w:t>
      </w:r>
    </w:p>
    <w:p>
      <w:pPr>
        <w:keepNext w:val="0"/>
        <w:keepLines w:val="0"/>
        <w:pageBreakBefore w:val="0"/>
        <w:widowControl/>
        <w:kinsoku/>
        <w:wordWrap/>
        <w:overflowPunct/>
        <w:topLinePunct w:val="0"/>
        <w:autoSpaceDE/>
        <w:autoSpaceDN/>
        <w:bidi w:val="0"/>
        <w:adjustRightInd/>
        <w:snapToGrid/>
        <w:spacing w:after="0" w:line="480" w:lineRule="auto"/>
        <w:textAlignment w:val="auto"/>
        <w:rPr>
          <w:rFonts w:hint="eastAsia"/>
        </w:rPr>
      </w:pPr>
      <w:r>
        <w:rPr>
          <w:rFonts w:hint="default"/>
          <w:lang w:val="en-US"/>
        </w:rPr>
        <w:t xml:space="preserve">[29] </w:t>
      </w:r>
      <w:r>
        <w:rPr>
          <w:rFonts w:hint="eastAsia"/>
        </w:rPr>
        <w:t xml:space="preserve">O’Neill, Peter, and Amrik S. Sohal. “Business Process Reengineering a Review of Recent Literature.” Technovation, vol. 19, no. 9, Sept. 1999, pp. 571–581, www.sciencedirect.com/science/article/pii/S0166497299000590, </w:t>
      </w:r>
      <w:r>
        <w:rPr>
          <w:rStyle w:val="12"/>
          <w:rFonts w:hint="eastAsia"/>
        </w:rPr>
        <w:fldChar w:fldCharType="begin"/>
      </w:r>
      <w:r>
        <w:rPr>
          <w:rStyle w:val="12"/>
          <w:rFonts w:hint="eastAsia"/>
        </w:rPr>
        <w:instrText xml:space="preserve"> HYPERLINK "https://doi.org/10.1016/s0166-4972(99)00059-0." </w:instrText>
      </w:r>
      <w:r>
        <w:rPr>
          <w:rStyle w:val="12"/>
          <w:rFonts w:hint="eastAsia"/>
        </w:rPr>
        <w:fldChar w:fldCharType="separate"/>
      </w:r>
      <w:r>
        <w:rPr>
          <w:rStyle w:val="12"/>
          <w:rFonts w:hint="eastAsia"/>
        </w:rPr>
        <w:t>https://doi.org/10.1016/s0166-4972(99)00059-0.</w:t>
      </w:r>
      <w:r>
        <w:rPr>
          <w:rStyle w:val="12"/>
          <w:rFonts w:hint="eastAsia"/>
        </w:rPr>
        <w:fldChar w:fldCharType="end"/>
      </w:r>
    </w:p>
    <w:p>
      <w:pPr>
        <w:keepNext w:val="0"/>
        <w:keepLines w:val="0"/>
        <w:pageBreakBefore w:val="0"/>
        <w:widowControl/>
        <w:kinsoku/>
        <w:wordWrap/>
        <w:overflowPunct/>
        <w:topLinePunct w:val="0"/>
        <w:autoSpaceDE/>
        <w:autoSpaceDN/>
        <w:bidi w:val="0"/>
        <w:adjustRightInd/>
        <w:snapToGrid/>
        <w:spacing w:after="0" w:line="480" w:lineRule="auto"/>
        <w:textAlignment w:val="auto"/>
        <w:rPr>
          <w:rFonts w:hint="eastAsia"/>
        </w:rPr>
      </w:pPr>
      <w:r>
        <w:rPr>
          <w:rFonts w:hint="default"/>
          <w:lang w:val="en-US"/>
        </w:rPr>
        <w:t xml:space="preserve">[30] </w:t>
      </w:r>
      <w:r>
        <w:rPr>
          <w:rFonts w:hint="eastAsia"/>
        </w:rPr>
        <w:t xml:space="preserve">Goksoy, Asli, et al. “Business Process Reengineering: Strategic Tool for Managing Organizational Change an Application in a Multinational Company.” International Journal of Business and Management, vol. 7, no. 2, 17 Jan. 2012, </w:t>
      </w:r>
      <w:r>
        <w:rPr>
          <w:rStyle w:val="12"/>
          <w:rFonts w:hint="eastAsia"/>
        </w:rPr>
        <w:fldChar w:fldCharType="begin"/>
      </w:r>
      <w:r>
        <w:rPr>
          <w:rStyle w:val="12"/>
          <w:rFonts w:hint="eastAsia"/>
        </w:rPr>
        <w:instrText xml:space="preserve"> HYPERLINK "https://doi.org/10.5539/ijbm.v7n2p89." </w:instrText>
      </w:r>
      <w:r>
        <w:rPr>
          <w:rStyle w:val="12"/>
          <w:rFonts w:hint="eastAsia"/>
        </w:rPr>
        <w:fldChar w:fldCharType="separate"/>
      </w:r>
      <w:r>
        <w:rPr>
          <w:rStyle w:val="12"/>
          <w:rFonts w:hint="eastAsia"/>
        </w:rPr>
        <w:t>https://doi.org/10.5539/ijbm.v7n2p89.</w:t>
      </w:r>
      <w:r>
        <w:rPr>
          <w:rStyle w:val="12"/>
          <w:rFonts w:hint="eastAsia"/>
        </w:rPr>
        <w:fldChar w:fldCharType="end"/>
      </w:r>
    </w:p>
    <w:p>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rPr>
      </w:pPr>
      <w:r>
        <w:rPr>
          <w:rFonts w:hint="default"/>
          <w:lang w:val="en-US"/>
        </w:rPr>
        <w:t xml:space="preserve">[31] </w:t>
      </w:r>
      <w:r>
        <w:rPr>
          <w:rFonts w:hint="eastAsia"/>
        </w:rPr>
        <w:t>Cheng, Eric Y, and Ying Jen Wang. BUSINESS PROCESS REENGINEERING and ERP SYSTEMS BENEFITS. 2006.</w:t>
      </w:r>
    </w:p>
    <w:p/>
    <w:p/>
    <w:p>
      <w:pPr>
        <w:pStyle w:val="2"/>
      </w:pPr>
      <w:bookmarkStart w:id="13" w:name="_Toc1403424765"/>
      <w:r>
        <w:t>Appendix</w:t>
      </w:r>
      <w:bookmarkEnd w:id="13"/>
    </w:p>
    <w:p>
      <w:pPr>
        <w:numPr>
          <w:ilvl w:val="0"/>
          <w:numId w:val="0"/>
        </w:numPr>
        <w:spacing w:line="240" w:lineRule="auto"/>
        <w:rPr>
          <w:rFonts w:hint="default"/>
          <w:b/>
          <w:bCs/>
          <w:sz w:val="24"/>
          <w:szCs w:val="24"/>
          <w:lang w:val="en-US"/>
        </w:rPr>
      </w:pPr>
      <w:r>
        <w:rPr>
          <w:rFonts w:hint="default"/>
          <w:b/>
          <w:bCs/>
          <w:sz w:val="24"/>
          <w:szCs w:val="24"/>
          <w:lang w:val="en-US"/>
        </w:rPr>
        <w:t>W1 Current ratio</w:t>
      </w:r>
    </w:p>
    <w:p>
      <w:pPr>
        <w:numPr>
          <w:ilvl w:val="0"/>
          <w:numId w:val="0"/>
        </w:numPr>
        <w:spacing w:line="240" w:lineRule="auto"/>
        <w:rPr>
          <w:rFonts w:hint="default"/>
          <w:b w:val="0"/>
          <w:bCs w:val="0"/>
          <w:sz w:val="24"/>
          <w:szCs w:val="24"/>
          <w:lang w:val="en-US"/>
        </w:rPr>
      </w:pPr>
      <w:r>
        <w:rPr>
          <w:rFonts w:hint="default"/>
          <w:b w:val="0"/>
          <w:bCs w:val="0"/>
          <w:sz w:val="24"/>
          <w:szCs w:val="24"/>
          <w:lang w:val="en-US"/>
        </w:rPr>
        <w:t xml:space="preserve"> </w:t>
      </w:r>
      <w:r>
        <w:rPr>
          <w:rFonts w:hint="default"/>
          <w:b w:val="0"/>
          <w:bCs w:val="0"/>
          <w:sz w:val="24"/>
          <w:szCs w:val="24"/>
          <w:lang w:val="en-US"/>
        </w:rPr>
        <w:tab/>
      </w:r>
      <w:r>
        <w:rPr>
          <w:rFonts w:hint="default"/>
          <w:b w:val="0"/>
          <w:bCs w:val="0"/>
          <w:sz w:val="24"/>
          <w:szCs w:val="24"/>
          <w:lang w:val="en-US"/>
        </w:rPr>
        <w:tab/>
      </w:r>
      <w:r>
        <w:rPr>
          <w:rFonts w:hint="default"/>
          <w:b w:val="0"/>
          <w:bCs w:val="0"/>
          <w:sz w:val="24"/>
          <w:szCs w:val="24"/>
          <w:lang w:val="en-US"/>
        </w:rPr>
        <w:t xml:space="preserve">         2019             2020</w:t>
      </w:r>
      <w:r>
        <w:rPr>
          <w:rFonts w:hint="default"/>
          <w:b w:val="0"/>
          <w:bCs w:val="0"/>
          <w:sz w:val="24"/>
          <w:szCs w:val="24"/>
          <w:lang w:val="en-US"/>
        </w:rPr>
        <w:tab/>
      </w:r>
      <w:r>
        <w:rPr>
          <w:rFonts w:hint="default"/>
          <w:b w:val="0"/>
          <w:bCs w:val="0"/>
          <w:sz w:val="24"/>
          <w:szCs w:val="24"/>
          <w:lang w:val="en-US"/>
        </w:rPr>
        <w:tab/>
      </w:r>
      <w:r>
        <w:rPr>
          <w:rFonts w:hint="default"/>
          <w:b w:val="0"/>
          <w:bCs w:val="0"/>
          <w:sz w:val="24"/>
          <w:szCs w:val="24"/>
          <w:lang w:val="en-US"/>
        </w:rPr>
        <w:t>2021</w:t>
      </w:r>
      <w:r>
        <w:rPr>
          <w:rFonts w:hint="default"/>
          <w:b w:val="0"/>
          <w:bCs w:val="0"/>
          <w:sz w:val="24"/>
          <w:szCs w:val="24"/>
          <w:lang w:val="en-US"/>
        </w:rPr>
        <w:tab/>
      </w:r>
      <w:r>
        <w:rPr>
          <w:rFonts w:hint="default"/>
          <w:b w:val="0"/>
          <w:bCs w:val="0"/>
          <w:sz w:val="24"/>
          <w:szCs w:val="24"/>
          <w:lang w:val="en-US"/>
        </w:rPr>
        <w:tab/>
      </w:r>
      <w:r>
        <w:rPr>
          <w:rFonts w:hint="default"/>
          <w:b w:val="0"/>
          <w:bCs w:val="0"/>
          <w:sz w:val="24"/>
          <w:szCs w:val="24"/>
          <w:lang w:val="en-US"/>
        </w:rPr>
        <w:t>2022 (projected)</w:t>
      </w:r>
    </w:p>
    <w:p>
      <w:pPr>
        <w:numPr>
          <w:ilvl w:val="0"/>
          <w:numId w:val="0"/>
        </w:numPr>
        <w:spacing w:line="240" w:lineRule="auto"/>
        <w:rPr>
          <w:rFonts w:hint="default"/>
          <w:b w:val="0"/>
          <w:bCs w:val="0"/>
          <w:sz w:val="24"/>
          <w:szCs w:val="24"/>
          <w:lang w:val="en-US"/>
        </w:rPr>
      </w:pPr>
      <w:r>
        <w:rPr>
          <w:rFonts w:hint="default"/>
          <w:b w:val="0"/>
          <w:bCs w:val="0"/>
          <w:sz w:val="24"/>
          <w:szCs w:val="24"/>
          <w:lang w:val="en-US"/>
        </w:rPr>
        <w:tab/>
      </w:r>
      <w:r>
        <w:rPr>
          <w:rFonts w:hint="default"/>
          <w:b w:val="0"/>
          <w:bCs w:val="0"/>
          <w:sz w:val="24"/>
          <w:szCs w:val="24"/>
          <w:lang w:val="en-US"/>
        </w:rPr>
        <w:tab/>
      </w:r>
      <w:r>
        <w:rPr>
          <w:rFonts w:hint="default"/>
          <w:b w:val="0"/>
          <w:bCs w:val="0"/>
          <w:sz w:val="24"/>
          <w:szCs w:val="24"/>
          <w:lang w:val="en-US"/>
        </w:rPr>
        <w:t xml:space="preserve">         £’000</w:t>
      </w:r>
      <w:r>
        <w:rPr>
          <w:rFonts w:hint="default"/>
          <w:b w:val="0"/>
          <w:bCs w:val="0"/>
          <w:sz w:val="24"/>
          <w:szCs w:val="24"/>
          <w:lang w:val="en-US"/>
        </w:rPr>
        <w:tab/>
      </w:r>
      <w:r>
        <w:rPr>
          <w:rFonts w:hint="default"/>
          <w:b w:val="0"/>
          <w:bCs w:val="0"/>
          <w:sz w:val="24"/>
          <w:szCs w:val="24"/>
          <w:lang w:val="en-US"/>
        </w:rPr>
        <w:t xml:space="preserve">        £’000</w:t>
      </w:r>
      <w:r>
        <w:rPr>
          <w:rFonts w:hint="default"/>
          <w:b w:val="0"/>
          <w:bCs w:val="0"/>
          <w:sz w:val="24"/>
          <w:szCs w:val="24"/>
          <w:lang w:val="en-US"/>
        </w:rPr>
        <w:tab/>
      </w:r>
      <w:r>
        <w:rPr>
          <w:rFonts w:hint="default"/>
          <w:b w:val="0"/>
          <w:bCs w:val="0"/>
          <w:sz w:val="24"/>
          <w:szCs w:val="24"/>
          <w:lang w:val="en-US"/>
        </w:rPr>
        <w:tab/>
      </w:r>
      <w:r>
        <w:rPr>
          <w:rFonts w:hint="default"/>
          <w:b w:val="0"/>
          <w:bCs w:val="0"/>
          <w:sz w:val="24"/>
          <w:szCs w:val="24"/>
          <w:lang w:val="en-US"/>
        </w:rPr>
        <w:t>£’000</w:t>
      </w:r>
      <w:r>
        <w:rPr>
          <w:rFonts w:hint="default"/>
          <w:b w:val="0"/>
          <w:bCs w:val="0"/>
          <w:sz w:val="24"/>
          <w:szCs w:val="24"/>
          <w:lang w:val="en-US"/>
        </w:rPr>
        <w:tab/>
      </w:r>
      <w:r>
        <w:rPr>
          <w:rFonts w:hint="default"/>
          <w:b w:val="0"/>
          <w:bCs w:val="0"/>
          <w:sz w:val="24"/>
          <w:szCs w:val="24"/>
          <w:lang w:val="en-US"/>
        </w:rPr>
        <w:tab/>
      </w:r>
      <w:r>
        <w:rPr>
          <w:rFonts w:hint="default"/>
          <w:b w:val="0"/>
          <w:bCs w:val="0"/>
          <w:sz w:val="24"/>
          <w:szCs w:val="24"/>
          <w:lang w:val="en-US"/>
        </w:rPr>
        <w:t>£’000</w:t>
      </w:r>
    </w:p>
    <w:p>
      <w:pPr>
        <w:numPr>
          <w:ilvl w:val="0"/>
          <w:numId w:val="0"/>
        </w:numPr>
        <w:spacing w:line="240" w:lineRule="auto"/>
        <w:rPr>
          <w:rFonts w:hint="default"/>
          <w:b w:val="0"/>
          <w:bCs w:val="0"/>
          <w:sz w:val="24"/>
          <w:szCs w:val="24"/>
          <w:lang w:val="en-US"/>
        </w:rPr>
      </w:pPr>
      <w:r>
        <w:rPr>
          <w:rFonts w:hint="default"/>
          <w:b w:val="0"/>
          <w:bCs w:val="0"/>
          <w:sz w:val="24"/>
          <w:szCs w:val="24"/>
          <w:lang w:val="en-US"/>
        </w:rPr>
        <w:t>Current assets</w:t>
      </w:r>
      <w:r>
        <w:rPr>
          <w:rFonts w:hint="default"/>
          <w:b w:val="0"/>
          <w:bCs w:val="0"/>
          <w:sz w:val="24"/>
          <w:szCs w:val="24"/>
          <w:lang w:val="en-US"/>
        </w:rPr>
        <w:tab/>
      </w:r>
      <w:r>
        <w:rPr>
          <w:rFonts w:hint="default"/>
          <w:b w:val="0"/>
          <w:bCs w:val="0"/>
          <w:sz w:val="24"/>
          <w:szCs w:val="24"/>
          <w:lang w:val="en-US"/>
        </w:rPr>
        <w:t>328</w:t>
      </w:r>
      <w:r>
        <w:rPr>
          <w:rFonts w:hint="default"/>
          <w:b w:val="0"/>
          <w:bCs w:val="0"/>
          <w:sz w:val="24"/>
          <w:szCs w:val="24"/>
          <w:lang w:val="en-US"/>
        </w:rPr>
        <w:tab/>
      </w:r>
      <w:r>
        <w:rPr>
          <w:rFonts w:hint="default"/>
          <w:b w:val="0"/>
          <w:bCs w:val="0"/>
          <w:sz w:val="24"/>
          <w:szCs w:val="24"/>
          <w:lang w:val="en-US"/>
        </w:rPr>
        <w:tab/>
      </w:r>
      <w:r>
        <w:rPr>
          <w:rFonts w:hint="default"/>
          <w:b w:val="0"/>
          <w:bCs w:val="0"/>
          <w:sz w:val="24"/>
          <w:szCs w:val="24"/>
          <w:lang w:val="en-US"/>
        </w:rPr>
        <w:t xml:space="preserve"> 392</w:t>
      </w:r>
      <w:r>
        <w:rPr>
          <w:rFonts w:hint="default"/>
          <w:b w:val="0"/>
          <w:bCs w:val="0"/>
          <w:sz w:val="24"/>
          <w:szCs w:val="24"/>
          <w:lang w:val="en-US"/>
        </w:rPr>
        <w:tab/>
      </w:r>
      <w:r>
        <w:rPr>
          <w:rFonts w:hint="default"/>
          <w:b w:val="0"/>
          <w:bCs w:val="0"/>
          <w:sz w:val="24"/>
          <w:szCs w:val="24"/>
          <w:lang w:val="en-US"/>
        </w:rPr>
        <w:tab/>
      </w:r>
      <w:r>
        <w:rPr>
          <w:rFonts w:hint="default"/>
          <w:b w:val="0"/>
          <w:bCs w:val="0"/>
          <w:sz w:val="24"/>
          <w:szCs w:val="24"/>
          <w:lang w:val="en-US"/>
        </w:rPr>
        <w:t xml:space="preserve"> 377 </w:t>
      </w:r>
      <w:r>
        <w:rPr>
          <w:rFonts w:hint="default"/>
          <w:b w:val="0"/>
          <w:bCs w:val="0"/>
          <w:sz w:val="24"/>
          <w:szCs w:val="24"/>
          <w:lang w:val="en-US"/>
        </w:rPr>
        <w:tab/>
      </w:r>
      <w:r>
        <w:rPr>
          <w:rFonts w:hint="default"/>
          <w:b w:val="0"/>
          <w:bCs w:val="0"/>
          <w:sz w:val="24"/>
          <w:szCs w:val="24"/>
          <w:lang w:val="en-US"/>
        </w:rPr>
        <w:tab/>
      </w:r>
      <w:r>
        <w:rPr>
          <w:rFonts w:hint="default"/>
          <w:b w:val="0"/>
          <w:bCs w:val="0"/>
          <w:sz w:val="24"/>
          <w:szCs w:val="24"/>
          <w:lang w:val="en-US"/>
        </w:rPr>
        <w:t xml:space="preserve"> 312</w:t>
      </w:r>
    </w:p>
    <w:p>
      <w:pPr>
        <w:numPr>
          <w:ilvl w:val="0"/>
          <w:numId w:val="0"/>
        </w:numPr>
        <w:spacing w:line="240" w:lineRule="auto"/>
        <w:rPr>
          <w:rFonts w:hint="default"/>
          <w:b w:val="0"/>
          <w:bCs w:val="0"/>
          <w:sz w:val="24"/>
          <w:szCs w:val="24"/>
          <w:lang w:val="en-US"/>
        </w:rPr>
      </w:pPr>
      <w:r>
        <w:rPr>
          <w:rFonts w:hint="default"/>
          <w:b w:val="0"/>
          <w:bCs w:val="0"/>
          <w:sz w:val="24"/>
          <w:szCs w:val="24"/>
          <w:lang w:val="en-US"/>
        </w:rPr>
        <w:t>Current liabilities</w:t>
      </w:r>
      <w:r>
        <w:rPr>
          <w:rFonts w:hint="default"/>
          <w:b w:val="0"/>
          <w:bCs w:val="0"/>
          <w:sz w:val="24"/>
          <w:szCs w:val="24"/>
          <w:lang w:val="en-US"/>
        </w:rPr>
        <w:tab/>
      </w:r>
      <w:r>
        <w:rPr>
          <w:rFonts w:hint="default"/>
          <w:b w:val="0"/>
          <w:bCs w:val="0"/>
          <w:sz w:val="24"/>
          <w:szCs w:val="24"/>
          <w:lang w:val="en-US"/>
        </w:rPr>
        <w:t xml:space="preserve"> </w:t>
      </w:r>
      <w:r>
        <w:rPr>
          <w:rFonts w:hint="default"/>
          <w:b w:val="0"/>
          <w:bCs w:val="0"/>
          <w:sz w:val="24"/>
          <w:szCs w:val="24"/>
          <w:u w:val="single"/>
          <w:lang w:val="en-US"/>
        </w:rPr>
        <w:t>183</w:t>
      </w:r>
      <w:r>
        <w:rPr>
          <w:rFonts w:hint="default"/>
          <w:b w:val="0"/>
          <w:bCs w:val="0"/>
          <w:sz w:val="24"/>
          <w:szCs w:val="24"/>
          <w:lang w:val="en-US"/>
        </w:rPr>
        <w:tab/>
      </w:r>
      <w:r>
        <w:rPr>
          <w:rFonts w:hint="default"/>
          <w:b w:val="0"/>
          <w:bCs w:val="0"/>
          <w:sz w:val="24"/>
          <w:szCs w:val="24"/>
          <w:lang w:val="en-US"/>
        </w:rPr>
        <w:tab/>
      </w:r>
      <w:r>
        <w:rPr>
          <w:rFonts w:hint="default"/>
          <w:b w:val="0"/>
          <w:bCs w:val="0"/>
          <w:sz w:val="24"/>
          <w:szCs w:val="24"/>
          <w:lang w:val="en-US"/>
        </w:rPr>
        <w:t xml:space="preserve"> </w:t>
      </w:r>
      <w:r>
        <w:rPr>
          <w:rFonts w:hint="default"/>
          <w:b w:val="0"/>
          <w:bCs w:val="0"/>
          <w:sz w:val="24"/>
          <w:szCs w:val="24"/>
          <w:u w:val="single"/>
          <w:lang w:val="en-US"/>
        </w:rPr>
        <w:t>197</w:t>
      </w:r>
      <w:r>
        <w:rPr>
          <w:rFonts w:hint="default"/>
          <w:b w:val="0"/>
          <w:bCs w:val="0"/>
          <w:sz w:val="24"/>
          <w:szCs w:val="24"/>
          <w:lang w:val="en-US"/>
        </w:rPr>
        <w:tab/>
      </w:r>
      <w:r>
        <w:rPr>
          <w:rFonts w:hint="default"/>
          <w:b w:val="0"/>
          <w:bCs w:val="0"/>
          <w:sz w:val="24"/>
          <w:szCs w:val="24"/>
          <w:lang w:val="en-US"/>
        </w:rPr>
        <w:tab/>
      </w:r>
      <w:r>
        <w:rPr>
          <w:rFonts w:hint="default"/>
          <w:b w:val="0"/>
          <w:bCs w:val="0"/>
          <w:sz w:val="24"/>
          <w:szCs w:val="24"/>
          <w:lang w:val="en-US"/>
        </w:rPr>
        <w:t xml:space="preserve"> </w:t>
      </w:r>
      <w:r>
        <w:rPr>
          <w:rFonts w:hint="default"/>
          <w:b w:val="0"/>
          <w:bCs w:val="0"/>
          <w:sz w:val="24"/>
          <w:szCs w:val="24"/>
          <w:u w:val="single"/>
          <w:lang w:val="en-US"/>
        </w:rPr>
        <w:t>172</w:t>
      </w:r>
      <w:r>
        <w:rPr>
          <w:rFonts w:hint="default"/>
          <w:b w:val="0"/>
          <w:bCs w:val="0"/>
          <w:sz w:val="24"/>
          <w:szCs w:val="24"/>
          <w:lang w:val="en-US"/>
        </w:rPr>
        <w:tab/>
      </w:r>
      <w:r>
        <w:rPr>
          <w:rFonts w:hint="default"/>
          <w:b w:val="0"/>
          <w:bCs w:val="0"/>
          <w:sz w:val="24"/>
          <w:szCs w:val="24"/>
          <w:lang w:val="en-US"/>
        </w:rPr>
        <w:tab/>
      </w:r>
      <w:r>
        <w:rPr>
          <w:rFonts w:hint="default"/>
          <w:b w:val="0"/>
          <w:bCs w:val="0"/>
          <w:sz w:val="24"/>
          <w:szCs w:val="24"/>
          <w:lang w:val="en-US"/>
        </w:rPr>
        <w:t xml:space="preserve"> </w:t>
      </w:r>
      <w:r>
        <w:rPr>
          <w:rFonts w:hint="default"/>
          <w:b w:val="0"/>
          <w:bCs w:val="0"/>
          <w:sz w:val="24"/>
          <w:szCs w:val="24"/>
          <w:u w:val="single"/>
          <w:lang w:val="en-US"/>
        </w:rPr>
        <w:t>240</w:t>
      </w:r>
    </w:p>
    <w:p>
      <w:pPr>
        <w:numPr>
          <w:ilvl w:val="0"/>
          <w:numId w:val="0"/>
        </w:numPr>
        <w:spacing w:line="240" w:lineRule="auto"/>
        <w:rPr>
          <w:rFonts w:hint="default"/>
          <w:b w:val="0"/>
          <w:bCs w:val="0"/>
          <w:sz w:val="24"/>
          <w:szCs w:val="24"/>
          <w:lang w:val="en-US"/>
        </w:rPr>
      </w:pPr>
      <w:r>
        <w:rPr>
          <w:rFonts w:hint="default"/>
          <w:b w:val="0"/>
          <w:bCs w:val="0"/>
          <w:sz w:val="24"/>
          <w:szCs w:val="24"/>
          <w:lang w:val="en-US"/>
        </w:rPr>
        <w:t>Current ratio             1.79               1.99               2.19              1.3</w:t>
      </w:r>
    </w:p>
    <w:p>
      <w:pPr>
        <w:numPr>
          <w:ilvl w:val="0"/>
          <w:numId w:val="0"/>
        </w:numPr>
        <w:spacing w:line="240" w:lineRule="auto"/>
        <w:rPr>
          <w:rFonts w:hint="default"/>
          <w:b w:val="0"/>
          <w:bCs w:val="0"/>
          <w:sz w:val="24"/>
          <w:szCs w:val="24"/>
          <w:lang w:val="en-US"/>
        </w:rPr>
      </w:pPr>
    </w:p>
    <w:p>
      <w:pPr>
        <w:numPr>
          <w:ilvl w:val="0"/>
          <w:numId w:val="0"/>
        </w:numPr>
        <w:spacing w:line="240" w:lineRule="auto"/>
        <w:rPr>
          <w:rFonts w:hint="default" w:eastAsiaTheme="minorEastAsia"/>
          <w:b/>
          <w:bCs/>
          <w:sz w:val="24"/>
          <w:szCs w:val="24"/>
          <w:lang w:val="en-US" w:eastAsia="zh-CN"/>
        </w:rPr>
      </w:pPr>
      <w:r>
        <w:rPr>
          <w:rFonts w:hint="default"/>
          <w:b/>
          <w:bCs/>
          <w:sz w:val="24"/>
          <w:szCs w:val="24"/>
          <w:lang w:val="en-US"/>
        </w:rPr>
        <w:t xml:space="preserve">W2 Return on </w:t>
      </w:r>
      <w:r>
        <w:rPr>
          <w:rFonts w:hint="eastAsia"/>
          <w:b/>
          <w:bCs/>
          <w:sz w:val="24"/>
          <w:szCs w:val="24"/>
          <w:lang w:val="en-US" w:eastAsia="zh-CN"/>
        </w:rPr>
        <w:t>capital employed</w:t>
      </w:r>
    </w:p>
    <w:p>
      <w:pPr>
        <w:numPr>
          <w:ilvl w:val="0"/>
          <w:numId w:val="0"/>
        </w:numPr>
        <w:spacing w:line="240" w:lineRule="auto"/>
        <w:rPr>
          <w:rFonts w:hint="default"/>
          <w:b w:val="0"/>
          <w:bCs w:val="0"/>
          <w:sz w:val="24"/>
          <w:szCs w:val="24"/>
          <w:lang w:val="en-US" w:eastAsia="zh-CN"/>
        </w:rPr>
      </w:pPr>
      <w:r>
        <w:rPr>
          <w:rFonts w:hint="default"/>
          <w:b w:val="0"/>
          <w:bCs w:val="0"/>
          <w:sz w:val="24"/>
          <w:szCs w:val="24"/>
          <w:lang w:val="en-US" w:eastAsia="zh-CN"/>
        </w:rPr>
        <w:t xml:space="preserve">                                2019</w:t>
      </w:r>
      <w:r>
        <w:rPr>
          <w:rFonts w:hint="default"/>
          <w:b w:val="0"/>
          <w:bCs w:val="0"/>
          <w:sz w:val="24"/>
          <w:szCs w:val="24"/>
          <w:lang w:val="en-US" w:eastAsia="zh-CN"/>
        </w:rPr>
        <w:tab/>
      </w:r>
      <w:r>
        <w:rPr>
          <w:rFonts w:hint="default"/>
          <w:b w:val="0"/>
          <w:bCs w:val="0"/>
          <w:sz w:val="24"/>
          <w:szCs w:val="24"/>
          <w:lang w:val="en-US" w:eastAsia="zh-CN"/>
        </w:rPr>
        <w:tab/>
      </w:r>
      <w:r>
        <w:rPr>
          <w:rFonts w:hint="default"/>
          <w:b w:val="0"/>
          <w:bCs w:val="0"/>
          <w:sz w:val="24"/>
          <w:szCs w:val="24"/>
          <w:lang w:val="en-US" w:eastAsia="zh-CN"/>
        </w:rPr>
        <w:t>2020</w:t>
      </w:r>
      <w:r>
        <w:rPr>
          <w:rFonts w:hint="default"/>
          <w:b w:val="0"/>
          <w:bCs w:val="0"/>
          <w:sz w:val="24"/>
          <w:szCs w:val="24"/>
          <w:lang w:val="en-US" w:eastAsia="zh-CN"/>
        </w:rPr>
        <w:tab/>
      </w:r>
      <w:r>
        <w:rPr>
          <w:rFonts w:hint="default"/>
          <w:b w:val="0"/>
          <w:bCs w:val="0"/>
          <w:sz w:val="24"/>
          <w:szCs w:val="24"/>
          <w:lang w:val="en-US" w:eastAsia="zh-CN"/>
        </w:rPr>
        <w:tab/>
      </w:r>
      <w:r>
        <w:rPr>
          <w:rFonts w:hint="default"/>
          <w:b w:val="0"/>
          <w:bCs w:val="0"/>
          <w:sz w:val="24"/>
          <w:szCs w:val="24"/>
          <w:lang w:val="en-US" w:eastAsia="zh-CN"/>
        </w:rPr>
        <w:t>2021</w:t>
      </w:r>
      <w:r>
        <w:rPr>
          <w:rFonts w:hint="default"/>
          <w:b w:val="0"/>
          <w:bCs w:val="0"/>
          <w:sz w:val="24"/>
          <w:szCs w:val="24"/>
          <w:lang w:val="en-US" w:eastAsia="zh-CN"/>
        </w:rPr>
        <w:tab/>
      </w:r>
      <w:r>
        <w:rPr>
          <w:rFonts w:hint="default"/>
          <w:b w:val="0"/>
          <w:bCs w:val="0"/>
          <w:sz w:val="24"/>
          <w:szCs w:val="24"/>
          <w:lang w:val="en-US" w:eastAsia="zh-CN"/>
        </w:rPr>
        <w:tab/>
      </w:r>
      <w:r>
        <w:rPr>
          <w:rFonts w:hint="default"/>
          <w:b w:val="0"/>
          <w:bCs w:val="0"/>
          <w:sz w:val="24"/>
          <w:szCs w:val="24"/>
          <w:lang w:val="en-US" w:eastAsia="zh-CN"/>
        </w:rPr>
        <w:t>2022 (projected)</w:t>
      </w:r>
    </w:p>
    <w:p>
      <w:pPr>
        <w:numPr>
          <w:ilvl w:val="0"/>
          <w:numId w:val="0"/>
        </w:numPr>
        <w:spacing w:line="240" w:lineRule="auto"/>
        <w:rPr>
          <w:rFonts w:hint="default"/>
          <w:b w:val="0"/>
          <w:bCs w:val="0"/>
          <w:sz w:val="24"/>
          <w:szCs w:val="24"/>
          <w:lang w:val="en-US" w:eastAsia="zh-CN"/>
        </w:rPr>
      </w:pPr>
      <w:r>
        <w:rPr>
          <w:rFonts w:hint="default"/>
          <w:b w:val="0"/>
          <w:bCs w:val="0"/>
          <w:sz w:val="24"/>
          <w:szCs w:val="24"/>
          <w:lang w:val="en-US" w:eastAsia="zh-CN"/>
        </w:rPr>
        <w:tab/>
      </w:r>
      <w:r>
        <w:rPr>
          <w:rFonts w:hint="default"/>
          <w:b w:val="0"/>
          <w:bCs w:val="0"/>
          <w:sz w:val="24"/>
          <w:szCs w:val="24"/>
          <w:lang w:val="en-US" w:eastAsia="zh-CN"/>
        </w:rPr>
        <w:tab/>
      </w:r>
      <w:r>
        <w:rPr>
          <w:rFonts w:hint="default"/>
          <w:b w:val="0"/>
          <w:bCs w:val="0"/>
          <w:sz w:val="24"/>
          <w:szCs w:val="24"/>
          <w:lang w:val="en-US" w:eastAsia="zh-CN"/>
        </w:rPr>
        <w:t xml:space="preserve">          £’000</w:t>
      </w:r>
      <w:r>
        <w:rPr>
          <w:rFonts w:hint="default"/>
          <w:b w:val="0"/>
          <w:bCs w:val="0"/>
          <w:sz w:val="24"/>
          <w:szCs w:val="24"/>
          <w:lang w:val="en-US" w:eastAsia="zh-CN"/>
        </w:rPr>
        <w:tab/>
      </w:r>
      <w:r>
        <w:rPr>
          <w:rFonts w:hint="default"/>
          <w:b w:val="0"/>
          <w:bCs w:val="0"/>
          <w:sz w:val="24"/>
          <w:szCs w:val="24"/>
          <w:lang w:val="en-US" w:eastAsia="zh-CN"/>
        </w:rPr>
        <w:tab/>
      </w:r>
      <w:r>
        <w:rPr>
          <w:rFonts w:hint="default"/>
          <w:b w:val="0"/>
          <w:bCs w:val="0"/>
          <w:sz w:val="24"/>
          <w:szCs w:val="24"/>
          <w:lang w:val="en-US" w:eastAsia="zh-CN"/>
        </w:rPr>
        <w:t>£’000</w:t>
      </w:r>
      <w:r>
        <w:rPr>
          <w:rFonts w:hint="default"/>
          <w:b w:val="0"/>
          <w:bCs w:val="0"/>
          <w:sz w:val="24"/>
          <w:szCs w:val="24"/>
          <w:lang w:val="en-US" w:eastAsia="zh-CN"/>
        </w:rPr>
        <w:tab/>
      </w:r>
      <w:r>
        <w:rPr>
          <w:rFonts w:hint="default"/>
          <w:b w:val="0"/>
          <w:bCs w:val="0"/>
          <w:sz w:val="24"/>
          <w:szCs w:val="24"/>
          <w:lang w:val="en-US" w:eastAsia="zh-CN"/>
        </w:rPr>
        <w:tab/>
      </w:r>
      <w:r>
        <w:rPr>
          <w:rFonts w:hint="default"/>
          <w:b w:val="0"/>
          <w:bCs w:val="0"/>
          <w:sz w:val="24"/>
          <w:szCs w:val="24"/>
          <w:lang w:val="en-US" w:eastAsia="zh-CN"/>
        </w:rPr>
        <w:t>£’000</w:t>
      </w:r>
      <w:r>
        <w:rPr>
          <w:rFonts w:hint="default"/>
          <w:b w:val="0"/>
          <w:bCs w:val="0"/>
          <w:sz w:val="24"/>
          <w:szCs w:val="24"/>
          <w:lang w:val="en-US" w:eastAsia="zh-CN"/>
        </w:rPr>
        <w:tab/>
      </w:r>
      <w:r>
        <w:rPr>
          <w:rFonts w:hint="default"/>
          <w:b w:val="0"/>
          <w:bCs w:val="0"/>
          <w:sz w:val="24"/>
          <w:szCs w:val="24"/>
          <w:lang w:val="en-US" w:eastAsia="zh-CN"/>
        </w:rPr>
        <w:tab/>
      </w:r>
      <w:r>
        <w:rPr>
          <w:rFonts w:hint="default"/>
          <w:b w:val="0"/>
          <w:bCs w:val="0"/>
          <w:sz w:val="24"/>
          <w:szCs w:val="24"/>
          <w:lang w:val="en-US" w:eastAsia="zh-CN"/>
        </w:rPr>
        <w:t>£’000</w:t>
      </w:r>
    </w:p>
    <w:p>
      <w:pPr>
        <w:numPr>
          <w:ilvl w:val="0"/>
          <w:numId w:val="0"/>
        </w:numPr>
        <w:spacing w:line="240" w:lineRule="auto"/>
        <w:rPr>
          <w:rFonts w:hint="default"/>
          <w:b w:val="0"/>
          <w:bCs w:val="0"/>
          <w:sz w:val="24"/>
          <w:szCs w:val="24"/>
          <w:lang w:val="en-US" w:eastAsia="zh-CN"/>
        </w:rPr>
      </w:pPr>
      <w:r>
        <w:rPr>
          <w:rFonts w:hint="default"/>
          <w:b w:val="0"/>
          <w:bCs w:val="0"/>
          <w:sz w:val="24"/>
          <w:szCs w:val="24"/>
          <w:lang w:val="en-US" w:eastAsia="zh-CN"/>
        </w:rPr>
        <w:t>Current assets</w:t>
      </w:r>
      <w:r>
        <w:rPr>
          <w:rFonts w:hint="default"/>
          <w:b w:val="0"/>
          <w:bCs w:val="0"/>
          <w:sz w:val="24"/>
          <w:szCs w:val="24"/>
          <w:lang w:val="en-US" w:eastAsia="zh-CN"/>
        </w:rPr>
        <w:tab/>
      </w:r>
      <w:r>
        <w:rPr>
          <w:rFonts w:hint="default"/>
          <w:b w:val="0"/>
          <w:bCs w:val="0"/>
          <w:sz w:val="24"/>
          <w:szCs w:val="24"/>
          <w:lang w:val="en-US" w:eastAsia="zh-CN"/>
        </w:rPr>
        <w:t xml:space="preserve"> 328</w:t>
      </w:r>
      <w:r>
        <w:rPr>
          <w:rFonts w:hint="default"/>
          <w:b w:val="0"/>
          <w:bCs w:val="0"/>
          <w:sz w:val="24"/>
          <w:szCs w:val="24"/>
          <w:lang w:val="en-US" w:eastAsia="zh-CN"/>
        </w:rPr>
        <w:tab/>
      </w:r>
      <w:r>
        <w:rPr>
          <w:rFonts w:hint="default"/>
          <w:b w:val="0"/>
          <w:bCs w:val="0"/>
          <w:sz w:val="24"/>
          <w:szCs w:val="24"/>
          <w:lang w:val="en-US" w:eastAsia="zh-CN"/>
        </w:rPr>
        <w:tab/>
      </w:r>
      <w:r>
        <w:rPr>
          <w:rFonts w:hint="default"/>
          <w:b w:val="0"/>
          <w:bCs w:val="0"/>
          <w:sz w:val="24"/>
          <w:szCs w:val="24"/>
          <w:lang w:val="en-US" w:eastAsia="zh-CN"/>
        </w:rPr>
        <w:t xml:space="preserve">  392</w:t>
      </w:r>
      <w:r>
        <w:rPr>
          <w:rFonts w:hint="default"/>
          <w:b w:val="0"/>
          <w:bCs w:val="0"/>
          <w:sz w:val="24"/>
          <w:szCs w:val="24"/>
          <w:lang w:val="en-US" w:eastAsia="zh-CN"/>
        </w:rPr>
        <w:tab/>
      </w:r>
      <w:r>
        <w:rPr>
          <w:rFonts w:hint="default"/>
          <w:b w:val="0"/>
          <w:bCs w:val="0"/>
          <w:sz w:val="24"/>
          <w:szCs w:val="24"/>
          <w:lang w:val="en-US" w:eastAsia="zh-CN"/>
        </w:rPr>
        <w:tab/>
      </w:r>
      <w:r>
        <w:rPr>
          <w:rFonts w:hint="default"/>
          <w:b w:val="0"/>
          <w:bCs w:val="0"/>
          <w:sz w:val="24"/>
          <w:szCs w:val="24"/>
          <w:lang w:val="en-US" w:eastAsia="zh-CN"/>
        </w:rPr>
        <w:t xml:space="preserve"> 377 </w:t>
      </w:r>
      <w:r>
        <w:rPr>
          <w:rFonts w:hint="default"/>
          <w:b w:val="0"/>
          <w:bCs w:val="0"/>
          <w:sz w:val="24"/>
          <w:szCs w:val="24"/>
          <w:lang w:val="en-US" w:eastAsia="zh-CN"/>
        </w:rPr>
        <w:tab/>
      </w:r>
      <w:r>
        <w:rPr>
          <w:rFonts w:hint="default"/>
          <w:b w:val="0"/>
          <w:bCs w:val="0"/>
          <w:sz w:val="24"/>
          <w:szCs w:val="24"/>
          <w:lang w:val="en-US" w:eastAsia="zh-CN"/>
        </w:rPr>
        <w:tab/>
      </w:r>
      <w:r>
        <w:rPr>
          <w:rFonts w:hint="default"/>
          <w:b w:val="0"/>
          <w:bCs w:val="0"/>
          <w:sz w:val="24"/>
          <w:szCs w:val="24"/>
          <w:lang w:val="en-US" w:eastAsia="zh-CN"/>
        </w:rPr>
        <w:t xml:space="preserve">  312</w:t>
      </w:r>
    </w:p>
    <w:p>
      <w:pPr>
        <w:numPr>
          <w:ilvl w:val="0"/>
          <w:numId w:val="0"/>
        </w:numPr>
        <w:spacing w:line="240" w:lineRule="auto"/>
        <w:rPr>
          <w:rFonts w:hint="default"/>
          <w:b w:val="0"/>
          <w:bCs w:val="0"/>
          <w:sz w:val="24"/>
          <w:szCs w:val="24"/>
          <w:lang w:val="en-US"/>
        </w:rPr>
      </w:pPr>
      <w:r>
        <w:rPr>
          <w:rFonts w:hint="default"/>
          <w:b w:val="0"/>
          <w:bCs w:val="0"/>
          <w:sz w:val="24"/>
          <w:szCs w:val="24"/>
          <w:lang w:val="en-US"/>
        </w:rPr>
        <w:t>Non-current assets</w:t>
      </w:r>
      <w:r>
        <w:rPr>
          <w:rFonts w:hint="default"/>
          <w:b w:val="0"/>
          <w:bCs w:val="0"/>
          <w:sz w:val="24"/>
          <w:szCs w:val="24"/>
          <w:lang w:val="en-US"/>
        </w:rPr>
        <w:tab/>
      </w:r>
      <w:r>
        <w:rPr>
          <w:rFonts w:hint="default"/>
          <w:b w:val="0"/>
          <w:bCs w:val="0"/>
          <w:sz w:val="24"/>
          <w:szCs w:val="24"/>
          <w:lang w:val="en-US"/>
        </w:rPr>
        <w:t xml:space="preserve"> 700</w:t>
      </w:r>
      <w:r>
        <w:rPr>
          <w:rFonts w:hint="default"/>
          <w:b w:val="0"/>
          <w:bCs w:val="0"/>
          <w:sz w:val="24"/>
          <w:szCs w:val="24"/>
          <w:lang w:val="en-US"/>
        </w:rPr>
        <w:tab/>
      </w:r>
      <w:r>
        <w:rPr>
          <w:rFonts w:hint="default"/>
          <w:b w:val="0"/>
          <w:bCs w:val="0"/>
          <w:sz w:val="24"/>
          <w:szCs w:val="24"/>
          <w:lang w:val="en-US"/>
        </w:rPr>
        <w:tab/>
      </w:r>
      <w:r>
        <w:rPr>
          <w:rFonts w:hint="default"/>
          <w:b w:val="0"/>
          <w:bCs w:val="0"/>
          <w:sz w:val="24"/>
          <w:szCs w:val="24"/>
          <w:lang w:val="en-US"/>
        </w:rPr>
        <w:t xml:space="preserve">  780</w:t>
      </w:r>
      <w:r>
        <w:rPr>
          <w:rFonts w:hint="default"/>
          <w:b w:val="0"/>
          <w:bCs w:val="0"/>
          <w:sz w:val="24"/>
          <w:szCs w:val="24"/>
          <w:lang w:val="en-US"/>
        </w:rPr>
        <w:tab/>
      </w:r>
      <w:r>
        <w:rPr>
          <w:rFonts w:hint="default"/>
          <w:b w:val="0"/>
          <w:bCs w:val="0"/>
          <w:sz w:val="24"/>
          <w:szCs w:val="24"/>
          <w:lang w:val="en-US"/>
        </w:rPr>
        <w:tab/>
      </w:r>
      <w:r>
        <w:rPr>
          <w:rFonts w:hint="default"/>
          <w:b w:val="0"/>
          <w:bCs w:val="0"/>
          <w:sz w:val="24"/>
          <w:szCs w:val="24"/>
          <w:lang w:val="en-US"/>
        </w:rPr>
        <w:t xml:space="preserve"> 780</w:t>
      </w:r>
      <w:r>
        <w:rPr>
          <w:rFonts w:hint="default"/>
          <w:b w:val="0"/>
          <w:bCs w:val="0"/>
          <w:sz w:val="24"/>
          <w:szCs w:val="24"/>
          <w:lang w:val="en-US"/>
        </w:rPr>
        <w:tab/>
      </w:r>
      <w:r>
        <w:rPr>
          <w:rFonts w:hint="default"/>
          <w:b w:val="0"/>
          <w:bCs w:val="0"/>
          <w:sz w:val="24"/>
          <w:szCs w:val="24"/>
          <w:lang w:val="en-US"/>
        </w:rPr>
        <w:tab/>
      </w:r>
      <w:r>
        <w:rPr>
          <w:rFonts w:hint="default"/>
          <w:b w:val="0"/>
          <w:bCs w:val="0"/>
          <w:sz w:val="24"/>
          <w:szCs w:val="24"/>
          <w:lang w:val="en-US"/>
        </w:rPr>
        <w:t xml:space="preserve">  780</w:t>
      </w:r>
    </w:p>
    <w:p>
      <w:pPr>
        <w:numPr>
          <w:ilvl w:val="0"/>
          <w:numId w:val="0"/>
        </w:numPr>
        <w:spacing w:line="240" w:lineRule="auto"/>
        <w:rPr>
          <w:rFonts w:hint="default"/>
          <w:b w:val="0"/>
          <w:bCs w:val="0"/>
          <w:sz w:val="24"/>
          <w:szCs w:val="24"/>
          <w:lang w:val="en-US"/>
        </w:rPr>
      </w:pPr>
      <w:r>
        <w:rPr>
          <w:rFonts w:hint="default"/>
          <w:b w:val="0"/>
          <w:bCs w:val="0"/>
          <w:sz w:val="24"/>
          <w:szCs w:val="24"/>
          <w:lang w:val="en-US"/>
        </w:rPr>
        <w:t>Current liabilities</w:t>
      </w:r>
      <w:r>
        <w:rPr>
          <w:rFonts w:hint="default"/>
          <w:b w:val="0"/>
          <w:bCs w:val="0"/>
          <w:sz w:val="24"/>
          <w:szCs w:val="24"/>
          <w:lang w:val="en-US"/>
        </w:rPr>
        <w:tab/>
      </w:r>
      <w:r>
        <w:rPr>
          <w:rFonts w:hint="default"/>
          <w:b w:val="0"/>
          <w:bCs w:val="0"/>
          <w:sz w:val="24"/>
          <w:szCs w:val="24"/>
          <w:lang w:val="en-US"/>
        </w:rPr>
        <w:t xml:space="preserve"> </w:t>
      </w:r>
      <w:r>
        <w:rPr>
          <w:rFonts w:hint="default"/>
          <w:b w:val="0"/>
          <w:bCs w:val="0"/>
          <w:sz w:val="24"/>
          <w:szCs w:val="24"/>
          <w:lang w:val="en-US" w:eastAsia="zh-CN"/>
        </w:rPr>
        <w:t>(</w:t>
      </w:r>
      <w:r>
        <w:rPr>
          <w:rFonts w:hint="default"/>
          <w:b w:val="0"/>
          <w:bCs w:val="0"/>
          <w:sz w:val="24"/>
          <w:szCs w:val="24"/>
          <w:u w:val="single"/>
          <w:lang w:val="en-US"/>
        </w:rPr>
        <w:t>183</w:t>
      </w:r>
      <w:r>
        <w:rPr>
          <w:rFonts w:hint="default"/>
          <w:b w:val="0"/>
          <w:bCs w:val="0"/>
          <w:sz w:val="24"/>
          <w:szCs w:val="24"/>
          <w:lang w:val="en-US"/>
        </w:rPr>
        <w:t>)</w:t>
      </w:r>
      <w:r>
        <w:rPr>
          <w:rFonts w:hint="default"/>
          <w:b w:val="0"/>
          <w:bCs w:val="0"/>
          <w:sz w:val="24"/>
          <w:szCs w:val="24"/>
          <w:lang w:val="en-US"/>
        </w:rPr>
        <w:tab/>
      </w:r>
      <w:r>
        <w:rPr>
          <w:rFonts w:hint="default"/>
          <w:b w:val="0"/>
          <w:bCs w:val="0"/>
          <w:sz w:val="24"/>
          <w:szCs w:val="24"/>
          <w:lang w:val="en-US"/>
        </w:rPr>
        <w:t xml:space="preserve"> </w:t>
      </w:r>
      <w:r>
        <w:rPr>
          <w:rFonts w:hint="default"/>
          <w:b w:val="0"/>
          <w:bCs w:val="0"/>
          <w:sz w:val="24"/>
          <w:szCs w:val="24"/>
          <w:u w:val="none"/>
          <w:lang w:val="en-US"/>
        </w:rPr>
        <w:t xml:space="preserve">           </w:t>
      </w:r>
      <w:r>
        <w:rPr>
          <w:rFonts w:hint="default"/>
          <w:b w:val="0"/>
          <w:bCs w:val="0"/>
          <w:sz w:val="24"/>
          <w:szCs w:val="24"/>
          <w:u w:val="single"/>
          <w:lang w:val="en-US"/>
        </w:rPr>
        <w:t>(197)</w:t>
      </w:r>
      <w:r>
        <w:rPr>
          <w:rFonts w:hint="default"/>
          <w:b w:val="0"/>
          <w:bCs w:val="0"/>
          <w:sz w:val="24"/>
          <w:szCs w:val="24"/>
          <w:lang w:val="en-US"/>
        </w:rPr>
        <w:tab/>
      </w:r>
      <w:r>
        <w:rPr>
          <w:rFonts w:hint="default"/>
          <w:b w:val="0"/>
          <w:bCs w:val="0"/>
          <w:sz w:val="24"/>
          <w:szCs w:val="24"/>
          <w:lang w:val="en-US"/>
        </w:rPr>
        <w:tab/>
      </w:r>
      <w:r>
        <w:rPr>
          <w:rFonts w:hint="default"/>
          <w:b w:val="0"/>
          <w:bCs w:val="0"/>
          <w:sz w:val="24"/>
          <w:szCs w:val="24"/>
          <w:lang w:val="en-US"/>
        </w:rPr>
        <w:t xml:space="preserve"> (</w:t>
      </w:r>
      <w:r>
        <w:rPr>
          <w:rFonts w:hint="default"/>
          <w:b w:val="0"/>
          <w:bCs w:val="0"/>
          <w:sz w:val="24"/>
          <w:szCs w:val="24"/>
          <w:u w:val="single"/>
          <w:lang w:val="en-US"/>
        </w:rPr>
        <w:t>172)</w:t>
      </w:r>
      <w:r>
        <w:rPr>
          <w:rFonts w:hint="default"/>
          <w:b w:val="0"/>
          <w:bCs w:val="0"/>
          <w:sz w:val="24"/>
          <w:szCs w:val="24"/>
          <w:lang w:val="en-US"/>
        </w:rPr>
        <w:tab/>
      </w:r>
      <w:r>
        <w:rPr>
          <w:rFonts w:hint="default"/>
          <w:b w:val="0"/>
          <w:bCs w:val="0"/>
          <w:sz w:val="24"/>
          <w:szCs w:val="24"/>
          <w:lang w:val="en-US"/>
        </w:rPr>
        <w:tab/>
      </w:r>
      <w:r>
        <w:rPr>
          <w:rFonts w:hint="default"/>
          <w:b w:val="0"/>
          <w:bCs w:val="0"/>
          <w:sz w:val="24"/>
          <w:szCs w:val="24"/>
          <w:lang w:val="en-US"/>
        </w:rPr>
        <w:t xml:space="preserve">  (</w:t>
      </w:r>
      <w:r>
        <w:rPr>
          <w:rFonts w:hint="default"/>
          <w:b w:val="0"/>
          <w:bCs w:val="0"/>
          <w:sz w:val="24"/>
          <w:szCs w:val="24"/>
          <w:u w:val="single"/>
          <w:lang w:val="en-US"/>
        </w:rPr>
        <w:t>240)</w:t>
      </w:r>
    </w:p>
    <w:p>
      <w:pPr>
        <w:numPr>
          <w:ilvl w:val="0"/>
          <w:numId w:val="0"/>
        </w:numPr>
        <w:spacing w:line="240" w:lineRule="auto"/>
        <w:rPr>
          <w:rFonts w:hint="default"/>
          <w:b w:val="0"/>
          <w:bCs w:val="0"/>
          <w:sz w:val="24"/>
          <w:szCs w:val="24"/>
          <w:lang w:val="en-US"/>
        </w:rPr>
      </w:pPr>
      <w:r>
        <w:rPr>
          <w:rFonts w:hint="default"/>
          <w:b w:val="0"/>
          <w:bCs w:val="0"/>
          <w:sz w:val="24"/>
          <w:szCs w:val="24"/>
          <w:lang w:val="en-US"/>
        </w:rPr>
        <w:t>Capital employed      845                 975                985               852</w:t>
      </w:r>
    </w:p>
    <w:p>
      <w:pPr>
        <w:numPr>
          <w:ilvl w:val="0"/>
          <w:numId w:val="0"/>
        </w:numPr>
        <w:spacing w:line="240" w:lineRule="auto"/>
        <w:rPr>
          <w:rFonts w:hint="default"/>
          <w:b w:val="0"/>
          <w:bCs w:val="0"/>
          <w:sz w:val="24"/>
          <w:szCs w:val="24"/>
          <w:lang w:val="en-US" w:eastAsia="zh-CN"/>
        </w:rPr>
      </w:pPr>
      <w:r>
        <w:rPr>
          <w:rFonts w:hint="default"/>
          <w:b w:val="0"/>
          <w:bCs w:val="0"/>
          <w:sz w:val="24"/>
          <w:szCs w:val="24"/>
          <w:lang w:val="en-US"/>
        </w:rPr>
        <w:t>P</w:t>
      </w:r>
      <w:r>
        <w:rPr>
          <w:rFonts w:hint="eastAsia"/>
          <w:b w:val="0"/>
          <w:bCs w:val="0"/>
          <w:sz w:val="24"/>
          <w:szCs w:val="24"/>
          <w:lang w:val="en-US" w:eastAsia="zh-CN"/>
        </w:rPr>
        <w:t>ro</w:t>
      </w:r>
      <w:r>
        <w:rPr>
          <w:rFonts w:hint="default"/>
          <w:b w:val="0"/>
          <w:bCs w:val="0"/>
          <w:sz w:val="24"/>
          <w:szCs w:val="24"/>
          <w:lang w:val="en-US" w:eastAsia="zh-CN"/>
        </w:rPr>
        <w:t xml:space="preserve">fit before tax         </w:t>
      </w:r>
      <w:r>
        <w:rPr>
          <w:rFonts w:hint="default"/>
          <w:b w:val="0"/>
          <w:bCs w:val="0"/>
          <w:sz w:val="24"/>
          <w:szCs w:val="24"/>
          <w:u w:val="single"/>
          <w:lang w:val="en-US" w:eastAsia="zh-CN"/>
        </w:rPr>
        <w:t>300</w:t>
      </w:r>
      <w:r>
        <w:rPr>
          <w:rFonts w:hint="default"/>
          <w:b w:val="0"/>
          <w:bCs w:val="0"/>
          <w:sz w:val="24"/>
          <w:szCs w:val="24"/>
          <w:lang w:val="en-US" w:eastAsia="zh-CN"/>
        </w:rPr>
        <w:tab/>
      </w:r>
      <w:r>
        <w:rPr>
          <w:rFonts w:hint="default"/>
          <w:b w:val="0"/>
          <w:bCs w:val="0"/>
          <w:sz w:val="24"/>
          <w:szCs w:val="24"/>
          <w:lang w:val="en-US" w:eastAsia="zh-CN"/>
        </w:rPr>
        <w:tab/>
      </w:r>
      <w:r>
        <w:rPr>
          <w:rFonts w:hint="default"/>
          <w:b w:val="0"/>
          <w:bCs w:val="0"/>
          <w:sz w:val="24"/>
          <w:szCs w:val="24"/>
          <w:lang w:val="en-US" w:eastAsia="zh-CN"/>
        </w:rPr>
        <w:t xml:space="preserve">   </w:t>
      </w:r>
      <w:r>
        <w:rPr>
          <w:rFonts w:hint="default"/>
          <w:b w:val="0"/>
          <w:bCs w:val="0"/>
          <w:sz w:val="24"/>
          <w:szCs w:val="24"/>
          <w:u w:val="single"/>
          <w:lang w:val="en-US" w:eastAsia="zh-CN"/>
        </w:rPr>
        <w:t>372</w:t>
      </w:r>
      <w:r>
        <w:rPr>
          <w:rFonts w:hint="default"/>
          <w:b w:val="0"/>
          <w:bCs w:val="0"/>
          <w:sz w:val="24"/>
          <w:szCs w:val="24"/>
          <w:lang w:val="en-US" w:eastAsia="zh-CN"/>
        </w:rPr>
        <w:tab/>
      </w:r>
      <w:r>
        <w:rPr>
          <w:rFonts w:hint="default"/>
          <w:b w:val="0"/>
          <w:bCs w:val="0"/>
          <w:sz w:val="24"/>
          <w:szCs w:val="24"/>
          <w:lang w:val="en-US" w:eastAsia="zh-CN"/>
        </w:rPr>
        <w:tab/>
      </w:r>
      <w:r>
        <w:rPr>
          <w:rFonts w:hint="default"/>
          <w:b w:val="0"/>
          <w:bCs w:val="0"/>
          <w:sz w:val="24"/>
          <w:szCs w:val="24"/>
          <w:lang w:val="en-US" w:eastAsia="zh-CN"/>
        </w:rPr>
        <w:t xml:space="preserve">   </w:t>
      </w:r>
      <w:r>
        <w:rPr>
          <w:rFonts w:hint="default"/>
          <w:b w:val="0"/>
          <w:bCs w:val="0"/>
          <w:sz w:val="24"/>
          <w:szCs w:val="24"/>
          <w:u w:val="single"/>
          <w:lang w:val="en-US" w:eastAsia="zh-CN"/>
        </w:rPr>
        <w:t>105</w:t>
      </w:r>
      <w:r>
        <w:rPr>
          <w:rFonts w:hint="default"/>
          <w:b w:val="0"/>
          <w:bCs w:val="0"/>
          <w:sz w:val="24"/>
          <w:szCs w:val="24"/>
          <w:lang w:val="en-US" w:eastAsia="zh-CN"/>
        </w:rPr>
        <w:tab/>
      </w:r>
      <w:r>
        <w:rPr>
          <w:rFonts w:hint="default"/>
          <w:b w:val="0"/>
          <w:bCs w:val="0"/>
          <w:sz w:val="24"/>
          <w:szCs w:val="24"/>
          <w:lang w:val="en-US" w:eastAsia="zh-CN"/>
        </w:rPr>
        <w:tab/>
      </w:r>
      <w:r>
        <w:rPr>
          <w:rFonts w:hint="default"/>
          <w:b w:val="0"/>
          <w:bCs w:val="0"/>
          <w:sz w:val="24"/>
          <w:szCs w:val="24"/>
          <w:lang w:val="en-US" w:eastAsia="zh-CN"/>
        </w:rPr>
        <w:t xml:space="preserve"> </w:t>
      </w:r>
      <w:r>
        <w:rPr>
          <w:rFonts w:hint="default"/>
          <w:b w:val="0"/>
          <w:bCs w:val="0"/>
          <w:sz w:val="24"/>
          <w:szCs w:val="24"/>
          <w:u w:val="single"/>
          <w:lang w:val="en-US" w:eastAsia="zh-CN"/>
        </w:rPr>
        <w:t>-175</w:t>
      </w:r>
    </w:p>
    <w:p>
      <w:pPr>
        <w:numPr>
          <w:ilvl w:val="0"/>
          <w:numId w:val="0"/>
        </w:numPr>
        <w:spacing w:line="240" w:lineRule="auto"/>
        <w:rPr>
          <w:rFonts w:hint="default"/>
          <w:b w:val="0"/>
          <w:bCs w:val="0"/>
          <w:sz w:val="24"/>
          <w:szCs w:val="24"/>
          <w:lang w:val="en-US" w:eastAsia="zh-CN"/>
        </w:rPr>
      </w:pPr>
      <w:r>
        <w:rPr>
          <w:rFonts w:hint="default"/>
          <w:b w:val="0"/>
          <w:bCs w:val="0"/>
          <w:sz w:val="24"/>
          <w:szCs w:val="24"/>
          <w:lang w:val="en-US" w:eastAsia="zh-CN"/>
        </w:rPr>
        <w:t>ROCE                         35.5%          38.15%         10.66%      -20.54%</w:t>
      </w:r>
    </w:p>
    <w:p/>
    <w:sectPr>
      <w:pgSz w:w="11906" w:h="16838"/>
      <w:pgMar w:top="1440" w:right="1800" w:bottom="1440" w:left="1800" w:header="708" w:footer="708" w:gutter="0"/>
      <w:pgNumType w:fmt="decimal"/>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宋体-简"/>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黑体-简"/>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Calibri Light">
    <w:altName w:val="Helvetica Neue"/>
    <w:panose1 w:val="020F0302020204030204"/>
    <w:charset w:val="00"/>
    <w:family w:val="swiss"/>
    <w:pitch w:val="default"/>
    <w:sig w:usb0="00000000" w:usb1="00000000" w:usb2="00000009" w:usb3="00000000" w:csb0="000001FF" w:csb1="00000000"/>
  </w:font>
  <w:font w:name="冬青黑体简体中文">
    <w:panose1 w:val="020B0300000000000000"/>
    <w:charset w:val="86"/>
    <w:family w:val="auto"/>
    <w:pitch w:val="default"/>
    <w:sig w:usb0="00000000" w:usb1="00000000" w:usb2="00000000" w:usb3="00000000" w:csb0="00160000" w:csb1="00000000"/>
  </w:font>
  <w:font w:name="黑体-简">
    <w:panose1 w:val="02000000000000000000"/>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kgka0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E4pMUyj4Jfv3y4/fl1+fiXTJE/twhxRO4e42Ly1DZpmOA84TKyb0uv0BR8CP8Q9&#10;X8UVTSQ8XZpNZ7MxXBy+YQP87PG68yG+E1aTZOTUo3qtqOy0DbELHUJSNmM3Uqm2gsqQOqc3r9+M&#10;2wtXD8CVQY5EontssmKzb3pme1ucQczbrjOC4xuJ5FsW4gPzaAU8GMMS77GUyiKJ7S1KKuu//Os8&#10;xaNC8FJSo7VyajBJlKj3BpUDYBwMPxj7wTBHfWfRqxMMoeOtiQs+qsEsvdWfMUGrlAMuZjgy5TQO&#10;5l3s2hsTyMVq1QYdnZeHqruAvnMsbs3O8ZQmCRnc6hghZqtxEqhTpdcNnddWqZ+S1Np/7tuoxz/D&#10;8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JIJGtDECAABhBAAADgAAAAAAAAABACAAAAA1&#10;AQAAZHJzL2Uyb0RvYy54bWxQSwUGAAAAAAYABgBZAQAA2A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E8386B"/>
    <w:multiLevelType w:val="singleLevel"/>
    <w:tmpl w:val="BFE8386B"/>
    <w:lvl w:ilvl="0" w:tentative="0">
      <w:start w:val="1"/>
      <w:numFmt w:val="decimal"/>
      <w:suff w:val="space"/>
      <w:lvlText w:val="%1."/>
      <w:lvlJc w:val="left"/>
    </w:lvl>
  </w:abstractNum>
  <w:abstractNum w:abstractNumId="1">
    <w:nsid w:val="C5FEB1B6"/>
    <w:multiLevelType w:val="singleLevel"/>
    <w:tmpl w:val="C5FEB1B6"/>
    <w:lvl w:ilvl="0" w:tentative="0">
      <w:start w:val="1"/>
      <w:numFmt w:val="decimal"/>
      <w:suff w:val="space"/>
      <w:lvlText w:val="%1)"/>
      <w:lvlJc w:val="left"/>
    </w:lvl>
  </w:abstractNum>
  <w:abstractNum w:abstractNumId="2">
    <w:nsid w:val="D77E4F71"/>
    <w:multiLevelType w:val="singleLevel"/>
    <w:tmpl w:val="D77E4F71"/>
    <w:lvl w:ilvl="0" w:tentative="0">
      <w:start w:val="2"/>
      <w:numFmt w:val="decimal"/>
      <w:suff w:val="space"/>
      <w:lvlText w:val="(%1)"/>
      <w:lvlJc w:val="left"/>
    </w:lvl>
  </w:abstractNum>
  <w:abstractNum w:abstractNumId="3">
    <w:nsid w:val="DFCA40B6"/>
    <w:multiLevelType w:val="singleLevel"/>
    <w:tmpl w:val="DFCA40B6"/>
    <w:lvl w:ilvl="0" w:tentative="0">
      <w:start w:val="1"/>
      <w:numFmt w:val="lowerLetter"/>
      <w:suff w:val="space"/>
      <w:lvlText w:val="%1."/>
      <w:lvlJc w:val="left"/>
    </w:lvl>
  </w:abstractNum>
  <w:abstractNum w:abstractNumId="4">
    <w:nsid w:val="E5BD8A7D"/>
    <w:multiLevelType w:val="singleLevel"/>
    <w:tmpl w:val="E5BD8A7D"/>
    <w:lvl w:ilvl="0" w:tentative="0">
      <w:start w:val="1"/>
      <w:numFmt w:val="decimal"/>
      <w:suff w:val="space"/>
      <w:lvlText w:val="%1)"/>
      <w:lvlJc w:val="left"/>
    </w:lvl>
  </w:abstractNum>
  <w:abstractNum w:abstractNumId="5">
    <w:nsid w:val="E7F753D5"/>
    <w:multiLevelType w:val="singleLevel"/>
    <w:tmpl w:val="E7F753D5"/>
    <w:lvl w:ilvl="0" w:tentative="0">
      <w:start w:val="1"/>
      <w:numFmt w:val="decimal"/>
      <w:suff w:val="space"/>
      <w:lvlText w:val="%1)"/>
      <w:lvlJc w:val="left"/>
    </w:lvl>
  </w:abstractNum>
  <w:abstractNum w:abstractNumId="6">
    <w:nsid w:val="EBFE05EC"/>
    <w:multiLevelType w:val="singleLevel"/>
    <w:tmpl w:val="EBFE05EC"/>
    <w:lvl w:ilvl="0" w:tentative="0">
      <w:start w:val="1"/>
      <w:numFmt w:val="decimal"/>
      <w:suff w:val="space"/>
      <w:lvlText w:val="(%1)"/>
      <w:lvlJc w:val="left"/>
    </w:lvl>
  </w:abstractNum>
  <w:abstractNum w:abstractNumId="7">
    <w:nsid w:val="F77FEF4D"/>
    <w:multiLevelType w:val="singleLevel"/>
    <w:tmpl w:val="F77FEF4D"/>
    <w:lvl w:ilvl="0" w:tentative="0">
      <w:start w:val="1"/>
      <w:numFmt w:val="decimal"/>
      <w:lvlText w:val="[%1]"/>
      <w:lvlJc w:val="left"/>
      <w:pPr>
        <w:tabs>
          <w:tab w:val="left" w:pos="312"/>
        </w:tabs>
      </w:pPr>
    </w:lvl>
  </w:abstractNum>
  <w:abstractNum w:abstractNumId="8">
    <w:nsid w:val="FB648B97"/>
    <w:multiLevelType w:val="singleLevel"/>
    <w:tmpl w:val="FB648B97"/>
    <w:lvl w:ilvl="0" w:tentative="0">
      <w:start w:val="1"/>
      <w:numFmt w:val="decimal"/>
      <w:suff w:val="space"/>
      <w:lvlText w:val="(%1)"/>
      <w:lvlJc w:val="left"/>
    </w:lvl>
  </w:abstractNum>
  <w:abstractNum w:abstractNumId="9">
    <w:nsid w:val="FBBC9B44"/>
    <w:multiLevelType w:val="singleLevel"/>
    <w:tmpl w:val="FBBC9B44"/>
    <w:lvl w:ilvl="0" w:tentative="0">
      <w:start w:val="2"/>
      <w:numFmt w:val="decimal"/>
      <w:suff w:val="space"/>
      <w:lvlText w:val="%1)"/>
      <w:lvlJc w:val="left"/>
    </w:lvl>
  </w:abstractNum>
  <w:abstractNum w:abstractNumId="10">
    <w:nsid w:val="FEFFBA4B"/>
    <w:multiLevelType w:val="singleLevel"/>
    <w:tmpl w:val="FEFFBA4B"/>
    <w:lvl w:ilvl="0" w:tentative="0">
      <w:start w:val="1"/>
      <w:numFmt w:val="decimal"/>
      <w:suff w:val="space"/>
      <w:lvlText w:val="(%1)"/>
      <w:lvlJc w:val="left"/>
      <w:pPr>
        <w:ind w:left="61" w:leftChars="0" w:firstLine="0" w:firstLineChars="0"/>
      </w:pPr>
    </w:lvl>
  </w:abstractNum>
  <w:abstractNum w:abstractNumId="11">
    <w:nsid w:val="FFCF4B5F"/>
    <w:multiLevelType w:val="singleLevel"/>
    <w:tmpl w:val="FFCF4B5F"/>
    <w:lvl w:ilvl="0" w:tentative="0">
      <w:start w:val="2"/>
      <w:numFmt w:val="decimal"/>
      <w:suff w:val="space"/>
      <w:lvlText w:val="(%1)"/>
      <w:lvlJc w:val="left"/>
    </w:lvl>
  </w:abstractNum>
  <w:abstractNum w:abstractNumId="12">
    <w:nsid w:val="FFEE1B68"/>
    <w:multiLevelType w:val="singleLevel"/>
    <w:tmpl w:val="FFEE1B68"/>
    <w:lvl w:ilvl="0" w:tentative="0">
      <w:start w:val="1"/>
      <w:numFmt w:val="lowerLetter"/>
      <w:suff w:val="space"/>
      <w:lvlText w:val="%1."/>
      <w:lvlJc w:val="left"/>
    </w:lvl>
  </w:abstractNum>
  <w:abstractNum w:abstractNumId="13">
    <w:nsid w:val="FFFAD9D0"/>
    <w:multiLevelType w:val="singleLevel"/>
    <w:tmpl w:val="FFFAD9D0"/>
    <w:lvl w:ilvl="0" w:tentative="0">
      <w:start w:val="1"/>
      <w:numFmt w:val="decimal"/>
      <w:suff w:val="space"/>
      <w:lvlText w:val="%1)"/>
      <w:lvlJc w:val="left"/>
    </w:lvl>
  </w:abstractNum>
  <w:abstractNum w:abstractNumId="14">
    <w:nsid w:val="3DFF79EF"/>
    <w:multiLevelType w:val="singleLevel"/>
    <w:tmpl w:val="3DFF79EF"/>
    <w:lvl w:ilvl="0" w:tentative="0">
      <w:start w:val="1"/>
      <w:numFmt w:val="decimal"/>
      <w:suff w:val="space"/>
      <w:lvlText w:val="%1)"/>
      <w:lvlJc w:val="left"/>
    </w:lvl>
  </w:abstractNum>
  <w:abstractNum w:abstractNumId="15">
    <w:nsid w:val="6B1E37DC"/>
    <w:multiLevelType w:val="singleLevel"/>
    <w:tmpl w:val="6B1E37DC"/>
    <w:lvl w:ilvl="0" w:tentative="0">
      <w:start w:val="1"/>
      <w:numFmt w:val="decimal"/>
      <w:suff w:val="space"/>
      <w:lvlText w:val="(%1)"/>
      <w:lvlJc w:val="left"/>
    </w:lvl>
  </w:abstractNum>
  <w:abstractNum w:abstractNumId="16">
    <w:nsid w:val="7CFE3A9A"/>
    <w:multiLevelType w:val="singleLevel"/>
    <w:tmpl w:val="7CFE3A9A"/>
    <w:lvl w:ilvl="0" w:tentative="0">
      <w:start w:val="1"/>
      <w:numFmt w:val="lowerLetter"/>
      <w:suff w:val="space"/>
      <w:lvlText w:val="%1."/>
      <w:lvlJc w:val="left"/>
    </w:lvl>
  </w:abstractNum>
  <w:num w:numId="1">
    <w:abstractNumId w:val="0"/>
  </w:num>
  <w:num w:numId="2">
    <w:abstractNumId w:val="16"/>
  </w:num>
  <w:num w:numId="3">
    <w:abstractNumId w:val="2"/>
  </w:num>
  <w:num w:numId="4">
    <w:abstractNumId w:val="12"/>
  </w:num>
  <w:num w:numId="5">
    <w:abstractNumId w:val="3"/>
  </w:num>
  <w:num w:numId="6">
    <w:abstractNumId w:val="9"/>
  </w:num>
  <w:num w:numId="7">
    <w:abstractNumId w:val="6"/>
  </w:num>
  <w:num w:numId="8">
    <w:abstractNumId w:val="11"/>
  </w:num>
  <w:num w:numId="9">
    <w:abstractNumId w:val="8"/>
  </w:num>
  <w:num w:numId="10">
    <w:abstractNumId w:val="1"/>
  </w:num>
  <w:num w:numId="11">
    <w:abstractNumId w:val="4"/>
  </w:num>
  <w:num w:numId="12">
    <w:abstractNumId w:val="5"/>
  </w:num>
  <w:num w:numId="13">
    <w:abstractNumId w:val="15"/>
  </w:num>
  <w:num w:numId="14">
    <w:abstractNumId w:val="14"/>
  </w:num>
  <w:num w:numId="15">
    <w:abstractNumId w:val="13"/>
  </w:num>
  <w:num w:numId="16">
    <w:abstractNumId w:val="10"/>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8"/>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232C6"/>
    <w:rsid w:val="00107936"/>
    <w:rsid w:val="00115B96"/>
    <w:rsid w:val="00292977"/>
    <w:rsid w:val="00324CCD"/>
    <w:rsid w:val="00480872"/>
    <w:rsid w:val="004A11F6"/>
    <w:rsid w:val="004D519C"/>
    <w:rsid w:val="005014C5"/>
    <w:rsid w:val="00693E27"/>
    <w:rsid w:val="007D1947"/>
    <w:rsid w:val="008D4C45"/>
    <w:rsid w:val="00931CAA"/>
    <w:rsid w:val="00A12B58"/>
    <w:rsid w:val="00A4233F"/>
    <w:rsid w:val="00AA2A91"/>
    <w:rsid w:val="00CA09F3"/>
    <w:rsid w:val="00D854A5"/>
    <w:rsid w:val="00DF3B0A"/>
    <w:rsid w:val="00E91208"/>
    <w:rsid w:val="01AFDDCE"/>
    <w:rsid w:val="0B7FE77A"/>
    <w:rsid w:val="0EFFDE6A"/>
    <w:rsid w:val="0FFDE516"/>
    <w:rsid w:val="13FEE3E6"/>
    <w:rsid w:val="15EDC795"/>
    <w:rsid w:val="1F6FD053"/>
    <w:rsid w:val="1F77A970"/>
    <w:rsid w:val="1FCE12FB"/>
    <w:rsid w:val="1FF7BCFB"/>
    <w:rsid w:val="25BD9513"/>
    <w:rsid w:val="277F2852"/>
    <w:rsid w:val="27DB6824"/>
    <w:rsid w:val="28FF73FE"/>
    <w:rsid w:val="2DB67BF9"/>
    <w:rsid w:val="2E7FCF04"/>
    <w:rsid w:val="2FB793EB"/>
    <w:rsid w:val="2FDF1674"/>
    <w:rsid w:val="313FE529"/>
    <w:rsid w:val="33D7E17E"/>
    <w:rsid w:val="3457CF61"/>
    <w:rsid w:val="375FA229"/>
    <w:rsid w:val="37825CFD"/>
    <w:rsid w:val="37E2E4E0"/>
    <w:rsid w:val="3BC5CF5A"/>
    <w:rsid w:val="3BFFFEB5"/>
    <w:rsid w:val="3DF5BB00"/>
    <w:rsid w:val="3DF786CD"/>
    <w:rsid w:val="3DFFC9B7"/>
    <w:rsid w:val="3EFF3A2C"/>
    <w:rsid w:val="3EFF993B"/>
    <w:rsid w:val="3F777DD5"/>
    <w:rsid w:val="3F7FFA2E"/>
    <w:rsid w:val="3FB68A56"/>
    <w:rsid w:val="3FFFBDAA"/>
    <w:rsid w:val="4F77CCBC"/>
    <w:rsid w:val="4FA74025"/>
    <w:rsid w:val="4FFF5267"/>
    <w:rsid w:val="54FD2CFF"/>
    <w:rsid w:val="574D2A74"/>
    <w:rsid w:val="57F757F4"/>
    <w:rsid w:val="58FF9AAB"/>
    <w:rsid w:val="5AD3E724"/>
    <w:rsid w:val="5ADEC098"/>
    <w:rsid w:val="5B5DD6BA"/>
    <w:rsid w:val="5C7F4C7B"/>
    <w:rsid w:val="5D773C81"/>
    <w:rsid w:val="5E5F1EF8"/>
    <w:rsid w:val="5E7765A4"/>
    <w:rsid w:val="5E7A91D9"/>
    <w:rsid w:val="5EC745AC"/>
    <w:rsid w:val="5EED2281"/>
    <w:rsid w:val="5EFD7FA8"/>
    <w:rsid w:val="5F2DA1F7"/>
    <w:rsid w:val="5F3FF174"/>
    <w:rsid w:val="5FEB6464"/>
    <w:rsid w:val="5FEDC773"/>
    <w:rsid w:val="5FEF6951"/>
    <w:rsid w:val="5FEFE7C0"/>
    <w:rsid w:val="5FFFFE8A"/>
    <w:rsid w:val="63FD640C"/>
    <w:rsid w:val="647DBB82"/>
    <w:rsid w:val="65479950"/>
    <w:rsid w:val="65B976E3"/>
    <w:rsid w:val="65F36B00"/>
    <w:rsid w:val="677B6045"/>
    <w:rsid w:val="67AF3EA6"/>
    <w:rsid w:val="69DFA69C"/>
    <w:rsid w:val="6B7B9777"/>
    <w:rsid w:val="6BEBCBD5"/>
    <w:rsid w:val="6CDF6FD5"/>
    <w:rsid w:val="6D7E0182"/>
    <w:rsid w:val="6DD7BA79"/>
    <w:rsid w:val="6DE93BE4"/>
    <w:rsid w:val="6DFADE44"/>
    <w:rsid w:val="6E47B3D5"/>
    <w:rsid w:val="6F3F8516"/>
    <w:rsid w:val="6F3FFCBB"/>
    <w:rsid w:val="6FEDB295"/>
    <w:rsid w:val="70FD3410"/>
    <w:rsid w:val="718FCD85"/>
    <w:rsid w:val="71FBA0ED"/>
    <w:rsid w:val="7373A539"/>
    <w:rsid w:val="73AF26F2"/>
    <w:rsid w:val="73E549BD"/>
    <w:rsid w:val="74D75EBA"/>
    <w:rsid w:val="75BEFDA5"/>
    <w:rsid w:val="766CB54E"/>
    <w:rsid w:val="76AFA614"/>
    <w:rsid w:val="77B98F4D"/>
    <w:rsid w:val="77D3A897"/>
    <w:rsid w:val="77E31374"/>
    <w:rsid w:val="77E7FC0A"/>
    <w:rsid w:val="78CEB91E"/>
    <w:rsid w:val="79B9956D"/>
    <w:rsid w:val="79DB7C3A"/>
    <w:rsid w:val="7ACE8F55"/>
    <w:rsid w:val="7AE73700"/>
    <w:rsid w:val="7AF4A30E"/>
    <w:rsid w:val="7B7F46AE"/>
    <w:rsid w:val="7B7FF1DB"/>
    <w:rsid w:val="7B924A04"/>
    <w:rsid w:val="7BEA8E72"/>
    <w:rsid w:val="7BFC0796"/>
    <w:rsid w:val="7C6D0F96"/>
    <w:rsid w:val="7D1901DF"/>
    <w:rsid w:val="7D6F683B"/>
    <w:rsid w:val="7D7DC0C3"/>
    <w:rsid w:val="7D7DF0D9"/>
    <w:rsid w:val="7DB39C19"/>
    <w:rsid w:val="7DD7F30B"/>
    <w:rsid w:val="7DEF39D2"/>
    <w:rsid w:val="7DFACB22"/>
    <w:rsid w:val="7E2F087D"/>
    <w:rsid w:val="7E93FA3F"/>
    <w:rsid w:val="7EEF5477"/>
    <w:rsid w:val="7EFD12E3"/>
    <w:rsid w:val="7F1D8E05"/>
    <w:rsid w:val="7F513351"/>
    <w:rsid w:val="7F9B9A6C"/>
    <w:rsid w:val="7FBA17CC"/>
    <w:rsid w:val="7FBF123B"/>
    <w:rsid w:val="7FBF7C34"/>
    <w:rsid w:val="7FCD3E03"/>
    <w:rsid w:val="7FCDE940"/>
    <w:rsid w:val="7FD95326"/>
    <w:rsid w:val="7FDB9DB6"/>
    <w:rsid w:val="7FDFB67B"/>
    <w:rsid w:val="7FED1F5E"/>
    <w:rsid w:val="7FEFB131"/>
    <w:rsid w:val="7FF71BFC"/>
    <w:rsid w:val="7FF77FA2"/>
    <w:rsid w:val="7FF78CF8"/>
    <w:rsid w:val="7FFB69C5"/>
    <w:rsid w:val="7FFB6FBE"/>
    <w:rsid w:val="7FFBFFBE"/>
    <w:rsid w:val="7FFDB7EC"/>
    <w:rsid w:val="7FFF2C87"/>
    <w:rsid w:val="7FFFDC69"/>
    <w:rsid w:val="82DF7107"/>
    <w:rsid w:val="86CF85C2"/>
    <w:rsid w:val="8BEABE2D"/>
    <w:rsid w:val="8CE5C04F"/>
    <w:rsid w:val="8DBEB3E5"/>
    <w:rsid w:val="95DCFC6A"/>
    <w:rsid w:val="96BD3BF6"/>
    <w:rsid w:val="96DF25DC"/>
    <w:rsid w:val="9AAFD221"/>
    <w:rsid w:val="9BDB2B6B"/>
    <w:rsid w:val="9DD50FA7"/>
    <w:rsid w:val="9EF8BB7F"/>
    <w:rsid w:val="9F6D7553"/>
    <w:rsid w:val="9FDE9A3F"/>
    <w:rsid w:val="9FFB692F"/>
    <w:rsid w:val="9FFF70E8"/>
    <w:rsid w:val="A7DF63C7"/>
    <w:rsid w:val="AAF70A14"/>
    <w:rsid w:val="ABF032EE"/>
    <w:rsid w:val="ABFDD913"/>
    <w:rsid w:val="AD3EBC0F"/>
    <w:rsid w:val="AEFB20F0"/>
    <w:rsid w:val="AF8D966C"/>
    <w:rsid w:val="AFDF0A18"/>
    <w:rsid w:val="AFFF38EE"/>
    <w:rsid w:val="AFFFA32C"/>
    <w:rsid w:val="B6FFE4D6"/>
    <w:rsid w:val="B797FA40"/>
    <w:rsid w:val="B7BFC353"/>
    <w:rsid w:val="B9FD1F28"/>
    <w:rsid w:val="B9FFDAC1"/>
    <w:rsid w:val="BB6B3435"/>
    <w:rsid w:val="BBCD52A0"/>
    <w:rsid w:val="BBDF77DE"/>
    <w:rsid w:val="BD27BF46"/>
    <w:rsid w:val="BDFF5208"/>
    <w:rsid w:val="BF1F87D4"/>
    <w:rsid w:val="BFBE0903"/>
    <w:rsid w:val="BFFD489B"/>
    <w:rsid w:val="BFFF8D0E"/>
    <w:rsid w:val="C6DF4AC1"/>
    <w:rsid w:val="C6FF3F68"/>
    <w:rsid w:val="C716D5DD"/>
    <w:rsid w:val="CFFF8A8B"/>
    <w:rsid w:val="D3AFB7D8"/>
    <w:rsid w:val="D3D151AB"/>
    <w:rsid w:val="D3DFBC1F"/>
    <w:rsid w:val="D6A81076"/>
    <w:rsid w:val="D6BFA071"/>
    <w:rsid w:val="D6FB3233"/>
    <w:rsid w:val="D7BF8B3F"/>
    <w:rsid w:val="D7F76B8B"/>
    <w:rsid w:val="DBCF46E9"/>
    <w:rsid w:val="DBD6C86E"/>
    <w:rsid w:val="DBDFC102"/>
    <w:rsid w:val="DBEFB2F4"/>
    <w:rsid w:val="DCDF1D36"/>
    <w:rsid w:val="DCFF8447"/>
    <w:rsid w:val="DDBF95A2"/>
    <w:rsid w:val="DDF8D0D7"/>
    <w:rsid w:val="DEBF548B"/>
    <w:rsid w:val="DEC3DA02"/>
    <w:rsid w:val="DFADD02B"/>
    <w:rsid w:val="DFBF5846"/>
    <w:rsid w:val="DFEFE0F4"/>
    <w:rsid w:val="DFF77C4D"/>
    <w:rsid w:val="DFFAB000"/>
    <w:rsid w:val="E2FBECDE"/>
    <w:rsid w:val="E677C823"/>
    <w:rsid w:val="E6FB5319"/>
    <w:rsid w:val="E7B7B09C"/>
    <w:rsid w:val="E7BC1E09"/>
    <w:rsid w:val="E7D5AEB8"/>
    <w:rsid w:val="EB7F409C"/>
    <w:rsid w:val="EBFA56E0"/>
    <w:rsid w:val="ECBDFE2F"/>
    <w:rsid w:val="ECDDD3DF"/>
    <w:rsid w:val="EDD8AED4"/>
    <w:rsid w:val="EEF9C116"/>
    <w:rsid w:val="EF9C61B9"/>
    <w:rsid w:val="EFB3699C"/>
    <w:rsid w:val="EFC73EBD"/>
    <w:rsid w:val="EFFF5FFB"/>
    <w:rsid w:val="F3CE33F3"/>
    <w:rsid w:val="F3FFB00E"/>
    <w:rsid w:val="F4DF12A8"/>
    <w:rsid w:val="F51F147E"/>
    <w:rsid w:val="F5730285"/>
    <w:rsid w:val="F57FF6C3"/>
    <w:rsid w:val="F5CEF9C8"/>
    <w:rsid w:val="F5DCBD16"/>
    <w:rsid w:val="F5FDE1F6"/>
    <w:rsid w:val="F65F0E77"/>
    <w:rsid w:val="F697D376"/>
    <w:rsid w:val="F6EFA73E"/>
    <w:rsid w:val="F6F92182"/>
    <w:rsid w:val="F6FFF3D2"/>
    <w:rsid w:val="F7576513"/>
    <w:rsid w:val="F75FFEF5"/>
    <w:rsid w:val="F77B79F5"/>
    <w:rsid w:val="F7E5318F"/>
    <w:rsid w:val="F7EC412F"/>
    <w:rsid w:val="F7F71D4E"/>
    <w:rsid w:val="F93B7FA3"/>
    <w:rsid w:val="F9ED2198"/>
    <w:rsid w:val="F9EFD961"/>
    <w:rsid w:val="FABB6EB2"/>
    <w:rsid w:val="FAFA43A0"/>
    <w:rsid w:val="FB775BB5"/>
    <w:rsid w:val="FB8AE63D"/>
    <w:rsid w:val="FBECEB6B"/>
    <w:rsid w:val="FBED206C"/>
    <w:rsid w:val="FBED651F"/>
    <w:rsid w:val="FBEF271D"/>
    <w:rsid w:val="FBF52900"/>
    <w:rsid w:val="FBF95244"/>
    <w:rsid w:val="FBFF8EF9"/>
    <w:rsid w:val="FC7FD89A"/>
    <w:rsid w:val="FD71D183"/>
    <w:rsid w:val="FD7D14F5"/>
    <w:rsid w:val="FDBE1A0F"/>
    <w:rsid w:val="FDE45232"/>
    <w:rsid w:val="FDF7E607"/>
    <w:rsid w:val="FDF890E9"/>
    <w:rsid w:val="FDFF6EC9"/>
    <w:rsid w:val="FDFFD691"/>
    <w:rsid w:val="FE2FE87D"/>
    <w:rsid w:val="FE3F5185"/>
    <w:rsid w:val="FE3F55F2"/>
    <w:rsid w:val="FE5F7127"/>
    <w:rsid w:val="FE9E0191"/>
    <w:rsid w:val="FEDEF63F"/>
    <w:rsid w:val="FEEB9CF2"/>
    <w:rsid w:val="FEEBB1CF"/>
    <w:rsid w:val="FEF0FE01"/>
    <w:rsid w:val="FEFDFB62"/>
    <w:rsid w:val="FF06E67F"/>
    <w:rsid w:val="FF3FE9EF"/>
    <w:rsid w:val="FF57DF75"/>
    <w:rsid w:val="FF7DD898"/>
    <w:rsid w:val="FF921FFE"/>
    <w:rsid w:val="FFADB842"/>
    <w:rsid w:val="FFBBCBF6"/>
    <w:rsid w:val="FFBBE455"/>
    <w:rsid w:val="FFDBA20C"/>
    <w:rsid w:val="FFEA240C"/>
    <w:rsid w:val="FFEF2B49"/>
    <w:rsid w:val="FFF9EC2B"/>
    <w:rsid w:val="FFFD8516"/>
    <w:rsid w:val="FFFE0384"/>
    <w:rsid w:val="FFFE0CC2"/>
    <w:rsid w:val="FFFF3EDF"/>
    <w:rsid w:val="FFFFA594"/>
    <w:rsid w:val="FFFFA7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6"/>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18"/>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paragraph" w:styleId="4">
    <w:name w:val="heading 3"/>
    <w:basedOn w:val="1"/>
    <w:next w:val="1"/>
    <w:unhideWhenUsed/>
    <w:qFormat/>
    <w:uiPriority w:val="9"/>
    <w:pPr>
      <w:keepNext/>
      <w:keepLines/>
      <w:spacing w:before="260" w:beforeLines="0" w:beforeAutospacing="0" w:after="260" w:afterLines="0" w:afterAutospacing="0" w:line="413" w:lineRule="auto"/>
      <w:outlineLvl w:val="2"/>
    </w:pPr>
    <w:rPr>
      <w:b/>
      <w:sz w:val="32"/>
    </w:rPr>
  </w:style>
  <w:style w:type="character" w:default="1" w:styleId="12">
    <w:name w:val="Default Paragraph Font"/>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5">
    <w:name w:val="toc 3"/>
    <w:basedOn w:val="1"/>
    <w:next w:val="1"/>
    <w:semiHidden/>
    <w:unhideWhenUsed/>
    <w:uiPriority w:val="39"/>
    <w:pPr>
      <w:ind w:left="840" w:leftChars="400"/>
    </w:pPr>
  </w:style>
  <w:style w:type="paragraph" w:styleId="6">
    <w:name w:val="footer"/>
    <w:basedOn w:val="1"/>
    <w:semiHidden/>
    <w:unhideWhenUsed/>
    <w:uiPriority w:val="99"/>
    <w:pPr>
      <w:tabs>
        <w:tab w:val="center" w:pos="4153"/>
        <w:tab w:val="right" w:pos="8306"/>
      </w:tabs>
      <w:snapToGrid w:val="0"/>
      <w:jc w:val="left"/>
    </w:pPr>
    <w:rPr>
      <w:sz w:val="18"/>
    </w:rPr>
  </w:style>
  <w:style w:type="paragraph" w:styleId="7">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unhideWhenUsed/>
    <w:uiPriority w:val="39"/>
    <w:pPr>
      <w:spacing w:after="100"/>
    </w:pPr>
  </w:style>
  <w:style w:type="paragraph" w:styleId="9">
    <w:name w:val="toc 2"/>
    <w:basedOn w:val="1"/>
    <w:next w:val="1"/>
    <w:unhideWhenUsed/>
    <w:uiPriority w:val="39"/>
    <w:pPr>
      <w:spacing w:after="100"/>
      <w:ind w:left="220"/>
    </w:pPr>
  </w:style>
  <w:style w:type="table" w:styleId="11">
    <w:name w:val="Table Grid"/>
    <w:basedOn w:val="10"/>
    <w:uiPriority w:val="39"/>
    <w:pPr>
      <w:spacing w:after="0" w:line="240" w:lineRule="auto"/>
    </w:pPr>
    <w:rPr>
      <w:kern w:val="2"/>
      <w:sz w:val="21"/>
      <w:lang w:val="en-US"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uiPriority w:val="99"/>
    <w:rPr>
      <w:color w:val="0563C1" w:themeColor="hyperlink"/>
      <w:u w:val="single"/>
      <w14:textFill>
        <w14:solidFill>
          <w14:schemeClr w14:val="hlink"/>
        </w14:solidFill>
      </w14:textFill>
    </w:rPr>
  </w:style>
  <w:style w:type="paragraph" w:styleId="14">
    <w:name w:val="No Spacing"/>
    <w:link w:val="15"/>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5">
    <w:name w:val="No Spacing Char"/>
    <w:basedOn w:val="12"/>
    <w:link w:val="14"/>
    <w:uiPriority w:val="1"/>
    <w:rPr>
      <w:rFonts w:eastAsiaTheme="minorEastAsia"/>
      <w:lang w:val="en-US"/>
    </w:rPr>
  </w:style>
  <w:style w:type="character" w:customStyle="1" w:styleId="16">
    <w:name w:val="Heading 1 Char"/>
    <w:basedOn w:val="12"/>
    <w:link w:val="2"/>
    <w:uiPriority w:val="9"/>
    <w:rPr>
      <w:rFonts w:asciiTheme="majorHAnsi" w:hAnsiTheme="majorHAnsi" w:eastAsiaTheme="majorEastAsia" w:cstheme="majorBidi"/>
      <w:color w:val="2E75B6" w:themeColor="accent1" w:themeShade="BF"/>
      <w:sz w:val="32"/>
      <w:szCs w:val="32"/>
    </w:rPr>
  </w:style>
  <w:style w:type="paragraph" w:customStyle="1" w:styleId="17">
    <w:name w:val="TOC Heading"/>
    <w:basedOn w:val="2"/>
    <w:next w:val="1"/>
    <w:unhideWhenUsed/>
    <w:qFormat/>
    <w:uiPriority w:val="39"/>
    <w:pPr>
      <w:outlineLvl w:val="9"/>
    </w:pPr>
    <w:rPr>
      <w:lang w:val="en-US"/>
    </w:rPr>
  </w:style>
  <w:style w:type="character" w:customStyle="1" w:styleId="18">
    <w:name w:val="Heading 2 Char"/>
    <w:basedOn w:val="12"/>
    <w:link w:val="3"/>
    <w:uiPriority w:val="9"/>
    <w:rPr>
      <w:rFonts w:asciiTheme="majorHAnsi" w:hAnsiTheme="majorHAnsi" w:eastAsiaTheme="majorEastAsia" w:cstheme="majorBidi"/>
      <w:color w:val="2E75B6" w:themeColor="accent1" w:themeShade="BF"/>
      <w:sz w:val="26"/>
      <w:szCs w:val="26"/>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glossaryDocument" Target="glossary/document.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CBCB7F12FD741FCBCDF0AE63ED3B4BF"/>
        <w:style w:val=""/>
        <w:category>
          <w:name w:val="General"/>
          <w:gallery w:val="placeholder"/>
        </w:category>
        <w:types>
          <w:type w:val="bbPlcHdr"/>
        </w:types>
        <w:behaviors>
          <w:behavior w:val="content"/>
        </w:behaviors>
        <w:description w:val=""/>
        <w:guid w:val="{87A771B6-D199-4DA1-BF8C-FEAA3C6B8696}"/>
      </w:docPartPr>
      <w:docPartBody>
        <w:p>
          <w:pPr>
            <w:pStyle w:val="4"/>
          </w:pPr>
          <w:r>
            <w:rPr>
              <w:rFonts w:asciiTheme="majorHAnsi" w:hAnsiTheme="majorHAnsi" w:eastAsiaTheme="majorEastAsia" w:cstheme="majorBidi"/>
              <w:caps/>
              <w:color w:val="5B9BD5" w:themeColor="accent1"/>
              <w:sz w:val="80"/>
              <w:szCs w:val="80"/>
              <w14:textFill>
                <w14:solidFill>
                  <w14:schemeClr w14:val="accent1"/>
                </w14:solidFill>
              </w14:textFill>
            </w:rPr>
            <w:t>[Document title]</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宋体-简"/>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黑体-简"/>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00"/>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145AD8"/>
    <w:rsid w:val="00242260"/>
    <w:rsid w:val="002450A7"/>
    <w:rsid w:val="00284491"/>
    <w:rsid w:val="003203C2"/>
    <w:rsid w:val="004D25D2"/>
    <w:rsid w:val="009D7389"/>
    <w:rsid w:val="00A34C42"/>
    <w:rsid w:val="00BC1251"/>
    <w:rsid w:val="00C674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GB" w:eastAsia="en-GB"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customStyle="1" w:styleId="4">
    <w:name w:val="DCBCB7F12FD741FCBCDF0AE63ED3B4BF"/>
    <w:uiPriority w:val="0"/>
    <w:pPr>
      <w:spacing w:after="160" w:line="259" w:lineRule="auto"/>
    </w:pPr>
    <w:rPr>
      <w:rFonts w:asciiTheme="minorHAnsi" w:hAnsiTheme="minorHAnsi" w:eastAsiaTheme="minorEastAsia" w:cstheme="minorBidi"/>
      <w:sz w:val="22"/>
      <w:szCs w:val="22"/>
      <w:lang w:val="en-GB" w:eastAsia="en-GB"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University of Wales Trinity Saint David</Company>
  <Pages>9</Pages>
  <Words>255</Words>
  <Characters>1457</Characters>
  <Lines>12</Lines>
  <Paragraphs>3</Paragraphs>
  <TotalTime>14</TotalTime>
  <ScaleCrop>false</ScaleCrop>
  <LinksUpToDate>false</LinksUpToDate>
  <CharactersWithSpaces>1709</CharactersWithSpaces>
  <Application>WPS Office_5.7.1.8092_F1E327BC-269C-435d-A152-05C5408002CA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2023-03-10T14:13:00Z</dcterms:created>
  <dc:creator>Marie Pitson</dc:creator>
  <cp:lastModifiedBy>舒涵曹</cp:lastModifiedBy>
  <dcterms:modified xsi:type="dcterms:W3CDTF">2024-04-26T21:29:06Z</dcterms:modified>
  <dc:title>name of the assignment</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2052-5.7.1.8092</vt:lpwstr>
  </property>
</Properties>
</file>