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8BD42" w14:textId="77777777" w:rsidR="00617D2F" w:rsidRDefault="00617D2F">
      <w:r>
        <w:t>Part 2</w:t>
      </w:r>
    </w:p>
    <w:p w14:paraId="481A22D8" w14:textId="1ED12EC5" w:rsidR="00617D2F" w:rsidRDefault="00617D2F">
      <w:r>
        <w:t xml:space="preserve">Option 2: </w:t>
      </w:r>
      <w:proofErr w:type="gramStart"/>
      <w:r>
        <w:t>1,500 word</w:t>
      </w:r>
      <w:proofErr w:type="gramEnd"/>
      <w:r>
        <w:t xml:space="preserve"> paper</w:t>
      </w:r>
    </w:p>
    <w:p w14:paraId="59FBFE07" w14:textId="334D30CE" w:rsidR="00617D2F" w:rsidRDefault="00617D2F"/>
    <w:p w14:paraId="335615A5" w14:textId="587E979A" w:rsidR="00617D2F" w:rsidRDefault="006A0175" w:rsidP="006A382E">
      <w:pPr>
        <w:spacing w:line="360" w:lineRule="auto"/>
      </w:pPr>
      <w:r>
        <w:t xml:space="preserve">Cambridge Dictionary (2025) defines the word bilingual as “using two languages as main languages”. </w:t>
      </w:r>
      <w:r w:rsidR="00617D2F">
        <w:t>Bilingualism is defined as the ability to know and use two languages</w:t>
      </w:r>
      <w:r>
        <w:t xml:space="preserve"> bilingualism can </w:t>
      </w:r>
      <w:r w:rsidR="00617D2F">
        <w:t xml:space="preserve">often extends to multilingualism this is where </w:t>
      </w:r>
      <w:r>
        <w:t xml:space="preserve">a person will </w:t>
      </w:r>
      <w:r w:rsidR="00617D2F">
        <w:t>know three or more languages.</w:t>
      </w:r>
      <w:r>
        <w:t xml:space="preserve"> Cambridge Dictionary (2025) defines multilingual as “people able to use more than two languages for communication”.</w:t>
      </w:r>
    </w:p>
    <w:p w14:paraId="623F3B18" w14:textId="2ECB01B4" w:rsidR="00617D2F" w:rsidRDefault="00617D2F" w:rsidP="006A382E">
      <w:pPr>
        <w:spacing w:line="360" w:lineRule="auto"/>
      </w:pPr>
    </w:p>
    <w:p w14:paraId="095A371B" w14:textId="53A261E3" w:rsidR="006A0175" w:rsidRDefault="00F909C1" w:rsidP="006A0175">
      <w:pPr>
        <w:spacing w:line="360" w:lineRule="auto"/>
      </w:pPr>
      <w:r>
        <w:t xml:space="preserve">Bilingualism and multilingualism offer a greater range of cognitive and social benefits for individual. </w:t>
      </w:r>
      <w:r w:rsidR="006A0175">
        <w:t xml:space="preserve">Lewis University (2024) believe that </w:t>
      </w:r>
      <w:r>
        <w:t xml:space="preserve">people who speak more than one language </w:t>
      </w:r>
      <w:r w:rsidR="006A0175">
        <w:t xml:space="preserve">show </w:t>
      </w:r>
      <w:r>
        <w:t xml:space="preserve">better </w:t>
      </w:r>
      <w:proofErr w:type="gramStart"/>
      <w:r>
        <w:t>problem solving</w:t>
      </w:r>
      <w:proofErr w:type="gramEnd"/>
      <w:r>
        <w:t xml:space="preserve"> skills</w:t>
      </w:r>
      <w:r w:rsidR="006A0175">
        <w:t xml:space="preserve"> as the constant change in language helps the cognitive flexibility it is also shown that it help with</w:t>
      </w:r>
      <w:r w:rsidR="00EB73EE">
        <w:t xml:space="preserve"> their academic development from an early ag</w:t>
      </w:r>
      <w:r w:rsidR="006A0175">
        <w:t>e</w:t>
      </w:r>
      <w:r>
        <w:t xml:space="preserve">. </w:t>
      </w:r>
      <w:r w:rsidR="006A0175">
        <w:t>Alison Rees (2025) states that c</w:t>
      </w:r>
      <w:r w:rsidR="00EB73EE">
        <w:t xml:space="preserve">hildren who grow up learning more than one language can develop </w:t>
      </w:r>
      <w:r w:rsidR="003F168A">
        <w:t>the ability to adapt to new challenges and tasks</w:t>
      </w:r>
      <w:r w:rsidR="006A0175">
        <w:t xml:space="preserve"> like creating stories or imaginative games</w:t>
      </w:r>
      <w:r w:rsidR="003F168A">
        <w:t>. Having this flexibility</w:t>
      </w:r>
      <w:r w:rsidR="006A0175">
        <w:t xml:space="preserve"> of being bilingual can</w:t>
      </w:r>
      <w:r w:rsidR="003F168A">
        <w:t xml:space="preserve"> help children to be more creative</w:t>
      </w:r>
      <w:r w:rsidR="00E41748">
        <w:t>,</w:t>
      </w:r>
      <w:r w:rsidR="006A0175">
        <w:t xml:space="preserve"> </w:t>
      </w:r>
      <w:r w:rsidR="00E41748">
        <w:t>being bilingual can also help with reading and writing skills</w:t>
      </w:r>
      <w:r w:rsidR="006A0175">
        <w:t xml:space="preserve">, Alison Rees (2025) states switching between languages can help with vocabulary and help adapt to new routines. </w:t>
      </w:r>
      <w:r w:rsidR="006A0175">
        <w:t>Bilingualism also helps with memory</w:t>
      </w:r>
      <w:r w:rsidR="006A0175">
        <w:t xml:space="preserve"> as</w:t>
      </w:r>
      <w:r w:rsidR="006A0175">
        <w:t xml:space="preserve"> learning </w:t>
      </w:r>
      <w:r w:rsidR="006A0175">
        <w:t xml:space="preserve">a </w:t>
      </w:r>
      <w:r w:rsidR="006A0175">
        <w:t>new language help</w:t>
      </w:r>
      <w:r w:rsidR="006A0175">
        <w:t>s</w:t>
      </w:r>
      <w:r w:rsidR="006A0175">
        <w:t xml:space="preserve"> with the brains short term memory and the </w:t>
      </w:r>
      <w:proofErr w:type="gramStart"/>
      <w:r w:rsidR="006A0175">
        <w:t>long term</w:t>
      </w:r>
      <w:proofErr w:type="gramEnd"/>
      <w:r w:rsidR="006A0175">
        <w:t xml:space="preserve"> memory, bilingualism helps support the brain development </w:t>
      </w:r>
      <w:r w:rsidR="006A0175">
        <w:t>a</w:t>
      </w:r>
      <w:r w:rsidR="006A0175">
        <w:t xml:space="preserve">nd </w:t>
      </w:r>
      <w:r w:rsidR="006A0175">
        <w:t xml:space="preserve">also </w:t>
      </w:r>
      <w:r w:rsidR="006A0175">
        <w:t>improves a child’s focus and information processing.</w:t>
      </w:r>
    </w:p>
    <w:p w14:paraId="57FACF8D" w14:textId="6500C346" w:rsidR="00E41748" w:rsidRDefault="00E41748" w:rsidP="006A382E">
      <w:pPr>
        <w:spacing w:line="360" w:lineRule="auto"/>
      </w:pPr>
    </w:p>
    <w:p w14:paraId="33C49254" w14:textId="77777777" w:rsidR="00E41748" w:rsidRDefault="00E41748" w:rsidP="006A382E">
      <w:pPr>
        <w:spacing w:line="360" w:lineRule="auto"/>
      </w:pPr>
    </w:p>
    <w:p w14:paraId="3D0D2524" w14:textId="3020C975" w:rsidR="00617D2F" w:rsidRDefault="00E41748" w:rsidP="006A382E">
      <w:pPr>
        <w:spacing w:line="360" w:lineRule="auto"/>
      </w:pPr>
      <w:r>
        <w:t xml:space="preserve">Children who are bilingual tend to be more open minded and more social. </w:t>
      </w:r>
      <w:r w:rsidR="006A0175">
        <w:t>Barnard and Glynn (2003) believe that children who are bilingual are more social as</w:t>
      </w:r>
      <w:r w:rsidR="00F909C1">
        <w:t xml:space="preserve"> </w:t>
      </w:r>
      <w:r>
        <w:t xml:space="preserve">learning languages also teach about traditions and values and ways of communicating with different groups. </w:t>
      </w:r>
      <w:r w:rsidR="004B5BF4">
        <w:t xml:space="preserve">Having this can help children form friendships with people from different backgrounds, </w:t>
      </w:r>
      <w:r w:rsidR="006A0175">
        <w:t xml:space="preserve">children who are bilingual are shown to have </w:t>
      </w:r>
      <w:r w:rsidR="004B5BF4">
        <w:t xml:space="preserve">an advantage in school and future studies. </w:t>
      </w:r>
      <w:r w:rsidR="006A0175">
        <w:t>Hastings School (2024) believe that s</w:t>
      </w:r>
      <w:r w:rsidR="004B5BF4">
        <w:t>peaking multiple languages from a young age can</w:t>
      </w:r>
      <w:r w:rsidR="006A0175">
        <w:t xml:space="preserve"> also</w:t>
      </w:r>
      <w:r w:rsidR="004B5BF4">
        <w:t xml:space="preserve"> open future opportunities with careers</w:t>
      </w:r>
      <w:r w:rsidR="006A0175">
        <w:t xml:space="preserve"> as it</w:t>
      </w:r>
      <w:r w:rsidR="004B5BF4">
        <w:t xml:space="preserve"> also helps with travel, bilingualism and multilingualism help </w:t>
      </w:r>
      <w:r w:rsidR="006A0175">
        <w:t>children’s</w:t>
      </w:r>
      <w:r w:rsidR="004B5BF4">
        <w:t xml:space="preserve"> personal and future growth.</w:t>
      </w:r>
    </w:p>
    <w:p w14:paraId="18E1BA4D" w14:textId="26B4E39B" w:rsidR="00D44CF3" w:rsidRDefault="00D44CF3" w:rsidP="006A382E">
      <w:pPr>
        <w:spacing w:line="360" w:lineRule="auto"/>
      </w:pPr>
    </w:p>
    <w:p w14:paraId="7A62BB5C" w14:textId="38BAC3B7" w:rsidR="00D44CF3" w:rsidRDefault="00D44CF3" w:rsidP="006A382E">
      <w:pPr>
        <w:spacing w:line="360" w:lineRule="auto"/>
      </w:pPr>
    </w:p>
    <w:p w14:paraId="4FF5C4E0" w14:textId="54E5E40C" w:rsidR="004B6CD3" w:rsidRDefault="00D44CF3" w:rsidP="006A382E">
      <w:pPr>
        <w:spacing w:line="360" w:lineRule="auto"/>
      </w:pPr>
      <w:r>
        <w:lastRenderedPageBreak/>
        <w:t>Learning welsh as an additional language is very beneficial for children in Wales</w:t>
      </w:r>
      <w:r w:rsidR="006A0175">
        <w:t xml:space="preserve"> as there are many advantages for a Welsh education</w:t>
      </w:r>
      <w:r>
        <w:t xml:space="preserve">. </w:t>
      </w:r>
      <w:r w:rsidR="006A0175">
        <w:t xml:space="preserve">Denbighshire County Council (2025) believe that children who speak the Welsh language know about their </w:t>
      </w:r>
      <w:r>
        <w:t xml:space="preserve">identity. </w:t>
      </w:r>
      <w:r w:rsidR="006A0175">
        <w:t>Denbighshire County Council (2025) also state that c</w:t>
      </w:r>
      <w:r>
        <w:t xml:space="preserve">hildren who </w:t>
      </w:r>
      <w:r w:rsidR="006A0175">
        <w:t>go to through a welsh medium education show</w:t>
      </w:r>
      <w:r w:rsidR="00F062F1">
        <w:t xml:space="preserve"> a better memory and concentration skills as well as problem-</w:t>
      </w:r>
      <w:r w:rsidR="006A382E">
        <w:t>solving</w:t>
      </w:r>
      <w:r w:rsidR="00F062F1">
        <w:t xml:space="preserve"> skills, </w:t>
      </w:r>
      <w:r w:rsidR="006A382E">
        <w:t>switching</w:t>
      </w:r>
      <w:r w:rsidR="00F062F1">
        <w:t xml:space="preserve"> between English and welsh encourages </w:t>
      </w:r>
      <w:r w:rsidR="006A382E">
        <w:t>children</w:t>
      </w:r>
      <w:r w:rsidR="00F062F1">
        <w:t xml:space="preserve"> to be flexible and helps process information clearly and more efficient.</w:t>
      </w:r>
      <w:r w:rsidR="006A0175">
        <w:t xml:space="preserve"> </w:t>
      </w:r>
      <w:r w:rsidR="00F062F1">
        <w:t xml:space="preserve">Welsh is vital in Wales as </w:t>
      </w:r>
      <w:r w:rsidR="006A0175">
        <w:t xml:space="preserve">per 2021 census 538,300 people in Wales </w:t>
      </w:r>
      <w:proofErr w:type="gramStart"/>
      <w:r w:rsidR="006A0175">
        <w:t xml:space="preserve">are </w:t>
      </w:r>
      <w:r w:rsidR="00F062F1">
        <w:t xml:space="preserve"> </w:t>
      </w:r>
      <w:r w:rsidR="007264A3">
        <w:t>welsh</w:t>
      </w:r>
      <w:proofErr w:type="gramEnd"/>
      <w:r w:rsidR="007264A3">
        <w:t xml:space="preserve"> speakers.</w:t>
      </w:r>
      <w:r w:rsidR="006A0175">
        <w:t xml:space="preserve"> Williams (2021) state that the </w:t>
      </w:r>
      <w:proofErr w:type="gramStart"/>
      <w:r w:rsidR="007264A3">
        <w:t xml:space="preserve">Welsh </w:t>
      </w:r>
      <w:r w:rsidR="006A0175">
        <w:t xml:space="preserve"> language</w:t>
      </w:r>
      <w:proofErr w:type="gramEnd"/>
      <w:r w:rsidR="006A0175">
        <w:t xml:space="preserve"> </w:t>
      </w:r>
      <w:r w:rsidR="007264A3">
        <w:t>strengths cultural awareness and belonging</w:t>
      </w:r>
      <w:r w:rsidR="006A0175">
        <w:t xml:space="preserve"> these can be done in school or</w:t>
      </w:r>
      <w:r w:rsidR="007264A3">
        <w:t xml:space="preserve"> by the </w:t>
      </w:r>
      <w:r w:rsidR="006A0175">
        <w:t xml:space="preserve">eisteddfod. Williams (2021) believes that the </w:t>
      </w:r>
      <w:r w:rsidR="007264A3">
        <w:t xml:space="preserve">welsh language helps with </w:t>
      </w:r>
      <w:r w:rsidR="006A0175">
        <w:t xml:space="preserve">keeping </w:t>
      </w:r>
      <w:r w:rsidR="007264A3">
        <w:t>wel</w:t>
      </w:r>
      <w:r w:rsidR="00E54EAB">
        <w:t>s</w:t>
      </w:r>
      <w:r w:rsidR="007264A3">
        <w:t>h history traditions and their heritage</w:t>
      </w:r>
      <w:r w:rsidR="006A0175">
        <w:t xml:space="preserve"> to carry on, this </w:t>
      </w:r>
      <w:r w:rsidR="007264A3">
        <w:t xml:space="preserve">can build pride </w:t>
      </w:r>
      <w:r w:rsidR="006A0175">
        <w:t>and help with</w:t>
      </w:r>
      <w:r w:rsidR="007264A3">
        <w:t xml:space="preserve"> identity</w:t>
      </w:r>
      <w:r w:rsidR="006A0175">
        <w:t xml:space="preserve"> it helps children to </w:t>
      </w:r>
      <w:r w:rsidR="007264A3">
        <w:t>feel connected to the community around them.</w:t>
      </w:r>
      <w:r w:rsidR="006A0175">
        <w:t xml:space="preserve"> </w:t>
      </w:r>
      <w:r w:rsidR="00E54EAB">
        <w:t>Speaking Welsh gives children the ability to communicate to people in their community speaking welsh can also help with becoming more fluent. Welsh is a valuable skill as many employers in Wales like to hire people who are bilingual, this offers more opportunities for the future.</w:t>
      </w:r>
      <w:r w:rsidR="006A0175">
        <w:t xml:space="preserve"> As well as welsh l</w:t>
      </w:r>
      <w:r w:rsidR="004B6CD3">
        <w:t>earning and speaking English is vital for children as English is one of the most widely spoken languages in the world</w:t>
      </w:r>
      <w:r w:rsidR="00581A30">
        <w:t xml:space="preserve">. </w:t>
      </w:r>
      <w:r w:rsidR="006A0175">
        <w:t>O.P Jindal Global University (2024) believe that l</w:t>
      </w:r>
      <w:r w:rsidR="00581A30">
        <w:t xml:space="preserve">earning English can help children academically by giving a wider range of educational resource, </w:t>
      </w:r>
      <w:proofErr w:type="gramStart"/>
      <w:r w:rsidR="00581A30">
        <w:t>books</w:t>
      </w:r>
      <w:proofErr w:type="gramEnd"/>
      <w:r w:rsidR="00581A30">
        <w:t xml:space="preserve"> and online material. Learning English helps with grammar and vocabulary learning English helps with future career opportunities as many jobs value English skill.</w:t>
      </w:r>
    </w:p>
    <w:p w14:paraId="71D46CCB" w14:textId="7D5E913E" w:rsidR="00581A30" w:rsidRDefault="00581A30" w:rsidP="006A382E">
      <w:pPr>
        <w:spacing w:line="360" w:lineRule="auto"/>
      </w:pPr>
    </w:p>
    <w:p w14:paraId="35DCD92F" w14:textId="5E04AD52" w:rsidR="006A382E" w:rsidRDefault="00581A30" w:rsidP="006A382E">
      <w:pPr>
        <w:spacing w:line="360" w:lineRule="auto"/>
      </w:pPr>
      <w:r>
        <w:t xml:space="preserve">Bilingualism plays a sufficient role in brain development, when a child </w:t>
      </w:r>
      <w:r w:rsidR="006A0175">
        <w:t xml:space="preserve">is </w:t>
      </w:r>
      <w:r>
        <w:t xml:space="preserve">learning a new </w:t>
      </w:r>
      <w:proofErr w:type="gramStart"/>
      <w:r>
        <w:t>language</w:t>
      </w:r>
      <w:proofErr w:type="gramEnd"/>
      <w:r>
        <w:t xml:space="preserve"> it</w:t>
      </w:r>
      <w:r w:rsidR="006A0175">
        <w:t xml:space="preserve"> is</w:t>
      </w:r>
      <w:r>
        <w:t xml:space="preserve"> constantly making the brain switch and mange </w:t>
      </w:r>
      <w:r w:rsidR="006A382E">
        <w:t>those</w:t>
      </w:r>
      <w:r>
        <w:t xml:space="preserve"> languages</w:t>
      </w:r>
      <w:r w:rsidR="006A0175">
        <w:t xml:space="preserve"> this</w:t>
      </w:r>
      <w:r>
        <w:t xml:space="preserve"> process helps strengthen the brains control </w:t>
      </w:r>
      <w:r w:rsidR="006A0175">
        <w:t>system</w:t>
      </w:r>
      <w:r>
        <w:t>, which is used for memory and problem solving. Children who are bilingual are more able to ignore distractions whilst learning</w:t>
      </w:r>
      <w:r w:rsidR="006A0175">
        <w:t xml:space="preserve"> as </w:t>
      </w:r>
      <w:proofErr w:type="gramStart"/>
      <w:r w:rsidR="006A0175">
        <w:t>there</w:t>
      </w:r>
      <w:proofErr w:type="gramEnd"/>
      <w:r w:rsidR="006A0175">
        <w:t xml:space="preserve"> brain is constantly flicking back and forth</w:t>
      </w:r>
      <w:r>
        <w:t>.</w:t>
      </w:r>
      <w:r w:rsidR="006A0175">
        <w:t xml:space="preserve"> </w:t>
      </w:r>
      <w:proofErr w:type="spellStart"/>
      <w:r w:rsidR="0074525E">
        <w:t>Blom</w:t>
      </w:r>
      <w:proofErr w:type="spellEnd"/>
      <w:r w:rsidR="0074525E">
        <w:t xml:space="preserve"> (2014) states </w:t>
      </w:r>
      <w:r w:rsidR="006A382E">
        <w:t xml:space="preserve">that a multilingual brain is quicker than a non-multilingual brain, there are two important parts of the brain to help with this. </w:t>
      </w:r>
      <w:r w:rsidR="006A0175">
        <w:t xml:space="preserve"> Rees and Palmer (2010) state that t</w:t>
      </w:r>
      <w:r w:rsidR="006A382E">
        <w:t xml:space="preserve">he </w:t>
      </w:r>
      <w:r w:rsidR="006A382E" w:rsidRPr="006A0175">
        <w:t xml:space="preserve">auditory </w:t>
      </w:r>
      <w:r w:rsidR="006A0175" w:rsidRPr="006A0175">
        <w:t>cortex</w:t>
      </w:r>
      <w:r w:rsidR="006A0175">
        <w:t xml:space="preserve"> is</w:t>
      </w:r>
      <w:r w:rsidR="006A382E">
        <w:t xml:space="preserve"> responsible for processing sounds, multilingual and bilingual people are used to different phonemes, when a multilingual distinguishes these </w:t>
      </w:r>
      <w:proofErr w:type="gramStart"/>
      <w:r w:rsidR="006A382E">
        <w:t>sounds</w:t>
      </w:r>
      <w:proofErr w:type="gramEnd"/>
      <w:r w:rsidR="006A0175">
        <w:t xml:space="preserve"> they </w:t>
      </w:r>
      <w:r w:rsidR="006A382E">
        <w:t xml:space="preserve">will be able to start to recognize sounds and languages faster by decoding. </w:t>
      </w:r>
      <w:r w:rsidR="006A0175">
        <w:t>The next important are for breaking down language is t</w:t>
      </w:r>
      <w:r w:rsidR="006A382E">
        <w:t>he Wernicke’s</w:t>
      </w:r>
      <w:r w:rsidR="006A0175">
        <w:t xml:space="preserve"> are</w:t>
      </w:r>
      <w:r w:rsidR="006A382E">
        <w:t xml:space="preserve">. </w:t>
      </w:r>
      <w:r w:rsidR="006A0175">
        <w:t xml:space="preserve"> Binder (2017) states </w:t>
      </w:r>
      <w:r w:rsidR="006A0175">
        <w:t>the Wernicke are</w:t>
      </w:r>
      <w:r w:rsidR="006A0175">
        <w:t>a</w:t>
      </w:r>
      <w:r w:rsidR="006A0175">
        <w:t xml:space="preserve"> can switch between languages quicker with a </w:t>
      </w:r>
      <w:r w:rsidR="006A0175">
        <w:lastRenderedPageBreak/>
        <w:t>lot less effort</w:t>
      </w:r>
      <w:r w:rsidR="006A0175">
        <w:t xml:space="preserve"> when somebody is multilingual. Being multilingual can benefit this are as </w:t>
      </w:r>
      <w:r w:rsidR="006A382E">
        <w:t>there is better word recognition a</w:t>
      </w:r>
      <w:r w:rsidR="006A0175">
        <w:t>nd</w:t>
      </w:r>
      <w:r w:rsidR="006A382E">
        <w:t xml:space="preserve"> a faster understanding of the meaning of word. When the auditory cortex and the Wernicke area work it has a quicker understanding of processing languages. The next stage is the Broca are</w:t>
      </w:r>
      <w:r w:rsidR="006A0175">
        <w:t>a,</w:t>
      </w:r>
      <w:r w:rsidR="006A382E">
        <w:t xml:space="preserve"> the Broca area </w:t>
      </w:r>
      <w:r w:rsidR="006A0175">
        <w:t>helps to</w:t>
      </w:r>
      <w:r w:rsidR="006A382E">
        <w:t xml:space="preserve"> produc</w:t>
      </w:r>
      <w:r w:rsidR="006A0175">
        <w:t>e</w:t>
      </w:r>
      <w:r w:rsidR="006A382E">
        <w:t xml:space="preserve"> speech and string sentences together. </w:t>
      </w:r>
      <w:proofErr w:type="spellStart"/>
      <w:r w:rsidR="006A0175">
        <w:t>Fedorenko</w:t>
      </w:r>
      <w:proofErr w:type="spellEnd"/>
      <w:r w:rsidR="006A0175">
        <w:t>, Duncan and Kanwisher (2012) state that the</w:t>
      </w:r>
      <w:r w:rsidR="006A382E">
        <w:t xml:space="preserve"> Broca are</w:t>
      </w:r>
      <w:r w:rsidR="006A0175">
        <w:t>a</w:t>
      </w:r>
      <w:r w:rsidR="006A382E">
        <w:t xml:space="preserve"> become</w:t>
      </w:r>
      <w:r w:rsidR="006A0175">
        <w:t>s</w:t>
      </w:r>
      <w:r w:rsidR="006A382E">
        <w:t xml:space="preserve"> quicker and </w:t>
      </w:r>
      <w:r w:rsidR="006A0175">
        <w:t xml:space="preserve">more </w:t>
      </w:r>
      <w:r w:rsidR="006A382E">
        <w:t>efficient at switching between languages</w:t>
      </w:r>
      <w:r w:rsidR="006A0175">
        <w:t xml:space="preserve"> w</w:t>
      </w:r>
      <w:r w:rsidR="006A382E">
        <w:t xml:space="preserve">hen a person is multilingual or bilingual the brain adapts and has a quicker time to switch between languages, it becomes more efficient resulting in faster switch better listings. </w:t>
      </w:r>
    </w:p>
    <w:p w14:paraId="752C0C69" w14:textId="35E5053E" w:rsidR="00581A30" w:rsidRDefault="00581A30" w:rsidP="006A382E">
      <w:pPr>
        <w:spacing w:line="360" w:lineRule="auto"/>
      </w:pPr>
    </w:p>
    <w:p w14:paraId="6A7D848A" w14:textId="7EAF4405" w:rsidR="00581A30" w:rsidRDefault="006A0175" w:rsidP="006A382E">
      <w:pPr>
        <w:spacing w:line="360" w:lineRule="auto"/>
      </w:pPr>
      <w:r>
        <w:t>Often being bi</w:t>
      </w:r>
      <w:r w:rsidR="00581A30">
        <w:t>ilingua</w:t>
      </w:r>
      <w:r>
        <w:t>l</w:t>
      </w:r>
      <w:r w:rsidR="00581A30">
        <w:t xml:space="preserve"> can enhance divergent thinking</w:t>
      </w:r>
      <w:r>
        <w:t>. Divergent thinking</w:t>
      </w:r>
      <w:r w:rsidR="00581A30">
        <w:t xml:space="preserve"> is the ability to generate multiple solution</w:t>
      </w:r>
      <w:r>
        <w:t xml:space="preserve">s and </w:t>
      </w:r>
      <w:r w:rsidR="00581A30">
        <w:t>ideas</w:t>
      </w:r>
      <w:r>
        <w:t xml:space="preserve">. </w:t>
      </w:r>
      <w:proofErr w:type="spellStart"/>
      <w:r>
        <w:t>Saccardi</w:t>
      </w:r>
      <w:proofErr w:type="spellEnd"/>
      <w:r>
        <w:t xml:space="preserve"> (2015) believes that divergent thinking helps </w:t>
      </w:r>
      <w:r w:rsidR="00581A30">
        <w:t xml:space="preserve">a child </w:t>
      </w:r>
      <w:r>
        <w:t>to</w:t>
      </w:r>
      <w:r w:rsidR="00581A30">
        <w:t xml:space="preserve"> problem solv</w:t>
      </w:r>
      <w:r>
        <w:t xml:space="preserve">e and to think with creativity. </w:t>
      </w:r>
      <w:proofErr w:type="spellStart"/>
      <w:r>
        <w:t>Saccardi</w:t>
      </w:r>
      <w:proofErr w:type="spellEnd"/>
      <w:r>
        <w:t xml:space="preserve"> (2015) states that Divergent thinking</w:t>
      </w:r>
      <w:r w:rsidR="00581A30">
        <w:t xml:space="preserve"> allows children to think outside of the box and not have one answer but </w:t>
      </w:r>
      <w:r>
        <w:t xml:space="preserve">to have many different answers. </w:t>
      </w:r>
      <w:r w:rsidR="00581A30">
        <w:t xml:space="preserve">Children who are bilingual or multilingual </w:t>
      </w:r>
      <w:r>
        <w:t>tend to</w:t>
      </w:r>
      <w:r w:rsidR="00581A30">
        <w:t xml:space="preserve"> have stronger divergent thinking skills </w:t>
      </w:r>
      <w:r>
        <w:t xml:space="preserve">this can be </w:t>
      </w:r>
      <w:r w:rsidR="00581A30">
        <w:t>because th</w:t>
      </w:r>
      <w:r>
        <w:t>e</w:t>
      </w:r>
      <w:r w:rsidR="00581A30">
        <w:t xml:space="preserve"> brain</w:t>
      </w:r>
      <w:r>
        <w:t xml:space="preserve"> is</w:t>
      </w:r>
      <w:r w:rsidR="00581A30">
        <w:t xml:space="preserve"> regularly working and switching between languages.</w:t>
      </w:r>
      <w:r>
        <w:t xml:space="preserve"> Children start to </w:t>
      </w:r>
      <w:r w:rsidR="00581A30">
        <w:t xml:space="preserve">develop the understanding of other concepts and meaning from different languages. Having this understanding helps children to interpret other words and meaning in different languages </w:t>
      </w:r>
      <w:r>
        <w:t>and to understand cultures and beliefs better and to</w:t>
      </w:r>
      <w:r w:rsidR="00581A30">
        <w:t xml:space="preserve"> think</w:t>
      </w:r>
      <w:r>
        <w:t xml:space="preserve"> </w:t>
      </w:r>
      <w:r w:rsidR="00581A30">
        <w:t>out</w:t>
      </w:r>
      <w:r>
        <w:t>side</w:t>
      </w:r>
      <w:r w:rsidR="00581A30">
        <w:t xml:space="preserve"> of a box</w:t>
      </w:r>
      <w:r>
        <w:t>.</w:t>
      </w:r>
      <w:r w:rsidR="00581A30">
        <w:t xml:space="preserve"> </w:t>
      </w:r>
    </w:p>
    <w:p w14:paraId="6FCAE29E" w14:textId="5564C055" w:rsidR="00581A30" w:rsidRDefault="00581A30" w:rsidP="006A382E">
      <w:pPr>
        <w:spacing w:line="360" w:lineRule="auto"/>
      </w:pPr>
    </w:p>
    <w:p w14:paraId="15335D51" w14:textId="15A5E1B9" w:rsidR="00581A30" w:rsidRDefault="00581A30" w:rsidP="006A382E">
      <w:pPr>
        <w:spacing w:line="360" w:lineRule="auto"/>
      </w:pPr>
    </w:p>
    <w:p w14:paraId="2B1C5CD9" w14:textId="7A9CDC59" w:rsidR="006A382E" w:rsidRDefault="00581A30" w:rsidP="006A382E">
      <w:pPr>
        <w:spacing w:line="360" w:lineRule="auto"/>
      </w:pPr>
      <w:r>
        <w:t>Frameworks for bilingualism are designed to support the development of two or more language in an educational setting for children.</w:t>
      </w:r>
      <w:r w:rsidR="0074525E">
        <w:t xml:space="preserve"> Wright and Wayne (2026) state that</w:t>
      </w:r>
      <w:r>
        <w:t xml:space="preserve"> </w:t>
      </w:r>
      <w:r w:rsidR="0074525E">
        <w:t>th</w:t>
      </w:r>
      <w:r>
        <w:t>e frameworks are put in place to provide structure and guidance on how language should be taught and learnt.</w:t>
      </w:r>
      <w:r w:rsidR="006A0175">
        <w:t xml:space="preserve"> Welsh Government (2025) state that the </w:t>
      </w:r>
      <w:r>
        <w:t>frameworks are vital for every school as by the year of 2050 the welsh government want to aim to have one million welsh speakers. Bilingual education is put out in national frameworks that promote the use of English and Welsh in schools. These programmes are developed for gradual learning of the welsh language alongside the learning of English. Welsh will be used across different subjects and cultures to make sure that children are developing the native language.</w:t>
      </w:r>
    </w:p>
    <w:p w14:paraId="1A2ACA6F" w14:textId="239DBBF8" w:rsidR="00F062F1" w:rsidRDefault="0092669F" w:rsidP="006A382E">
      <w:pPr>
        <w:spacing w:line="360" w:lineRule="auto"/>
      </w:pPr>
      <w:r>
        <w:t xml:space="preserve">These frameworks are effective for teachers for planning making sure they have appropriate resources, its vital that the community and parents are involved in supporting the learners. </w:t>
      </w:r>
      <w:r>
        <w:lastRenderedPageBreak/>
        <w:t>Bilingualism frameworks play a role in developing the language skills of children understanding the cultural awareness and supporting educational achievements.</w:t>
      </w:r>
    </w:p>
    <w:p w14:paraId="7540DF73" w14:textId="54C92E1F" w:rsidR="006A382E" w:rsidRDefault="006A382E" w:rsidP="006A382E">
      <w:pPr>
        <w:spacing w:line="360" w:lineRule="auto"/>
      </w:pPr>
    </w:p>
    <w:p w14:paraId="44FB321B" w14:textId="5A496B43" w:rsidR="006A382E" w:rsidRDefault="006A382E" w:rsidP="006A382E">
      <w:pPr>
        <w:spacing w:line="360" w:lineRule="auto"/>
      </w:pPr>
      <w:r w:rsidRPr="006A0175">
        <w:rPr>
          <w:highlight w:val="yellow"/>
        </w:rPr>
        <w:t xml:space="preserve">Bilingualism offer cognitive and social advantages. CUMMINS THRESHOLD suggests that higher proficiency in two languages enhances the cognitive development. </w:t>
      </w:r>
      <w:r w:rsidR="0074525E" w:rsidRPr="006A0175">
        <w:rPr>
          <w:highlight w:val="yellow"/>
        </w:rPr>
        <w:t>Vygotsky</w:t>
      </w:r>
      <w:r w:rsidRPr="006A0175">
        <w:rPr>
          <w:highlight w:val="yellow"/>
        </w:rPr>
        <w:t xml:space="preserve"> believes in sociocultural theory he highlights the importance of languages and the social interaction during learning. Bilingualism</w:t>
      </w:r>
      <w:r>
        <w:t xml:space="preserve"> </w:t>
      </w:r>
    </w:p>
    <w:p w14:paraId="4DA4DF0D" w14:textId="24D16316" w:rsidR="0074525E" w:rsidRDefault="0074525E" w:rsidP="006A382E">
      <w:pPr>
        <w:spacing w:line="360" w:lineRule="auto"/>
      </w:pPr>
    </w:p>
    <w:p w14:paraId="0FD312CB" w14:textId="77777777" w:rsidR="006A0175" w:rsidRDefault="006A0175" w:rsidP="006A382E">
      <w:pPr>
        <w:spacing w:line="360" w:lineRule="auto"/>
      </w:pPr>
    </w:p>
    <w:p w14:paraId="33EEA152" w14:textId="4C6B6439" w:rsidR="0074525E" w:rsidRPr="0074525E" w:rsidRDefault="0074525E" w:rsidP="006A382E">
      <w:pPr>
        <w:spacing w:line="360" w:lineRule="auto"/>
        <w:rPr>
          <w:b/>
          <w:bCs/>
          <w:u w:val="single"/>
        </w:rPr>
      </w:pPr>
      <w:r w:rsidRPr="0074525E">
        <w:rPr>
          <w:b/>
          <w:bCs/>
          <w:u w:val="single"/>
        </w:rPr>
        <w:t>Reference</w:t>
      </w:r>
    </w:p>
    <w:p w14:paraId="4FBD1ABD" w14:textId="51948E88" w:rsidR="0074525E" w:rsidRPr="006A0175" w:rsidRDefault="0074525E" w:rsidP="0074525E">
      <w:pPr>
        <w:rPr>
          <w:rFonts w:eastAsia="Times New Roman" w:cstheme="minorHAnsi"/>
          <w:color w:val="000000" w:themeColor="text1"/>
          <w:sz w:val="22"/>
          <w:szCs w:val="22"/>
          <w:shd w:val="clear" w:color="auto" w:fill="FFFFFF"/>
          <w:lang w:eastAsia="en-GB"/>
        </w:rPr>
      </w:pPr>
      <w:proofErr w:type="spellStart"/>
      <w:r w:rsidRPr="0074525E">
        <w:rPr>
          <w:rFonts w:eastAsia="Times New Roman" w:cstheme="minorHAnsi"/>
          <w:color w:val="000000" w:themeColor="text1"/>
          <w:sz w:val="22"/>
          <w:szCs w:val="22"/>
          <w:shd w:val="clear" w:color="auto" w:fill="FFFFFF"/>
          <w:lang w:eastAsia="en-GB"/>
        </w:rPr>
        <w:t>Blom</w:t>
      </w:r>
      <w:proofErr w:type="spellEnd"/>
      <w:r w:rsidRPr="0074525E">
        <w:rPr>
          <w:rFonts w:eastAsia="Times New Roman" w:cstheme="minorHAnsi"/>
          <w:color w:val="000000" w:themeColor="text1"/>
          <w:sz w:val="22"/>
          <w:szCs w:val="22"/>
          <w:shd w:val="clear" w:color="auto" w:fill="FFFFFF"/>
          <w:lang w:eastAsia="en-GB"/>
        </w:rPr>
        <w:t>, E. </w:t>
      </w:r>
      <w:r w:rsidRPr="0074525E">
        <w:rPr>
          <w:rFonts w:eastAsia="Times New Roman" w:cstheme="minorHAnsi"/>
          <w:i/>
          <w:iCs/>
          <w:color w:val="000000" w:themeColor="text1"/>
          <w:sz w:val="22"/>
          <w:szCs w:val="22"/>
          <w:shd w:val="clear" w:color="auto" w:fill="FFFFFF"/>
          <w:lang w:eastAsia="en-GB"/>
        </w:rPr>
        <w:t>et al.</w:t>
      </w:r>
      <w:r w:rsidRPr="0074525E">
        <w:rPr>
          <w:rFonts w:eastAsia="Times New Roman" w:cstheme="minorHAnsi"/>
          <w:color w:val="000000" w:themeColor="text1"/>
          <w:sz w:val="22"/>
          <w:szCs w:val="22"/>
          <w:shd w:val="clear" w:color="auto" w:fill="FFFFFF"/>
          <w:lang w:eastAsia="en-GB"/>
        </w:rPr>
        <w:t> (2014) “The benefits of being bilingual: Working memory in bilingual Turkish–Dutch children,” </w:t>
      </w:r>
      <w:r w:rsidRPr="0074525E">
        <w:rPr>
          <w:rFonts w:eastAsia="Times New Roman" w:cstheme="minorHAnsi"/>
          <w:i/>
          <w:iCs/>
          <w:color w:val="000000" w:themeColor="text1"/>
          <w:sz w:val="22"/>
          <w:szCs w:val="22"/>
          <w:shd w:val="clear" w:color="auto" w:fill="FFFFFF"/>
          <w:lang w:eastAsia="en-GB"/>
        </w:rPr>
        <w:t>Journal of experimental child psychology</w:t>
      </w:r>
      <w:r w:rsidRPr="0074525E">
        <w:rPr>
          <w:rFonts w:eastAsia="Times New Roman" w:cstheme="minorHAnsi"/>
          <w:color w:val="000000" w:themeColor="text1"/>
          <w:sz w:val="22"/>
          <w:szCs w:val="22"/>
          <w:shd w:val="clear" w:color="auto" w:fill="FFFFFF"/>
          <w:lang w:eastAsia="en-GB"/>
        </w:rPr>
        <w:t xml:space="preserve">, 128, pp. 105–119. Available at: </w:t>
      </w:r>
      <w:hyperlink r:id="rId4" w:history="1">
        <w:r w:rsidRPr="0074525E">
          <w:rPr>
            <w:rStyle w:val="Hyperlink"/>
            <w:rFonts w:eastAsia="Times New Roman" w:cstheme="minorHAnsi"/>
            <w:color w:val="000000" w:themeColor="text1"/>
            <w:sz w:val="22"/>
            <w:szCs w:val="22"/>
            <w:shd w:val="clear" w:color="auto" w:fill="FFFFFF"/>
            <w:lang w:eastAsia="en-GB"/>
          </w:rPr>
          <w:t>https://doi.org/10.1016/j.jecp.2014.06.007</w:t>
        </w:r>
      </w:hyperlink>
      <w:r w:rsidRPr="0074525E">
        <w:rPr>
          <w:rFonts w:eastAsia="Times New Roman" w:cstheme="minorHAnsi"/>
          <w:color w:val="000000" w:themeColor="text1"/>
          <w:sz w:val="22"/>
          <w:szCs w:val="22"/>
          <w:shd w:val="clear" w:color="auto" w:fill="FFFFFF"/>
          <w:lang w:eastAsia="en-GB"/>
        </w:rPr>
        <w:t>.</w:t>
      </w:r>
    </w:p>
    <w:p w14:paraId="6B049466" w14:textId="4B2CD059" w:rsidR="0074525E" w:rsidRPr="006A0175" w:rsidRDefault="0074525E" w:rsidP="0074525E">
      <w:pPr>
        <w:rPr>
          <w:rFonts w:eastAsia="Times New Roman" w:cstheme="minorHAnsi"/>
          <w:color w:val="000000" w:themeColor="text1"/>
          <w:sz w:val="22"/>
          <w:szCs w:val="22"/>
          <w:shd w:val="clear" w:color="auto" w:fill="FFFFFF"/>
          <w:lang w:eastAsia="en-GB"/>
        </w:rPr>
      </w:pPr>
    </w:p>
    <w:p w14:paraId="4153BF79" w14:textId="219E5657" w:rsidR="0074525E" w:rsidRPr="006A0175" w:rsidRDefault="0074525E" w:rsidP="0074525E">
      <w:pPr>
        <w:rPr>
          <w:rFonts w:eastAsia="Times New Roman" w:cstheme="minorHAnsi"/>
          <w:color w:val="000000" w:themeColor="text1"/>
          <w:sz w:val="22"/>
          <w:szCs w:val="22"/>
          <w:shd w:val="clear" w:color="auto" w:fill="FFFFFF"/>
          <w:lang w:eastAsia="en-GB"/>
        </w:rPr>
      </w:pPr>
      <w:r w:rsidRPr="0074525E">
        <w:rPr>
          <w:rFonts w:eastAsia="Times New Roman" w:cstheme="minorHAnsi"/>
          <w:color w:val="000000" w:themeColor="text1"/>
          <w:sz w:val="22"/>
          <w:szCs w:val="22"/>
          <w:shd w:val="clear" w:color="auto" w:fill="FFFFFF"/>
          <w:lang w:eastAsia="en-GB"/>
        </w:rPr>
        <w:t xml:space="preserve">Baker, </w:t>
      </w:r>
      <w:proofErr w:type="gramStart"/>
      <w:r w:rsidRPr="0074525E">
        <w:rPr>
          <w:rFonts w:eastAsia="Times New Roman" w:cstheme="minorHAnsi"/>
          <w:color w:val="000000" w:themeColor="text1"/>
          <w:sz w:val="22"/>
          <w:szCs w:val="22"/>
          <w:shd w:val="clear" w:color="auto" w:fill="FFFFFF"/>
          <w:lang w:eastAsia="en-GB"/>
        </w:rPr>
        <w:t>C.</w:t>
      </w:r>
      <w:proofErr w:type="gramEnd"/>
      <w:r w:rsidRPr="0074525E">
        <w:rPr>
          <w:rFonts w:eastAsia="Times New Roman" w:cstheme="minorHAnsi"/>
          <w:color w:val="000000" w:themeColor="text1"/>
          <w:sz w:val="22"/>
          <w:szCs w:val="22"/>
          <w:shd w:val="clear" w:color="auto" w:fill="FFFFFF"/>
          <w:lang w:eastAsia="en-GB"/>
        </w:rPr>
        <w:t xml:space="preserve"> and Wright, W.E. (2026) </w:t>
      </w:r>
      <w:r w:rsidRPr="0074525E">
        <w:rPr>
          <w:rFonts w:eastAsia="Times New Roman" w:cstheme="minorHAnsi"/>
          <w:i/>
          <w:iCs/>
          <w:color w:val="000000" w:themeColor="text1"/>
          <w:sz w:val="22"/>
          <w:szCs w:val="22"/>
          <w:shd w:val="clear" w:color="auto" w:fill="FFFFFF"/>
          <w:lang w:eastAsia="en-GB"/>
        </w:rPr>
        <w:t>Foundations of bilingual education and bilingualism.</w:t>
      </w:r>
      <w:r w:rsidRPr="0074525E">
        <w:rPr>
          <w:rFonts w:eastAsia="Times New Roman" w:cstheme="minorHAnsi"/>
          <w:color w:val="000000" w:themeColor="text1"/>
          <w:sz w:val="22"/>
          <w:szCs w:val="22"/>
          <w:shd w:val="clear" w:color="auto" w:fill="FFFFFF"/>
          <w:lang w:eastAsia="en-GB"/>
        </w:rPr>
        <w:t xml:space="preserve"> 8th edition / Wayne E. Wright and Colin Baker. Bristol: Multilingual Matters. Available at: </w:t>
      </w:r>
      <w:r w:rsidRPr="006A0175">
        <w:rPr>
          <w:rFonts w:eastAsia="Times New Roman" w:cstheme="minorHAnsi"/>
          <w:color w:val="000000" w:themeColor="text1"/>
          <w:sz w:val="22"/>
          <w:szCs w:val="22"/>
          <w:shd w:val="clear" w:color="auto" w:fill="FFFFFF"/>
          <w:lang w:eastAsia="en-GB"/>
        </w:rPr>
        <w:fldChar w:fldCharType="begin"/>
      </w:r>
      <w:r w:rsidRPr="006A0175">
        <w:rPr>
          <w:rFonts w:eastAsia="Times New Roman" w:cstheme="minorHAnsi"/>
          <w:color w:val="000000" w:themeColor="text1"/>
          <w:sz w:val="22"/>
          <w:szCs w:val="22"/>
          <w:shd w:val="clear" w:color="auto" w:fill="FFFFFF"/>
          <w:lang w:eastAsia="en-GB"/>
        </w:rPr>
        <w:instrText xml:space="preserve"> HYPERLINK "</w:instrText>
      </w:r>
      <w:r w:rsidRPr="0074525E">
        <w:rPr>
          <w:rFonts w:eastAsia="Times New Roman" w:cstheme="minorHAnsi"/>
          <w:color w:val="000000" w:themeColor="text1"/>
          <w:sz w:val="22"/>
          <w:szCs w:val="22"/>
          <w:shd w:val="clear" w:color="auto" w:fill="FFFFFF"/>
          <w:lang w:eastAsia="en-GB"/>
        </w:rPr>
        <w:instrText>https://ezproxy.uwtsd.ac.uk/login?url=https://www.vlebooks.com/product/openreader?id=TrinityStD&amp;accId=8886856&amp;isbn=9781836680550&amp;uid=^u</w:instrText>
      </w:r>
      <w:r w:rsidRPr="006A0175">
        <w:rPr>
          <w:rFonts w:eastAsia="Times New Roman" w:cstheme="minorHAnsi"/>
          <w:color w:val="000000" w:themeColor="text1"/>
          <w:sz w:val="22"/>
          <w:szCs w:val="22"/>
          <w:shd w:val="clear" w:color="auto" w:fill="FFFFFF"/>
          <w:lang w:eastAsia="en-GB"/>
        </w:rPr>
        <w:instrText xml:space="preserve">" </w:instrText>
      </w:r>
      <w:r w:rsidRPr="006A0175">
        <w:rPr>
          <w:rFonts w:eastAsia="Times New Roman" w:cstheme="minorHAnsi"/>
          <w:color w:val="000000" w:themeColor="text1"/>
          <w:sz w:val="22"/>
          <w:szCs w:val="22"/>
          <w:shd w:val="clear" w:color="auto" w:fill="FFFFFF"/>
          <w:lang w:eastAsia="en-GB"/>
        </w:rPr>
        <w:fldChar w:fldCharType="separate"/>
      </w:r>
      <w:r w:rsidRPr="0074525E">
        <w:rPr>
          <w:rStyle w:val="Hyperlink"/>
          <w:rFonts w:eastAsia="Times New Roman" w:cstheme="minorHAnsi"/>
          <w:color w:val="000000" w:themeColor="text1"/>
          <w:sz w:val="22"/>
          <w:szCs w:val="22"/>
          <w:shd w:val="clear" w:color="auto" w:fill="FFFFFF"/>
          <w:lang w:eastAsia="en-GB"/>
        </w:rPr>
        <w:t>https://ezproxy.uwtsd.ac.uk/login?url=https://www.vlebooks.com/product/openreader?id=TrinityStD&amp;accId=8886856&amp;isbn=9781836680550&amp;uid=^u</w:t>
      </w:r>
      <w:r w:rsidRPr="006A0175">
        <w:rPr>
          <w:rFonts w:eastAsia="Times New Roman" w:cstheme="minorHAnsi"/>
          <w:color w:val="000000" w:themeColor="text1"/>
          <w:sz w:val="22"/>
          <w:szCs w:val="22"/>
          <w:shd w:val="clear" w:color="auto" w:fill="FFFFFF"/>
          <w:lang w:eastAsia="en-GB"/>
        </w:rPr>
        <w:fldChar w:fldCharType="end"/>
      </w:r>
      <w:r w:rsidRPr="0074525E">
        <w:rPr>
          <w:rFonts w:eastAsia="Times New Roman" w:cstheme="minorHAnsi"/>
          <w:color w:val="000000" w:themeColor="text1"/>
          <w:sz w:val="22"/>
          <w:szCs w:val="22"/>
          <w:shd w:val="clear" w:color="auto" w:fill="FFFFFF"/>
          <w:lang w:eastAsia="en-GB"/>
        </w:rPr>
        <w:t>.</w:t>
      </w:r>
    </w:p>
    <w:p w14:paraId="7FDD04F0" w14:textId="77777777" w:rsidR="0074525E" w:rsidRPr="0074525E" w:rsidRDefault="0074525E" w:rsidP="0074525E">
      <w:pPr>
        <w:rPr>
          <w:rFonts w:eastAsia="Times New Roman" w:cstheme="minorHAnsi"/>
          <w:color w:val="000000" w:themeColor="text1"/>
          <w:sz w:val="22"/>
          <w:szCs w:val="22"/>
          <w:lang w:eastAsia="en-GB"/>
        </w:rPr>
      </w:pPr>
    </w:p>
    <w:p w14:paraId="5861C3B1" w14:textId="0B8AE27D" w:rsidR="006A0175" w:rsidRPr="006A0175" w:rsidRDefault="006A0175" w:rsidP="006A0175">
      <w:pPr>
        <w:rPr>
          <w:rFonts w:eastAsia="Times New Roman" w:cstheme="minorHAnsi"/>
          <w:color w:val="000000" w:themeColor="text1"/>
          <w:sz w:val="22"/>
          <w:szCs w:val="22"/>
          <w:shd w:val="clear" w:color="auto" w:fill="FFFFFF"/>
          <w:lang w:eastAsia="en-GB"/>
        </w:rPr>
      </w:pPr>
      <w:r w:rsidRPr="006A0175">
        <w:rPr>
          <w:rFonts w:eastAsia="Times New Roman" w:cstheme="minorHAnsi"/>
          <w:color w:val="000000" w:themeColor="text1"/>
          <w:sz w:val="22"/>
          <w:szCs w:val="22"/>
          <w:shd w:val="clear" w:color="auto" w:fill="FFFFFF"/>
          <w:lang w:eastAsia="en-GB"/>
        </w:rPr>
        <w:t>Welsh Government. (2025). </w:t>
      </w:r>
      <w:r w:rsidRPr="006A0175">
        <w:rPr>
          <w:rFonts w:eastAsia="Times New Roman" w:cstheme="minorHAnsi"/>
          <w:i/>
          <w:iCs/>
          <w:color w:val="000000" w:themeColor="text1"/>
          <w:sz w:val="22"/>
          <w:szCs w:val="22"/>
          <w:lang w:eastAsia="en-GB"/>
        </w:rPr>
        <w:t>Welsh language data from the Annual Population Survey: April 2024 to March 2025</w:t>
      </w:r>
      <w:r w:rsidRPr="006A0175">
        <w:rPr>
          <w:rFonts w:eastAsia="Times New Roman" w:cstheme="minorHAnsi"/>
          <w:color w:val="000000" w:themeColor="text1"/>
          <w:sz w:val="22"/>
          <w:szCs w:val="22"/>
          <w:shd w:val="clear" w:color="auto" w:fill="FFFFFF"/>
          <w:lang w:eastAsia="en-GB"/>
        </w:rPr>
        <w:t>. [Online]. Welsh Government. Last Updated: 3 July. Available at: https://www.gov.wales/welsh-language-data-annual-population-survey-april-2024-march-2025-html [Accessed 3 April 2026].</w:t>
      </w:r>
    </w:p>
    <w:p w14:paraId="6A1F8C55" w14:textId="57577830" w:rsidR="006A0175" w:rsidRPr="006A0175" w:rsidRDefault="006A0175" w:rsidP="006A0175">
      <w:pPr>
        <w:rPr>
          <w:rFonts w:eastAsia="Times New Roman" w:cstheme="minorHAnsi"/>
          <w:color w:val="000000" w:themeColor="text1"/>
          <w:sz w:val="22"/>
          <w:szCs w:val="22"/>
          <w:shd w:val="clear" w:color="auto" w:fill="FFFFFF"/>
          <w:lang w:eastAsia="en-GB"/>
        </w:rPr>
      </w:pPr>
    </w:p>
    <w:p w14:paraId="3BFE8DC2" w14:textId="77777777" w:rsidR="006A0175" w:rsidRPr="006A0175" w:rsidRDefault="006A0175" w:rsidP="006A0175">
      <w:pPr>
        <w:rPr>
          <w:rFonts w:eastAsia="Times New Roman" w:cstheme="minorHAnsi"/>
          <w:color w:val="000000" w:themeColor="text1"/>
          <w:sz w:val="22"/>
          <w:szCs w:val="22"/>
          <w:lang w:eastAsia="en-GB"/>
        </w:rPr>
      </w:pPr>
      <w:r w:rsidRPr="006A0175">
        <w:rPr>
          <w:rFonts w:eastAsia="Times New Roman" w:cstheme="minorHAnsi"/>
          <w:color w:val="000000" w:themeColor="text1"/>
          <w:sz w:val="22"/>
          <w:szCs w:val="22"/>
          <w:shd w:val="clear" w:color="auto" w:fill="FFFFFF"/>
          <w:lang w:eastAsia="en-GB"/>
        </w:rPr>
        <w:t>Cambridge Dictionary. (2025). </w:t>
      </w:r>
      <w:r w:rsidRPr="006A0175">
        <w:rPr>
          <w:rFonts w:eastAsia="Times New Roman" w:cstheme="minorHAnsi"/>
          <w:i/>
          <w:iCs/>
          <w:color w:val="000000" w:themeColor="text1"/>
          <w:sz w:val="22"/>
          <w:szCs w:val="22"/>
          <w:lang w:eastAsia="en-GB"/>
        </w:rPr>
        <w:t>Bilingual</w:t>
      </w:r>
      <w:r w:rsidRPr="006A0175">
        <w:rPr>
          <w:rFonts w:eastAsia="Times New Roman" w:cstheme="minorHAnsi"/>
          <w:color w:val="000000" w:themeColor="text1"/>
          <w:sz w:val="22"/>
          <w:szCs w:val="22"/>
          <w:shd w:val="clear" w:color="auto" w:fill="FFFFFF"/>
          <w:lang w:eastAsia="en-GB"/>
        </w:rPr>
        <w:t>. [Online]. Cambridge Dictionary. Last Updated: 18th August. Available at: https://dictionary.cambridge.org/dictionary/english/bilingual [Accessed 3 April 2026].</w:t>
      </w:r>
    </w:p>
    <w:p w14:paraId="51AAA513" w14:textId="2F911B47" w:rsidR="006A0175" w:rsidRPr="006A0175" w:rsidRDefault="006A0175" w:rsidP="006A0175">
      <w:pPr>
        <w:rPr>
          <w:rFonts w:eastAsia="Times New Roman" w:cstheme="minorHAnsi"/>
          <w:color w:val="000000" w:themeColor="text1"/>
          <w:sz w:val="22"/>
          <w:szCs w:val="22"/>
          <w:shd w:val="clear" w:color="auto" w:fill="FFFFFF"/>
          <w:lang w:eastAsia="en-GB"/>
        </w:rPr>
      </w:pPr>
    </w:p>
    <w:p w14:paraId="45D563A8" w14:textId="77777777" w:rsidR="006A0175" w:rsidRPr="006A0175" w:rsidRDefault="006A0175" w:rsidP="006A0175">
      <w:pPr>
        <w:rPr>
          <w:rFonts w:eastAsia="Times New Roman" w:cstheme="minorHAnsi"/>
          <w:color w:val="000000" w:themeColor="text1"/>
          <w:sz w:val="22"/>
          <w:szCs w:val="22"/>
          <w:lang w:eastAsia="en-GB"/>
        </w:rPr>
      </w:pPr>
      <w:r w:rsidRPr="006A0175">
        <w:rPr>
          <w:rFonts w:eastAsia="Times New Roman" w:cstheme="minorHAnsi"/>
          <w:color w:val="000000" w:themeColor="text1"/>
          <w:sz w:val="22"/>
          <w:szCs w:val="22"/>
          <w:shd w:val="clear" w:color="auto" w:fill="FFFFFF"/>
          <w:lang w:eastAsia="en-GB"/>
        </w:rPr>
        <w:t>Cambridge Dictionary. (2025). </w:t>
      </w:r>
      <w:r w:rsidRPr="006A0175">
        <w:rPr>
          <w:rFonts w:eastAsia="Times New Roman" w:cstheme="minorHAnsi"/>
          <w:i/>
          <w:iCs/>
          <w:color w:val="000000" w:themeColor="text1"/>
          <w:sz w:val="22"/>
          <w:szCs w:val="22"/>
          <w:lang w:eastAsia="en-GB"/>
        </w:rPr>
        <w:t>Multilingual</w:t>
      </w:r>
      <w:r w:rsidRPr="006A0175">
        <w:rPr>
          <w:rFonts w:eastAsia="Times New Roman" w:cstheme="minorHAnsi"/>
          <w:color w:val="000000" w:themeColor="text1"/>
          <w:sz w:val="22"/>
          <w:szCs w:val="22"/>
          <w:shd w:val="clear" w:color="auto" w:fill="FFFFFF"/>
          <w:lang w:eastAsia="en-GB"/>
        </w:rPr>
        <w:t>. [Online]. Cambridge Dictionary. Last Updated: 18th August. Available at: https://dictionary.cambridge.org/dictionary/english/multilingual [Accessed 3 April 2026].</w:t>
      </w:r>
    </w:p>
    <w:p w14:paraId="6CD0376D" w14:textId="6FA0D60F" w:rsidR="006A0175" w:rsidRPr="006A0175" w:rsidRDefault="006A0175" w:rsidP="006A0175">
      <w:pPr>
        <w:rPr>
          <w:rFonts w:eastAsia="Times New Roman" w:cstheme="minorHAnsi"/>
          <w:color w:val="000000"/>
          <w:sz w:val="22"/>
          <w:szCs w:val="22"/>
          <w:shd w:val="clear" w:color="auto" w:fill="FFFFFF"/>
          <w:lang w:eastAsia="en-GB"/>
        </w:rPr>
      </w:pPr>
    </w:p>
    <w:p w14:paraId="0840E827" w14:textId="3D16C675" w:rsidR="006A0175" w:rsidRPr="006A0175" w:rsidRDefault="006A0175" w:rsidP="006A0175">
      <w:pPr>
        <w:rPr>
          <w:rFonts w:eastAsia="Times New Roman" w:cstheme="minorHAnsi"/>
          <w:color w:val="000000"/>
          <w:sz w:val="22"/>
          <w:szCs w:val="22"/>
          <w:shd w:val="clear" w:color="auto" w:fill="FFFFFF"/>
          <w:lang w:eastAsia="en-GB"/>
        </w:rPr>
      </w:pPr>
    </w:p>
    <w:p w14:paraId="0CD8927A" w14:textId="5985CFCC" w:rsidR="006A0175" w:rsidRPr="006A0175" w:rsidRDefault="006A0175" w:rsidP="006A0175">
      <w:pPr>
        <w:rPr>
          <w:rFonts w:eastAsia="Times New Roman" w:cstheme="minorHAnsi"/>
          <w:color w:val="000000"/>
          <w:sz w:val="22"/>
          <w:szCs w:val="22"/>
          <w:shd w:val="clear" w:color="auto" w:fill="FFFFFF"/>
          <w:lang w:eastAsia="en-GB"/>
        </w:rPr>
      </w:pPr>
      <w:r w:rsidRPr="006A0175">
        <w:rPr>
          <w:rFonts w:eastAsia="Times New Roman" w:cstheme="minorHAnsi"/>
          <w:color w:val="000000"/>
          <w:sz w:val="22"/>
          <w:szCs w:val="22"/>
          <w:shd w:val="clear" w:color="auto" w:fill="FFFFFF"/>
          <w:lang w:eastAsia="en-GB"/>
        </w:rPr>
        <w:t>Lewis University. (2024). </w:t>
      </w:r>
      <w:r w:rsidRPr="006A0175">
        <w:rPr>
          <w:rFonts w:eastAsia="Times New Roman" w:cstheme="minorHAnsi"/>
          <w:i/>
          <w:iCs/>
          <w:color w:val="000000"/>
          <w:sz w:val="22"/>
          <w:szCs w:val="22"/>
          <w:lang w:eastAsia="en-GB"/>
        </w:rPr>
        <w:t>The Cognitive Benefits of Being Bilingual</w:t>
      </w:r>
      <w:r w:rsidRPr="006A0175">
        <w:rPr>
          <w:rFonts w:eastAsia="Times New Roman" w:cstheme="minorHAnsi"/>
          <w:color w:val="000000"/>
          <w:sz w:val="22"/>
          <w:szCs w:val="22"/>
          <w:shd w:val="clear" w:color="auto" w:fill="FFFFFF"/>
          <w:lang w:eastAsia="en-GB"/>
        </w:rPr>
        <w:t>. [Online]. St Augustine College at Lewis University. Last Updated: 30 May. Available at: https://www.staugustine.edu/2024/05/30/cognitive-benefits-of-bilingualism/ [Accessed 3 April 2026].</w:t>
      </w:r>
    </w:p>
    <w:p w14:paraId="7D81B81F" w14:textId="7481767E" w:rsidR="006A0175" w:rsidRPr="006A0175" w:rsidRDefault="006A0175" w:rsidP="006A0175">
      <w:pPr>
        <w:rPr>
          <w:rFonts w:eastAsia="Times New Roman" w:cstheme="minorHAnsi"/>
          <w:color w:val="000000"/>
          <w:sz w:val="22"/>
          <w:szCs w:val="22"/>
          <w:shd w:val="clear" w:color="auto" w:fill="FFFFFF"/>
          <w:lang w:eastAsia="en-GB"/>
        </w:rPr>
      </w:pPr>
    </w:p>
    <w:p w14:paraId="10EE6C4D" w14:textId="34C18B59" w:rsidR="006A0175" w:rsidRPr="006A0175" w:rsidRDefault="006A0175" w:rsidP="006A0175">
      <w:pPr>
        <w:rPr>
          <w:rFonts w:eastAsia="Times New Roman" w:cstheme="minorHAnsi"/>
          <w:sz w:val="22"/>
          <w:szCs w:val="22"/>
          <w:lang w:eastAsia="en-GB"/>
        </w:rPr>
      </w:pPr>
      <w:r w:rsidRPr="006A0175">
        <w:rPr>
          <w:rFonts w:eastAsia="Times New Roman" w:cstheme="minorHAnsi"/>
          <w:color w:val="000000"/>
          <w:sz w:val="22"/>
          <w:szCs w:val="22"/>
          <w:shd w:val="clear" w:color="auto" w:fill="FFFFFF"/>
          <w:lang w:eastAsia="en-GB"/>
        </w:rPr>
        <w:t>Alison Rees. (2025). </w:t>
      </w:r>
      <w:r w:rsidRPr="006A0175">
        <w:rPr>
          <w:rFonts w:eastAsia="Times New Roman" w:cstheme="minorHAnsi"/>
          <w:color w:val="000000"/>
          <w:sz w:val="22"/>
          <w:szCs w:val="22"/>
          <w:shd w:val="clear" w:color="auto" w:fill="FFFFFF"/>
          <w:lang w:eastAsia="en-GB"/>
        </w:rPr>
        <w:t>B</w:t>
      </w:r>
      <w:r w:rsidRPr="006A0175">
        <w:rPr>
          <w:rFonts w:eastAsia="Times New Roman" w:cstheme="minorHAnsi"/>
          <w:i/>
          <w:iCs/>
          <w:color w:val="000000"/>
          <w:sz w:val="22"/>
          <w:szCs w:val="22"/>
          <w:lang w:eastAsia="en-GB"/>
        </w:rPr>
        <w:t>ilingual Brilliance: How speaking two languages boosts young minds</w:t>
      </w:r>
      <w:r w:rsidRPr="006A0175">
        <w:rPr>
          <w:rFonts w:eastAsia="Times New Roman" w:cstheme="minorHAnsi"/>
          <w:color w:val="000000"/>
          <w:sz w:val="22"/>
          <w:szCs w:val="22"/>
          <w:shd w:val="clear" w:color="auto" w:fill="FFFFFF"/>
          <w:lang w:eastAsia="en-GB"/>
        </w:rPr>
        <w:t>. [Online]. University of Wales Trinity Saint David. Last Updated: 15th October. Available at: https://www.uwtsd.ac.uk/news/bilingual-brilliance-how-speaking-two-languages-boosts-young-minds [Accessed 3 April 2026].</w:t>
      </w:r>
    </w:p>
    <w:p w14:paraId="25ABBC15" w14:textId="77777777" w:rsidR="006A0175" w:rsidRPr="006A0175" w:rsidRDefault="006A0175" w:rsidP="006A0175">
      <w:pPr>
        <w:rPr>
          <w:rFonts w:eastAsia="Times New Roman" w:cstheme="minorHAnsi"/>
          <w:sz w:val="22"/>
          <w:szCs w:val="22"/>
          <w:lang w:eastAsia="en-GB"/>
        </w:rPr>
      </w:pPr>
    </w:p>
    <w:p w14:paraId="7BC01619" w14:textId="1B3D4904" w:rsidR="006A0175" w:rsidRPr="006A0175" w:rsidRDefault="006A0175" w:rsidP="006A0175">
      <w:pPr>
        <w:rPr>
          <w:rFonts w:eastAsia="Times New Roman" w:cstheme="minorHAnsi"/>
          <w:color w:val="3A3A3A"/>
          <w:sz w:val="22"/>
          <w:szCs w:val="22"/>
          <w:shd w:val="clear" w:color="auto" w:fill="FFFFFF"/>
          <w:lang w:eastAsia="en-GB"/>
        </w:rPr>
      </w:pPr>
      <w:r w:rsidRPr="006A0175">
        <w:rPr>
          <w:rFonts w:eastAsia="Times New Roman" w:cstheme="minorHAnsi"/>
          <w:color w:val="3A3A3A"/>
          <w:sz w:val="22"/>
          <w:szCs w:val="22"/>
          <w:shd w:val="clear" w:color="auto" w:fill="FFFFFF"/>
          <w:lang w:eastAsia="en-GB"/>
        </w:rPr>
        <w:t>Barnard, R. and Glynn, T. (2003) </w:t>
      </w:r>
      <w:r w:rsidRPr="006A0175">
        <w:rPr>
          <w:rFonts w:eastAsia="Times New Roman" w:cstheme="minorHAnsi"/>
          <w:i/>
          <w:iCs/>
          <w:color w:val="3A3A3A"/>
          <w:sz w:val="22"/>
          <w:szCs w:val="22"/>
          <w:shd w:val="clear" w:color="auto" w:fill="FFFFFF"/>
          <w:lang w:eastAsia="en-GB"/>
        </w:rPr>
        <w:t>Bilingual children’s language and literacy development</w:t>
      </w:r>
      <w:r w:rsidRPr="006A0175">
        <w:rPr>
          <w:rFonts w:eastAsia="Times New Roman" w:cstheme="minorHAnsi"/>
          <w:color w:val="3A3A3A"/>
          <w:sz w:val="22"/>
          <w:szCs w:val="22"/>
          <w:shd w:val="clear" w:color="auto" w:fill="FFFFFF"/>
          <w:lang w:eastAsia="en-GB"/>
        </w:rPr>
        <w:t xml:space="preserve">. 1st ed. Clevedon, </w:t>
      </w:r>
      <w:proofErr w:type="gramStart"/>
      <w:r w:rsidRPr="006A0175">
        <w:rPr>
          <w:rFonts w:eastAsia="Times New Roman" w:cstheme="minorHAnsi"/>
          <w:color w:val="3A3A3A"/>
          <w:sz w:val="22"/>
          <w:szCs w:val="22"/>
          <w:shd w:val="clear" w:color="auto" w:fill="FFFFFF"/>
          <w:lang w:eastAsia="en-GB"/>
        </w:rPr>
        <w:t>Eng. ;</w:t>
      </w:r>
      <w:proofErr w:type="gramEnd"/>
      <w:r w:rsidRPr="006A0175">
        <w:rPr>
          <w:rFonts w:eastAsia="Times New Roman" w:cstheme="minorHAnsi"/>
          <w:color w:val="3A3A3A"/>
          <w:sz w:val="22"/>
          <w:szCs w:val="22"/>
          <w:shd w:val="clear" w:color="auto" w:fill="FFFFFF"/>
          <w:lang w:eastAsia="en-GB"/>
        </w:rPr>
        <w:t xml:space="preserve"> Multilingual Matters. Available at: </w:t>
      </w:r>
      <w:hyperlink r:id="rId5" w:history="1">
        <w:r w:rsidRPr="006A0175">
          <w:rPr>
            <w:rStyle w:val="Hyperlink"/>
            <w:rFonts w:eastAsia="Times New Roman" w:cstheme="minorHAnsi"/>
            <w:sz w:val="22"/>
            <w:szCs w:val="22"/>
            <w:shd w:val="clear" w:color="auto" w:fill="FFFFFF"/>
            <w:lang w:eastAsia="en-GB"/>
          </w:rPr>
          <w:t>https://doi.org/10.21832/9781853597138</w:t>
        </w:r>
      </w:hyperlink>
      <w:r w:rsidRPr="006A0175">
        <w:rPr>
          <w:rFonts w:eastAsia="Times New Roman" w:cstheme="minorHAnsi"/>
          <w:color w:val="3A3A3A"/>
          <w:sz w:val="22"/>
          <w:szCs w:val="22"/>
          <w:shd w:val="clear" w:color="auto" w:fill="FFFFFF"/>
          <w:lang w:eastAsia="en-GB"/>
        </w:rPr>
        <w:t>.</w:t>
      </w:r>
    </w:p>
    <w:p w14:paraId="1E957063" w14:textId="1926E08B" w:rsidR="006A0175" w:rsidRPr="006A0175" w:rsidRDefault="006A0175" w:rsidP="006A0175">
      <w:pPr>
        <w:rPr>
          <w:rFonts w:eastAsia="Times New Roman" w:cstheme="minorHAnsi"/>
          <w:color w:val="3A3A3A"/>
          <w:sz w:val="22"/>
          <w:szCs w:val="22"/>
          <w:shd w:val="clear" w:color="auto" w:fill="FFFFFF"/>
          <w:lang w:eastAsia="en-GB"/>
        </w:rPr>
      </w:pPr>
    </w:p>
    <w:p w14:paraId="0380EFEB" w14:textId="6A292B4A" w:rsidR="006A0175" w:rsidRPr="006A0175" w:rsidRDefault="006A0175" w:rsidP="006A0175">
      <w:pPr>
        <w:rPr>
          <w:rFonts w:eastAsia="Times New Roman" w:cstheme="minorHAnsi"/>
          <w:sz w:val="22"/>
          <w:szCs w:val="22"/>
          <w:lang w:eastAsia="en-GB"/>
        </w:rPr>
      </w:pPr>
      <w:r w:rsidRPr="006A0175">
        <w:rPr>
          <w:rFonts w:eastAsia="Times New Roman" w:cstheme="minorHAnsi"/>
          <w:color w:val="000000"/>
          <w:sz w:val="22"/>
          <w:szCs w:val="22"/>
          <w:shd w:val="clear" w:color="auto" w:fill="FFFFFF"/>
          <w:lang w:eastAsia="en-GB"/>
        </w:rPr>
        <w:lastRenderedPageBreak/>
        <w:t>Hastings School. (2024). </w:t>
      </w:r>
      <w:r w:rsidRPr="006A0175">
        <w:rPr>
          <w:rFonts w:eastAsia="Times New Roman" w:cstheme="minorHAnsi"/>
          <w:i/>
          <w:iCs/>
          <w:color w:val="000000"/>
          <w:sz w:val="22"/>
          <w:szCs w:val="22"/>
          <w:lang w:eastAsia="en-GB"/>
        </w:rPr>
        <w:t>The importance of bilingual education</w:t>
      </w:r>
      <w:r w:rsidRPr="006A0175">
        <w:rPr>
          <w:rFonts w:eastAsia="Times New Roman" w:cstheme="minorHAnsi"/>
          <w:color w:val="000000"/>
          <w:sz w:val="22"/>
          <w:szCs w:val="22"/>
          <w:shd w:val="clear" w:color="auto" w:fill="FFFFFF"/>
          <w:lang w:eastAsia="en-GB"/>
        </w:rPr>
        <w:t>. [Online]. Hastings School. Last Updated: 25th June. Available at: https://www.hastingsschool.com/blog/bilingual-education/ [Accessed 3 April 2026].</w:t>
      </w:r>
    </w:p>
    <w:p w14:paraId="486EA0F5" w14:textId="5721A022" w:rsidR="006A0175" w:rsidRPr="006A0175" w:rsidRDefault="006A0175" w:rsidP="006A0175">
      <w:pPr>
        <w:rPr>
          <w:rFonts w:eastAsia="Times New Roman" w:cstheme="minorHAnsi"/>
          <w:sz w:val="22"/>
          <w:szCs w:val="22"/>
          <w:lang w:eastAsia="en-GB"/>
        </w:rPr>
      </w:pPr>
    </w:p>
    <w:p w14:paraId="069EB547" w14:textId="5BB7D241" w:rsidR="006A0175" w:rsidRPr="006A0175" w:rsidRDefault="006A0175" w:rsidP="006A0175">
      <w:pPr>
        <w:rPr>
          <w:rFonts w:eastAsia="Times New Roman" w:cstheme="minorHAnsi"/>
          <w:color w:val="000000"/>
          <w:sz w:val="22"/>
          <w:szCs w:val="22"/>
          <w:shd w:val="clear" w:color="auto" w:fill="FFFFFF"/>
          <w:lang w:eastAsia="en-GB"/>
        </w:rPr>
      </w:pPr>
      <w:proofErr w:type="spellStart"/>
      <w:r w:rsidRPr="006A0175">
        <w:rPr>
          <w:rFonts w:eastAsia="Times New Roman" w:cstheme="minorHAnsi"/>
          <w:color w:val="000000"/>
          <w:sz w:val="22"/>
          <w:szCs w:val="22"/>
          <w:shd w:val="clear" w:color="auto" w:fill="FFFFFF"/>
          <w:lang w:eastAsia="en-GB"/>
        </w:rPr>
        <w:t>Denbighhire</w:t>
      </w:r>
      <w:proofErr w:type="spellEnd"/>
      <w:r w:rsidRPr="006A0175">
        <w:rPr>
          <w:rFonts w:eastAsia="Times New Roman" w:cstheme="minorHAnsi"/>
          <w:color w:val="000000"/>
          <w:sz w:val="22"/>
          <w:szCs w:val="22"/>
          <w:shd w:val="clear" w:color="auto" w:fill="FFFFFF"/>
          <w:lang w:eastAsia="en-GB"/>
        </w:rPr>
        <w:t xml:space="preserve"> County Council. (2025). </w:t>
      </w:r>
      <w:r w:rsidRPr="006A0175">
        <w:rPr>
          <w:rFonts w:eastAsia="Times New Roman" w:cstheme="minorHAnsi"/>
          <w:i/>
          <w:iCs/>
          <w:color w:val="000000"/>
          <w:sz w:val="22"/>
          <w:szCs w:val="22"/>
          <w:lang w:eastAsia="en-GB"/>
        </w:rPr>
        <w:t>Advantages of Welsh medium education</w:t>
      </w:r>
      <w:r w:rsidRPr="006A0175">
        <w:rPr>
          <w:rFonts w:eastAsia="Times New Roman" w:cstheme="minorHAnsi"/>
          <w:color w:val="000000"/>
          <w:sz w:val="22"/>
          <w:szCs w:val="22"/>
          <w:shd w:val="clear" w:color="auto" w:fill="FFFFFF"/>
          <w:lang w:eastAsia="en-GB"/>
        </w:rPr>
        <w:t xml:space="preserve">. [Online]. </w:t>
      </w:r>
      <w:proofErr w:type="spellStart"/>
      <w:r w:rsidRPr="006A0175">
        <w:rPr>
          <w:rFonts w:eastAsia="Times New Roman" w:cstheme="minorHAnsi"/>
          <w:color w:val="000000"/>
          <w:sz w:val="22"/>
          <w:szCs w:val="22"/>
          <w:shd w:val="clear" w:color="auto" w:fill="FFFFFF"/>
          <w:lang w:eastAsia="en-GB"/>
        </w:rPr>
        <w:t>Denbighhire</w:t>
      </w:r>
      <w:proofErr w:type="spellEnd"/>
      <w:r w:rsidRPr="006A0175">
        <w:rPr>
          <w:rFonts w:eastAsia="Times New Roman" w:cstheme="minorHAnsi"/>
          <w:color w:val="000000"/>
          <w:sz w:val="22"/>
          <w:szCs w:val="22"/>
          <w:shd w:val="clear" w:color="auto" w:fill="FFFFFF"/>
          <w:lang w:eastAsia="en-GB"/>
        </w:rPr>
        <w:t xml:space="preserve"> County Council. Available at: https://www.denbighshire.gov.uk/en/education-and-schools/welsh-medium-education/advantages.aspx [Accessed 3 April 2026].</w:t>
      </w:r>
    </w:p>
    <w:p w14:paraId="3609E2A7" w14:textId="3448EEBF" w:rsidR="006A0175" w:rsidRPr="006A0175" w:rsidRDefault="006A0175" w:rsidP="006A0175">
      <w:pPr>
        <w:rPr>
          <w:rFonts w:eastAsia="Times New Roman" w:cstheme="minorHAnsi"/>
          <w:color w:val="000000"/>
          <w:sz w:val="22"/>
          <w:szCs w:val="22"/>
          <w:shd w:val="clear" w:color="auto" w:fill="FFFFFF"/>
          <w:lang w:eastAsia="en-GB"/>
        </w:rPr>
      </w:pPr>
    </w:p>
    <w:p w14:paraId="339DCB25" w14:textId="2CEDB248" w:rsidR="006A0175" w:rsidRPr="006A0175" w:rsidRDefault="006A0175" w:rsidP="006A0175">
      <w:pPr>
        <w:rPr>
          <w:rFonts w:eastAsia="Times New Roman" w:cstheme="minorHAnsi"/>
          <w:color w:val="3A3A3A"/>
          <w:sz w:val="22"/>
          <w:szCs w:val="22"/>
          <w:shd w:val="clear" w:color="auto" w:fill="FFFFFF"/>
          <w:lang w:eastAsia="en-GB"/>
        </w:rPr>
      </w:pPr>
      <w:r w:rsidRPr="006A0175">
        <w:rPr>
          <w:rFonts w:eastAsia="Times New Roman" w:cstheme="minorHAnsi"/>
          <w:color w:val="3A3A3A"/>
          <w:sz w:val="22"/>
          <w:szCs w:val="22"/>
          <w:shd w:val="clear" w:color="auto" w:fill="FFFFFF"/>
          <w:lang w:eastAsia="en-GB"/>
        </w:rPr>
        <w:t>Williams, R. (2021) </w:t>
      </w:r>
      <w:r w:rsidRPr="006A0175">
        <w:rPr>
          <w:rFonts w:eastAsia="Times New Roman" w:cstheme="minorHAnsi"/>
          <w:i/>
          <w:iCs/>
          <w:color w:val="3A3A3A"/>
          <w:sz w:val="22"/>
          <w:szCs w:val="22"/>
          <w:shd w:val="clear" w:color="auto" w:fill="FFFFFF"/>
          <w:lang w:eastAsia="en-GB"/>
        </w:rPr>
        <w:t>Who speaks for Wales</w:t>
      </w:r>
      <w:proofErr w:type="gramStart"/>
      <w:r w:rsidRPr="006A0175">
        <w:rPr>
          <w:rFonts w:eastAsia="Times New Roman" w:cstheme="minorHAnsi"/>
          <w:i/>
          <w:iCs/>
          <w:color w:val="3A3A3A"/>
          <w:sz w:val="22"/>
          <w:szCs w:val="22"/>
          <w:shd w:val="clear" w:color="auto" w:fill="FFFFFF"/>
          <w:lang w:eastAsia="en-GB"/>
        </w:rPr>
        <w:t>? :</w:t>
      </w:r>
      <w:proofErr w:type="gramEnd"/>
      <w:r w:rsidRPr="006A0175">
        <w:rPr>
          <w:rFonts w:eastAsia="Times New Roman" w:cstheme="minorHAnsi"/>
          <w:i/>
          <w:iCs/>
          <w:color w:val="3A3A3A"/>
          <w:sz w:val="22"/>
          <w:szCs w:val="22"/>
          <w:shd w:val="clear" w:color="auto" w:fill="FFFFFF"/>
          <w:lang w:eastAsia="en-GB"/>
        </w:rPr>
        <w:t xml:space="preserve"> nation, culture, identity</w:t>
      </w:r>
      <w:r w:rsidRPr="006A0175">
        <w:rPr>
          <w:rFonts w:eastAsia="Times New Roman" w:cstheme="minorHAnsi"/>
          <w:color w:val="3A3A3A"/>
          <w:sz w:val="22"/>
          <w:szCs w:val="22"/>
          <w:shd w:val="clear" w:color="auto" w:fill="FFFFFF"/>
          <w:lang w:eastAsia="en-GB"/>
        </w:rPr>
        <w:t>. Third edition. Edited by D.G. Williams. Cardiff: University of Wales Press.</w:t>
      </w:r>
    </w:p>
    <w:p w14:paraId="35DD2C6E" w14:textId="00FE3B40" w:rsidR="006A0175" w:rsidRPr="006A0175" w:rsidRDefault="006A0175" w:rsidP="006A0175">
      <w:pPr>
        <w:rPr>
          <w:rFonts w:eastAsia="Times New Roman" w:cstheme="minorHAnsi"/>
          <w:color w:val="3A3A3A"/>
          <w:sz w:val="22"/>
          <w:szCs w:val="22"/>
          <w:shd w:val="clear" w:color="auto" w:fill="FFFFFF"/>
          <w:lang w:eastAsia="en-GB"/>
        </w:rPr>
      </w:pPr>
    </w:p>
    <w:p w14:paraId="1F341F9D" w14:textId="77777777" w:rsidR="006A0175" w:rsidRPr="006A0175" w:rsidRDefault="006A0175" w:rsidP="006A0175">
      <w:pPr>
        <w:rPr>
          <w:rFonts w:eastAsia="Times New Roman" w:cstheme="minorHAnsi"/>
          <w:sz w:val="22"/>
          <w:szCs w:val="22"/>
          <w:lang w:eastAsia="en-GB"/>
        </w:rPr>
      </w:pPr>
      <w:r w:rsidRPr="006A0175">
        <w:rPr>
          <w:rFonts w:eastAsia="Times New Roman" w:cstheme="minorHAnsi"/>
          <w:color w:val="000000"/>
          <w:sz w:val="22"/>
          <w:szCs w:val="22"/>
          <w:shd w:val="clear" w:color="auto" w:fill="FFFFFF"/>
          <w:lang w:eastAsia="en-GB"/>
        </w:rPr>
        <w:t>O.P Jindal Global University. (2024). </w:t>
      </w:r>
      <w:r w:rsidRPr="006A0175">
        <w:rPr>
          <w:rFonts w:eastAsia="Times New Roman" w:cstheme="minorHAnsi"/>
          <w:i/>
          <w:iCs/>
          <w:color w:val="000000"/>
          <w:sz w:val="22"/>
          <w:szCs w:val="22"/>
          <w:lang w:eastAsia="en-GB"/>
        </w:rPr>
        <w:t>Importance of Studying the English Language</w:t>
      </w:r>
      <w:r w:rsidRPr="006A0175">
        <w:rPr>
          <w:rFonts w:eastAsia="Times New Roman" w:cstheme="minorHAnsi"/>
          <w:color w:val="000000"/>
          <w:sz w:val="22"/>
          <w:szCs w:val="22"/>
          <w:shd w:val="clear" w:color="auto" w:fill="FFFFFF"/>
          <w:lang w:eastAsia="en-GB"/>
        </w:rPr>
        <w:t>. [Online]. O.P Jindal Global University. Last Updated: 15th January. Available at: https://jgu.edu.in/blog/2024/01/15/importance-of-studying-the-english-language/ [Accessed 3 April 2026].</w:t>
      </w:r>
    </w:p>
    <w:p w14:paraId="3433BE13" w14:textId="57B4AFD8" w:rsidR="006A0175" w:rsidRDefault="006A0175" w:rsidP="006A0175">
      <w:pPr>
        <w:rPr>
          <w:rFonts w:ascii="Times New Roman" w:eastAsia="Times New Roman" w:hAnsi="Times New Roman" w:cs="Times New Roman"/>
          <w:lang w:eastAsia="en-GB"/>
        </w:rPr>
      </w:pPr>
    </w:p>
    <w:p w14:paraId="7B6B0D30" w14:textId="3828AFE7" w:rsidR="006A0175" w:rsidRDefault="006A0175" w:rsidP="006A0175">
      <w:pPr>
        <w:rPr>
          <w:rFonts w:ascii="Source Sans Pro" w:eastAsia="Times New Roman" w:hAnsi="Source Sans Pro" w:cs="Times New Roman"/>
          <w:color w:val="3A3A3A"/>
          <w:sz w:val="23"/>
          <w:szCs w:val="23"/>
          <w:shd w:val="clear" w:color="auto" w:fill="FFFFFF"/>
          <w:lang w:eastAsia="en-GB"/>
        </w:rPr>
      </w:pPr>
      <w:r w:rsidRPr="006A0175">
        <w:rPr>
          <w:rFonts w:ascii="Source Sans Pro" w:eastAsia="Times New Roman" w:hAnsi="Source Sans Pro" w:cs="Times New Roman"/>
          <w:color w:val="3A3A3A"/>
          <w:sz w:val="23"/>
          <w:szCs w:val="23"/>
          <w:shd w:val="clear" w:color="auto" w:fill="FFFFFF"/>
          <w:lang w:eastAsia="en-GB"/>
        </w:rPr>
        <w:t xml:space="preserve">Rees, </w:t>
      </w:r>
      <w:proofErr w:type="gramStart"/>
      <w:r w:rsidRPr="006A0175">
        <w:rPr>
          <w:rFonts w:ascii="Source Sans Pro" w:eastAsia="Times New Roman" w:hAnsi="Source Sans Pro" w:cs="Times New Roman"/>
          <w:color w:val="3A3A3A"/>
          <w:sz w:val="23"/>
          <w:szCs w:val="23"/>
          <w:shd w:val="clear" w:color="auto" w:fill="FFFFFF"/>
          <w:lang w:eastAsia="en-GB"/>
        </w:rPr>
        <w:t>A.</w:t>
      </w:r>
      <w:proofErr w:type="gramEnd"/>
      <w:r w:rsidRPr="006A0175">
        <w:rPr>
          <w:rFonts w:ascii="Source Sans Pro" w:eastAsia="Times New Roman" w:hAnsi="Source Sans Pro" w:cs="Times New Roman"/>
          <w:color w:val="3A3A3A"/>
          <w:sz w:val="23"/>
          <w:szCs w:val="23"/>
          <w:shd w:val="clear" w:color="auto" w:fill="FFFFFF"/>
          <w:lang w:eastAsia="en-GB"/>
        </w:rPr>
        <w:t xml:space="preserve"> and Palmer, A.R. (eds.) (2010) </w:t>
      </w:r>
      <w:r w:rsidRPr="006A0175">
        <w:rPr>
          <w:rFonts w:ascii="Source Sans Pro" w:eastAsia="Times New Roman" w:hAnsi="Source Sans Pro" w:cs="Times New Roman"/>
          <w:i/>
          <w:iCs/>
          <w:color w:val="3A3A3A"/>
          <w:sz w:val="23"/>
          <w:szCs w:val="23"/>
          <w:shd w:val="clear" w:color="auto" w:fill="FFFFFF"/>
          <w:lang w:eastAsia="en-GB"/>
        </w:rPr>
        <w:t>The Oxford handbook of auditory science. Vol. 2, The auditory brain</w:t>
      </w:r>
      <w:r w:rsidRPr="006A0175">
        <w:rPr>
          <w:rFonts w:ascii="Source Sans Pro" w:eastAsia="Times New Roman" w:hAnsi="Source Sans Pro" w:cs="Times New Roman"/>
          <w:color w:val="3A3A3A"/>
          <w:sz w:val="23"/>
          <w:szCs w:val="23"/>
          <w:shd w:val="clear" w:color="auto" w:fill="FFFFFF"/>
          <w:lang w:eastAsia="en-GB"/>
        </w:rPr>
        <w:t>. Oxford: Oxford University Press.</w:t>
      </w:r>
    </w:p>
    <w:p w14:paraId="0BF1121A" w14:textId="3A50397A" w:rsidR="006A0175" w:rsidRDefault="006A0175" w:rsidP="006A0175">
      <w:pPr>
        <w:rPr>
          <w:rFonts w:ascii="Source Sans Pro" w:eastAsia="Times New Roman" w:hAnsi="Source Sans Pro" w:cs="Times New Roman"/>
          <w:color w:val="3A3A3A"/>
          <w:sz w:val="23"/>
          <w:szCs w:val="23"/>
          <w:shd w:val="clear" w:color="auto" w:fill="FFFFFF"/>
          <w:lang w:eastAsia="en-GB"/>
        </w:rPr>
      </w:pPr>
    </w:p>
    <w:p w14:paraId="0FC08A06" w14:textId="77777777" w:rsidR="006A0175" w:rsidRPr="006A0175" w:rsidRDefault="006A0175" w:rsidP="006A0175">
      <w:pPr>
        <w:rPr>
          <w:rFonts w:ascii="Times New Roman" w:eastAsia="Times New Roman" w:hAnsi="Times New Roman" w:cs="Times New Roman"/>
          <w:lang w:eastAsia="en-GB"/>
        </w:rPr>
      </w:pPr>
      <w:r w:rsidRPr="006A0175">
        <w:rPr>
          <w:rFonts w:ascii="Source Sans Pro" w:eastAsia="Times New Roman" w:hAnsi="Source Sans Pro" w:cs="Times New Roman"/>
          <w:color w:val="3A3A3A"/>
          <w:sz w:val="23"/>
          <w:szCs w:val="23"/>
          <w:shd w:val="clear" w:color="auto" w:fill="FFFFFF"/>
          <w:lang w:eastAsia="en-GB"/>
        </w:rPr>
        <w:t>Binder, J.R. (2017) “Current Controversies on Wernicke’s Area and its Role in Language,” </w:t>
      </w:r>
      <w:r w:rsidRPr="006A0175">
        <w:rPr>
          <w:rFonts w:ascii="Source Sans Pro" w:eastAsia="Times New Roman" w:hAnsi="Source Sans Pro" w:cs="Times New Roman"/>
          <w:i/>
          <w:iCs/>
          <w:color w:val="3A3A3A"/>
          <w:sz w:val="23"/>
          <w:szCs w:val="23"/>
          <w:shd w:val="clear" w:color="auto" w:fill="FFFFFF"/>
          <w:lang w:eastAsia="en-GB"/>
        </w:rPr>
        <w:t>Current neurology and neuroscience reports</w:t>
      </w:r>
      <w:r w:rsidRPr="006A0175">
        <w:rPr>
          <w:rFonts w:ascii="Source Sans Pro" w:eastAsia="Times New Roman" w:hAnsi="Source Sans Pro" w:cs="Times New Roman"/>
          <w:color w:val="3A3A3A"/>
          <w:sz w:val="23"/>
          <w:szCs w:val="23"/>
          <w:shd w:val="clear" w:color="auto" w:fill="FFFFFF"/>
          <w:lang w:eastAsia="en-GB"/>
        </w:rPr>
        <w:t>, 17(8). Available at: https://doi.org/10.1007/s11910-017-0764-8.</w:t>
      </w:r>
    </w:p>
    <w:p w14:paraId="32B9C27B" w14:textId="747A1042" w:rsidR="006A0175" w:rsidRDefault="006A0175" w:rsidP="006A0175">
      <w:pPr>
        <w:rPr>
          <w:rFonts w:ascii="Times New Roman" w:eastAsia="Times New Roman" w:hAnsi="Times New Roman" w:cs="Times New Roman"/>
          <w:lang w:eastAsia="en-GB"/>
        </w:rPr>
      </w:pPr>
    </w:p>
    <w:p w14:paraId="78728F8A" w14:textId="77777777" w:rsidR="006A0175" w:rsidRPr="006A0175" w:rsidRDefault="006A0175" w:rsidP="006A0175">
      <w:pPr>
        <w:rPr>
          <w:rFonts w:ascii="Times New Roman" w:eastAsia="Times New Roman" w:hAnsi="Times New Roman" w:cs="Times New Roman"/>
          <w:lang w:eastAsia="en-GB"/>
        </w:rPr>
      </w:pPr>
      <w:proofErr w:type="spellStart"/>
      <w:r w:rsidRPr="006A0175">
        <w:rPr>
          <w:rFonts w:ascii="Source Sans Pro" w:eastAsia="Times New Roman" w:hAnsi="Source Sans Pro" w:cs="Times New Roman"/>
          <w:color w:val="3A3A3A"/>
          <w:sz w:val="23"/>
          <w:szCs w:val="23"/>
          <w:shd w:val="clear" w:color="auto" w:fill="FFFFFF"/>
          <w:lang w:eastAsia="en-GB"/>
        </w:rPr>
        <w:t>Fedorenko</w:t>
      </w:r>
      <w:proofErr w:type="spellEnd"/>
      <w:r w:rsidRPr="006A0175">
        <w:rPr>
          <w:rFonts w:ascii="Source Sans Pro" w:eastAsia="Times New Roman" w:hAnsi="Source Sans Pro" w:cs="Times New Roman"/>
          <w:color w:val="3A3A3A"/>
          <w:sz w:val="23"/>
          <w:szCs w:val="23"/>
          <w:shd w:val="clear" w:color="auto" w:fill="FFFFFF"/>
          <w:lang w:eastAsia="en-GB"/>
        </w:rPr>
        <w:t>, E., Duncan, J. and Kanwisher, N. (2012) “Language-Selective and Domain-General Regions Lie Side by Side within Broca’s Area,” </w:t>
      </w:r>
      <w:r w:rsidRPr="006A0175">
        <w:rPr>
          <w:rFonts w:ascii="Source Sans Pro" w:eastAsia="Times New Roman" w:hAnsi="Source Sans Pro" w:cs="Times New Roman"/>
          <w:i/>
          <w:iCs/>
          <w:color w:val="3A3A3A"/>
          <w:sz w:val="23"/>
          <w:szCs w:val="23"/>
          <w:shd w:val="clear" w:color="auto" w:fill="FFFFFF"/>
          <w:lang w:eastAsia="en-GB"/>
        </w:rPr>
        <w:t>Current biology</w:t>
      </w:r>
      <w:r w:rsidRPr="006A0175">
        <w:rPr>
          <w:rFonts w:ascii="Source Sans Pro" w:eastAsia="Times New Roman" w:hAnsi="Source Sans Pro" w:cs="Times New Roman"/>
          <w:color w:val="3A3A3A"/>
          <w:sz w:val="23"/>
          <w:szCs w:val="23"/>
          <w:shd w:val="clear" w:color="auto" w:fill="FFFFFF"/>
          <w:lang w:eastAsia="en-GB"/>
        </w:rPr>
        <w:t>, 22(21), pp. 2059–2062. Available at: https://doi.org/10.1016/j.cub.2012.09.011.</w:t>
      </w:r>
    </w:p>
    <w:p w14:paraId="09CE9C48" w14:textId="77777777" w:rsidR="006A0175" w:rsidRPr="006A0175" w:rsidRDefault="006A0175" w:rsidP="006A0175">
      <w:pPr>
        <w:rPr>
          <w:rFonts w:ascii="Times New Roman" w:eastAsia="Times New Roman" w:hAnsi="Times New Roman" w:cs="Times New Roman"/>
          <w:lang w:eastAsia="en-GB"/>
        </w:rPr>
      </w:pPr>
    </w:p>
    <w:p w14:paraId="49CAE78E" w14:textId="77777777" w:rsidR="006A0175" w:rsidRPr="006A0175" w:rsidRDefault="006A0175" w:rsidP="006A0175">
      <w:pPr>
        <w:rPr>
          <w:rFonts w:ascii="Times New Roman" w:eastAsia="Times New Roman" w:hAnsi="Times New Roman" w:cs="Times New Roman"/>
          <w:lang w:eastAsia="en-GB"/>
        </w:rPr>
      </w:pPr>
    </w:p>
    <w:p w14:paraId="6CFBD333" w14:textId="77777777" w:rsidR="006A0175" w:rsidRPr="006A0175" w:rsidRDefault="006A0175" w:rsidP="006A0175">
      <w:pPr>
        <w:rPr>
          <w:rFonts w:ascii="Times New Roman" w:eastAsia="Times New Roman" w:hAnsi="Times New Roman" w:cs="Times New Roman"/>
          <w:lang w:eastAsia="en-GB"/>
        </w:rPr>
      </w:pPr>
    </w:p>
    <w:p w14:paraId="40091CFB" w14:textId="77777777" w:rsidR="006A0175" w:rsidRPr="006A0175" w:rsidRDefault="006A0175" w:rsidP="006A0175">
      <w:pPr>
        <w:rPr>
          <w:rFonts w:ascii="Times New Roman" w:eastAsia="Times New Roman" w:hAnsi="Times New Roman" w:cs="Times New Roman"/>
          <w:lang w:eastAsia="en-GB"/>
        </w:rPr>
      </w:pPr>
    </w:p>
    <w:p w14:paraId="2DC84960" w14:textId="131CBF29" w:rsidR="006A0175" w:rsidRDefault="006A0175" w:rsidP="006A0175">
      <w:pPr>
        <w:rPr>
          <w:rFonts w:ascii="Noto Sans" w:eastAsia="Times New Roman" w:hAnsi="Noto Sans" w:cs="Noto Sans"/>
          <w:color w:val="000000"/>
          <w:sz w:val="30"/>
          <w:szCs w:val="30"/>
          <w:shd w:val="clear" w:color="auto" w:fill="FFFFFF"/>
          <w:lang w:eastAsia="en-GB"/>
        </w:rPr>
      </w:pPr>
    </w:p>
    <w:p w14:paraId="50DE47F5" w14:textId="77777777" w:rsidR="006A0175" w:rsidRDefault="006A0175" w:rsidP="006A0175">
      <w:pPr>
        <w:rPr>
          <w:rFonts w:ascii="Noto Sans" w:eastAsia="Times New Roman" w:hAnsi="Noto Sans" w:cs="Noto Sans"/>
          <w:color w:val="000000"/>
          <w:sz w:val="30"/>
          <w:szCs w:val="30"/>
          <w:shd w:val="clear" w:color="auto" w:fill="FFFFFF"/>
          <w:lang w:eastAsia="en-GB"/>
        </w:rPr>
      </w:pPr>
    </w:p>
    <w:p w14:paraId="622D9128" w14:textId="0926A897" w:rsidR="006A0175" w:rsidRDefault="006A0175" w:rsidP="006A0175">
      <w:pPr>
        <w:rPr>
          <w:rFonts w:ascii="Noto Sans" w:eastAsia="Times New Roman" w:hAnsi="Noto Sans" w:cs="Noto Sans"/>
          <w:color w:val="000000"/>
          <w:sz w:val="30"/>
          <w:szCs w:val="30"/>
          <w:shd w:val="clear" w:color="auto" w:fill="FFFFFF"/>
          <w:lang w:eastAsia="en-GB"/>
        </w:rPr>
      </w:pPr>
    </w:p>
    <w:p w14:paraId="2B1E6267" w14:textId="77777777" w:rsidR="006A0175" w:rsidRPr="006A0175" w:rsidRDefault="006A0175" w:rsidP="006A0175">
      <w:pPr>
        <w:rPr>
          <w:rFonts w:ascii="Times New Roman" w:eastAsia="Times New Roman" w:hAnsi="Times New Roman" w:cs="Times New Roman"/>
          <w:lang w:eastAsia="en-GB"/>
        </w:rPr>
      </w:pPr>
    </w:p>
    <w:p w14:paraId="1141B11D" w14:textId="44E552BC" w:rsidR="0074525E" w:rsidRDefault="0074525E" w:rsidP="0074525E">
      <w:pPr>
        <w:rPr>
          <w:rFonts w:ascii="Times New Roman" w:eastAsia="Times New Roman" w:hAnsi="Times New Roman" w:cs="Times New Roman"/>
          <w:lang w:eastAsia="en-GB"/>
        </w:rPr>
      </w:pPr>
    </w:p>
    <w:p w14:paraId="2CA3BE9B" w14:textId="77777777" w:rsidR="0074525E" w:rsidRPr="0074525E" w:rsidRDefault="0074525E" w:rsidP="0074525E">
      <w:pPr>
        <w:rPr>
          <w:rFonts w:ascii="Times New Roman" w:eastAsia="Times New Roman" w:hAnsi="Times New Roman" w:cs="Times New Roman"/>
          <w:lang w:eastAsia="en-GB"/>
        </w:rPr>
      </w:pPr>
    </w:p>
    <w:p w14:paraId="4EF0BEC4" w14:textId="77777777" w:rsidR="0074525E" w:rsidRDefault="0074525E" w:rsidP="006A382E">
      <w:pPr>
        <w:spacing w:line="360" w:lineRule="auto"/>
      </w:pPr>
    </w:p>
    <w:sectPr w:rsidR="007452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D2F"/>
    <w:rsid w:val="003F168A"/>
    <w:rsid w:val="004B5BF4"/>
    <w:rsid w:val="004B6CD3"/>
    <w:rsid w:val="00581A30"/>
    <w:rsid w:val="00617D2F"/>
    <w:rsid w:val="006A0175"/>
    <w:rsid w:val="006A382E"/>
    <w:rsid w:val="007264A3"/>
    <w:rsid w:val="0074525E"/>
    <w:rsid w:val="0092669F"/>
    <w:rsid w:val="00D44CF3"/>
    <w:rsid w:val="00E41748"/>
    <w:rsid w:val="00E54EAB"/>
    <w:rsid w:val="00EB73EE"/>
    <w:rsid w:val="00F062F1"/>
    <w:rsid w:val="00F90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ED15EB"/>
  <w15:chartTrackingRefBased/>
  <w15:docId w15:val="{0FB33E96-E366-0543-9B65-6069B4E2E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525E"/>
    <w:rPr>
      <w:color w:val="0563C1" w:themeColor="hyperlink"/>
      <w:u w:val="single"/>
    </w:rPr>
  </w:style>
  <w:style w:type="character" w:styleId="UnresolvedMention">
    <w:name w:val="Unresolved Mention"/>
    <w:basedOn w:val="DefaultParagraphFont"/>
    <w:uiPriority w:val="99"/>
    <w:semiHidden/>
    <w:unhideWhenUsed/>
    <w:rsid w:val="0074525E"/>
    <w:rPr>
      <w:color w:val="605E5C"/>
      <w:shd w:val="clear" w:color="auto" w:fill="E1DFDD"/>
    </w:rPr>
  </w:style>
  <w:style w:type="character" w:styleId="FollowedHyperlink">
    <w:name w:val="FollowedHyperlink"/>
    <w:basedOn w:val="DefaultParagraphFont"/>
    <w:uiPriority w:val="99"/>
    <w:semiHidden/>
    <w:unhideWhenUsed/>
    <w:rsid w:val="006A01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612455">
      <w:bodyDiv w:val="1"/>
      <w:marLeft w:val="0"/>
      <w:marRight w:val="0"/>
      <w:marTop w:val="0"/>
      <w:marBottom w:val="0"/>
      <w:divBdr>
        <w:top w:val="none" w:sz="0" w:space="0" w:color="auto"/>
        <w:left w:val="none" w:sz="0" w:space="0" w:color="auto"/>
        <w:bottom w:val="none" w:sz="0" w:space="0" w:color="auto"/>
        <w:right w:val="none" w:sz="0" w:space="0" w:color="auto"/>
      </w:divBdr>
    </w:div>
    <w:div w:id="355696411">
      <w:bodyDiv w:val="1"/>
      <w:marLeft w:val="0"/>
      <w:marRight w:val="0"/>
      <w:marTop w:val="0"/>
      <w:marBottom w:val="0"/>
      <w:divBdr>
        <w:top w:val="none" w:sz="0" w:space="0" w:color="auto"/>
        <w:left w:val="none" w:sz="0" w:space="0" w:color="auto"/>
        <w:bottom w:val="none" w:sz="0" w:space="0" w:color="auto"/>
        <w:right w:val="none" w:sz="0" w:space="0" w:color="auto"/>
      </w:divBdr>
    </w:div>
    <w:div w:id="774834882">
      <w:bodyDiv w:val="1"/>
      <w:marLeft w:val="0"/>
      <w:marRight w:val="0"/>
      <w:marTop w:val="0"/>
      <w:marBottom w:val="0"/>
      <w:divBdr>
        <w:top w:val="none" w:sz="0" w:space="0" w:color="auto"/>
        <w:left w:val="none" w:sz="0" w:space="0" w:color="auto"/>
        <w:bottom w:val="none" w:sz="0" w:space="0" w:color="auto"/>
        <w:right w:val="none" w:sz="0" w:space="0" w:color="auto"/>
      </w:divBdr>
    </w:div>
    <w:div w:id="1063334344">
      <w:bodyDiv w:val="1"/>
      <w:marLeft w:val="0"/>
      <w:marRight w:val="0"/>
      <w:marTop w:val="0"/>
      <w:marBottom w:val="0"/>
      <w:divBdr>
        <w:top w:val="none" w:sz="0" w:space="0" w:color="auto"/>
        <w:left w:val="none" w:sz="0" w:space="0" w:color="auto"/>
        <w:bottom w:val="none" w:sz="0" w:space="0" w:color="auto"/>
        <w:right w:val="none" w:sz="0" w:space="0" w:color="auto"/>
      </w:divBdr>
    </w:div>
    <w:div w:id="1199782585">
      <w:bodyDiv w:val="1"/>
      <w:marLeft w:val="0"/>
      <w:marRight w:val="0"/>
      <w:marTop w:val="0"/>
      <w:marBottom w:val="0"/>
      <w:divBdr>
        <w:top w:val="none" w:sz="0" w:space="0" w:color="auto"/>
        <w:left w:val="none" w:sz="0" w:space="0" w:color="auto"/>
        <w:bottom w:val="none" w:sz="0" w:space="0" w:color="auto"/>
        <w:right w:val="none" w:sz="0" w:space="0" w:color="auto"/>
      </w:divBdr>
    </w:div>
    <w:div w:id="1313371376">
      <w:bodyDiv w:val="1"/>
      <w:marLeft w:val="0"/>
      <w:marRight w:val="0"/>
      <w:marTop w:val="0"/>
      <w:marBottom w:val="0"/>
      <w:divBdr>
        <w:top w:val="none" w:sz="0" w:space="0" w:color="auto"/>
        <w:left w:val="none" w:sz="0" w:space="0" w:color="auto"/>
        <w:bottom w:val="none" w:sz="0" w:space="0" w:color="auto"/>
        <w:right w:val="none" w:sz="0" w:space="0" w:color="auto"/>
      </w:divBdr>
    </w:div>
    <w:div w:id="1368994356">
      <w:bodyDiv w:val="1"/>
      <w:marLeft w:val="0"/>
      <w:marRight w:val="0"/>
      <w:marTop w:val="0"/>
      <w:marBottom w:val="0"/>
      <w:divBdr>
        <w:top w:val="none" w:sz="0" w:space="0" w:color="auto"/>
        <w:left w:val="none" w:sz="0" w:space="0" w:color="auto"/>
        <w:bottom w:val="none" w:sz="0" w:space="0" w:color="auto"/>
        <w:right w:val="none" w:sz="0" w:space="0" w:color="auto"/>
      </w:divBdr>
    </w:div>
    <w:div w:id="1373650727">
      <w:bodyDiv w:val="1"/>
      <w:marLeft w:val="0"/>
      <w:marRight w:val="0"/>
      <w:marTop w:val="0"/>
      <w:marBottom w:val="0"/>
      <w:divBdr>
        <w:top w:val="none" w:sz="0" w:space="0" w:color="auto"/>
        <w:left w:val="none" w:sz="0" w:space="0" w:color="auto"/>
        <w:bottom w:val="none" w:sz="0" w:space="0" w:color="auto"/>
        <w:right w:val="none" w:sz="0" w:space="0" w:color="auto"/>
      </w:divBdr>
    </w:div>
    <w:div w:id="1467429614">
      <w:bodyDiv w:val="1"/>
      <w:marLeft w:val="0"/>
      <w:marRight w:val="0"/>
      <w:marTop w:val="0"/>
      <w:marBottom w:val="0"/>
      <w:divBdr>
        <w:top w:val="none" w:sz="0" w:space="0" w:color="auto"/>
        <w:left w:val="none" w:sz="0" w:space="0" w:color="auto"/>
        <w:bottom w:val="none" w:sz="0" w:space="0" w:color="auto"/>
        <w:right w:val="none" w:sz="0" w:space="0" w:color="auto"/>
      </w:divBdr>
    </w:div>
    <w:div w:id="1488940064">
      <w:bodyDiv w:val="1"/>
      <w:marLeft w:val="0"/>
      <w:marRight w:val="0"/>
      <w:marTop w:val="0"/>
      <w:marBottom w:val="0"/>
      <w:divBdr>
        <w:top w:val="none" w:sz="0" w:space="0" w:color="auto"/>
        <w:left w:val="none" w:sz="0" w:space="0" w:color="auto"/>
        <w:bottom w:val="none" w:sz="0" w:space="0" w:color="auto"/>
        <w:right w:val="none" w:sz="0" w:space="0" w:color="auto"/>
      </w:divBdr>
    </w:div>
    <w:div w:id="1565408392">
      <w:bodyDiv w:val="1"/>
      <w:marLeft w:val="0"/>
      <w:marRight w:val="0"/>
      <w:marTop w:val="0"/>
      <w:marBottom w:val="0"/>
      <w:divBdr>
        <w:top w:val="none" w:sz="0" w:space="0" w:color="auto"/>
        <w:left w:val="none" w:sz="0" w:space="0" w:color="auto"/>
        <w:bottom w:val="none" w:sz="0" w:space="0" w:color="auto"/>
        <w:right w:val="none" w:sz="0" w:space="0" w:color="auto"/>
      </w:divBdr>
    </w:div>
    <w:div w:id="1604921283">
      <w:bodyDiv w:val="1"/>
      <w:marLeft w:val="0"/>
      <w:marRight w:val="0"/>
      <w:marTop w:val="0"/>
      <w:marBottom w:val="0"/>
      <w:divBdr>
        <w:top w:val="none" w:sz="0" w:space="0" w:color="auto"/>
        <w:left w:val="none" w:sz="0" w:space="0" w:color="auto"/>
        <w:bottom w:val="none" w:sz="0" w:space="0" w:color="auto"/>
        <w:right w:val="none" w:sz="0" w:space="0" w:color="auto"/>
      </w:divBdr>
    </w:div>
    <w:div w:id="1743794827">
      <w:bodyDiv w:val="1"/>
      <w:marLeft w:val="0"/>
      <w:marRight w:val="0"/>
      <w:marTop w:val="0"/>
      <w:marBottom w:val="0"/>
      <w:divBdr>
        <w:top w:val="none" w:sz="0" w:space="0" w:color="auto"/>
        <w:left w:val="none" w:sz="0" w:space="0" w:color="auto"/>
        <w:bottom w:val="none" w:sz="0" w:space="0" w:color="auto"/>
        <w:right w:val="none" w:sz="0" w:space="0" w:color="auto"/>
      </w:divBdr>
    </w:div>
    <w:div w:id="1958561737">
      <w:bodyDiv w:val="1"/>
      <w:marLeft w:val="0"/>
      <w:marRight w:val="0"/>
      <w:marTop w:val="0"/>
      <w:marBottom w:val="0"/>
      <w:divBdr>
        <w:top w:val="none" w:sz="0" w:space="0" w:color="auto"/>
        <w:left w:val="none" w:sz="0" w:space="0" w:color="auto"/>
        <w:bottom w:val="none" w:sz="0" w:space="0" w:color="auto"/>
        <w:right w:val="none" w:sz="0" w:space="0" w:color="auto"/>
      </w:divBdr>
    </w:div>
    <w:div w:id="198535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21832/9781853597138" TargetMode="External"/><Relationship Id="rId4" Type="http://schemas.openxmlformats.org/officeDocument/2006/relationships/hyperlink" Target="https://doi.org/10.1016/j.jecp.2014.06.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5</Pages>
  <Words>1735</Words>
  <Characters>9895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Jones</dc:creator>
  <cp:keywords/>
  <dc:description/>
  <cp:lastModifiedBy>Rhiannon Jones</cp:lastModifiedBy>
  <cp:revision>6</cp:revision>
  <dcterms:created xsi:type="dcterms:W3CDTF">2026-03-22T13:55:00Z</dcterms:created>
  <dcterms:modified xsi:type="dcterms:W3CDTF">2026-04-03T21:02:00Z</dcterms:modified>
</cp:coreProperties>
</file>