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946C7"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8268DF3" wp14:editId="5A209996">
            <wp:extent cx="2033588" cy="7810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33588" cy="781050"/>
                    </a:xfrm>
                    <a:prstGeom prst="rect">
                      <a:avLst/>
                    </a:prstGeom>
                    <a:ln/>
                  </pic:spPr>
                </pic:pic>
              </a:graphicData>
            </a:graphic>
          </wp:inline>
        </w:drawing>
      </w:r>
    </w:p>
    <w:p w14:paraId="4BDD2598" w14:textId="77777777" w:rsidR="00FC04A3" w:rsidRDefault="00FC04A3">
      <w:pPr>
        <w:jc w:val="center"/>
        <w:rPr>
          <w:rFonts w:ascii="Times New Roman" w:eastAsia="Times New Roman" w:hAnsi="Times New Roman" w:cs="Times New Roman"/>
          <w:b/>
          <w:bCs/>
          <w:sz w:val="28"/>
          <w:szCs w:val="28"/>
        </w:rPr>
      </w:pPr>
    </w:p>
    <w:p w14:paraId="7DF8283C" w14:textId="77777777" w:rsidR="00FC04A3" w:rsidRDefault="00FC04A3">
      <w:pPr>
        <w:jc w:val="center"/>
        <w:rPr>
          <w:rFonts w:ascii="Times New Roman" w:eastAsia="Times New Roman" w:hAnsi="Times New Roman" w:cs="Times New Roman"/>
          <w:b/>
          <w:bCs/>
          <w:sz w:val="28"/>
          <w:szCs w:val="28"/>
        </w:rPr>
      </w:pPr>
    </w:p>
    <w:p w14:paraId="342C74D7" w14:textId="77777777" w:rsidR="00FC04A3" w:rsidRDefault="00FC04A3">
      <w:pPr>
        <w:jc w:val="center"/>
        <w:rPr>
          <w:rFonts w:ascii="Times New Roman" w:eastAsia="Times New Roman" w:hAnsi="Times New Roman" w:cs="Times New Roman"/>
          <w:b/>
          <w:bCs/>
          <w:sz w:val="28"/>
          <w:szCs w:val="28"/>
        </w:rPr>
      </w:pPr>
    </w:p>
    <w:p w14:paraId="288B3D70" w14:textId="77777777" w:rsidR="00FC04A3" w:rsidRDefault="00FC04A3">
      <w:pPr>
        <w:jc w:val="center"/>
        <w:rPr>
          <w:rFonts w:ascii="Times New Roman" w:eastAsia="Times New Roman" w:hAnsi="Times New Roman" w:cs="Times New Roman"/>
          <w:b/>
          <w:bCs/>
          <w:sz w:val="28"/>
          <w:szCs w:val="28"/>
        </w:rPr>
      </w:pPr>
    </w:p>
    <w:p w14:paraId="00C0C9A8" w14:textId="7294F1FC" w:rsidR="00FC04A3" w:rsidRDefault="007D0A6E">
      <w:pPr>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 xml:space="preserve">Student name: </w:t>
      </w:r>
      <w:r w:rsidR="00822E71">
        <w:rPr>
          <w:rFonts w:ascii="Times New Roman" w:eastAsia="Times New Roman" w:hAnsi="Times New Roman" w:cs="Times New Roman"/>
          <w:sz w:val="28"/>
          <w:szCs w:val="28"/>
        </w:rPr>
        <w:t>Andreea Florentina Porumbel</w:t>
      </w:r>
    </w:p>
    <w:p w14:paraId="7F04EEF2" w14:textId="1696AC1F" w:rsidR="00FC04A3" w:rsidRPr="00822E71" w:rsidRDefault="00822E71" w:rsidP="00822E71">
      <w:pPr>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 xml:space="preserve">Student ID: </w:t>
      </w:r>
      <w:r>
        <w:rPr>
          <w:rFonts w:ascii="Times New Roman" w:eastAsia="Times New Roman" w:hAnsi="Times New Roman" w:cs="Times New Roman"/>
          <w:sz w:val="28"/>
          <w:szCs w:val="28"/>
        </w:rPr>
        <w:t>2323115</w:t>
      </w:r>
    </w:p>
    <w:p w14:paraId="7B4FAD9A" w14:textId="77777777" w:rsidR="00FC04A3" w:rsidRDefault="009F5CAA">
      <w:pPr>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Programme: </w:t>
      </w:r>
      <w:r w:rsidRPr="00195D8A">
        <w:rPr>
          <w:rFonts w:ascii="Times New Roman" w:eastAsia="Times New Roman" w:hAnsi="Times New Roman" w:cs="Times New Roman"/>
          <w:sz w:val="28"/>
          <w:szCs w:val="28"/>
        </w:rPr>
        <w:t>BA (Hons) Developing Leadership and Management</w:t>
      </w:r>
    </w:p>
    <w:p w14:paraId="3AC3E3B5" w14:textId="77777777" w:rsidR="00FC04A3" w:rsidRDefault="009F5CAA">
      <w:pPr>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Module: </w:t>
      </w:r>
      <w:r w:rsidRPr="00195D8A">
        <w:rPr>
          <w:rFonts w:ascii="Times New Roman" w:eastAsia="Times New Roman" w:hAnsi="Times New Roman" w:cs="Times New Roman"/>
          <w:sz w:val="28"/>
          <w:szCs w:val="28"/>
        </w:rPr>
        <w:t>People Management</w:t>
      </w:r>
    </w:p>
    <w:p w14:paraId="08036CDA" w14:textId="77777777" w:rsidR="00FC04A3" w:rsidRDefault="009F5CAA">
      <w:pPr>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Module code: </w:t>
      </w:r>
      <w:r w:rsidRPr="00195D8A">
        <w:rPr>
          <w:rFonts w:ascii="Times New Roman" w:eastAsia="Times New Roman" w:hAnsi="Times New Roman" w:cs="Times New Roman"/>
          <w:sz w:val="28"/>
          <w:szCs w:val="28"/>
        </w:rPr>
        <w:t>BMSW5010</w:t>
      </w:r>
    </w:p>
    <w:p w14:paraId="10011BF3" w14:textId="559EC2E5" w:rsidR="005A52F0" w:rsidRPr="005A52F0" w:rsidRDefault="005A52F0">
      <w:pPr>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 xml:space="preserve">Lecturer: </w:t>
      </w:r>
      <w:r>
        <w:rPr>
          <w:rFonts w:ascii="Times New Roman" w:eastAsia="Times New Roman" w:hAnsi="Times New Roman" w:cs="Times New Roman"/>
          <w:sz w:val="28"/>
          <w:szCs w:val="28"/>
        </w:rPr>
        <w:t>Rebecca Francis</w:t>
      </w:r>
      <w:r w:rsidR="00195D8A">
        <w:rPr>
          <w:rFonts w:ascii="Times New Roman" w:eastAsia="Times New Roman" w:hAnsi="Times New Roman" w:cs="Times New Roman"/>
          <w:sz w:val="28"/>
          <w:szCs w:val="28"/>
        </w:rPr>
        <w:t>-Davies</w:t>
      </w:r>
    </w:p>
    <w:p w14:paraId="13E9994D" w14:textId="77777777" w:rsidR="00547425" w:rsidRDefault="009F5CAA" w:rsidP="009B1C4D">
      <w:pPr>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 xml:space="preserve">Assignment Title: </w:t>
      </w:r>
      <w:r w:rsidRPr="009B1C4D">
        <w:rPr>
          <w:rFonts w:ascii="Times New Roman" w:eastAsia="Times New Roman" w:hAnsi="Times New Roman" w:cs="Times New Roman"/>
          <w:sz w:val="28"/>
          <w:szCs w:val="28"/>
        </w:rPr>
        <w:t>BrightWave Services Ltd: A Case Study</w:t>
      </w:r>
    </w:p>
    <w:p w14:paraId="6644C194" w14:textId="77777777" w:rsidR="0098161F" w:rsidRDefault="00547425" w:rsidP="009B1C4D">
      <w:pPr>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 xml:space="preserve">Word count: </w:t>
      </w:r>
      <w:r>
        <w:rPr>
          <w:rFonts w:ascii="Times New Roman" w:eastAsia="Times New Roman" w:hAnsi="Times New Roman" w:cs="Times New Roman"/>
          <w:sz w:val="28"/>
          <w:szCs w:val="28"/>
        </w:rPr>
        <w:t>2000</w:t>
      </w:r>
      <w:r w:rsidR="0098161F">
        <w:rPr>
          <w:rFonts w:ascii="Times New Roman" w:eastAsia="Times New Roman" w:hAnsi="Times New Roman" w:cs="Times New Roman"/>
          <w:sz w:val="28"/>
          <w:szCs w:val="28"/>
        </w:rPr>
        <w:t xml:space="preserve"> words</w:t>
      </w:r>
    </w:p>
    <w:p w14:paraId="06738F5C" w14:textId="0D6CD1A1" w:rsidR="00FC04A3" w:rsidRPr="009B1C4D" w:rsidRDefault="0098161F" w:rsidP="009B1C4D">
      <w:pPr>
        <w:jc w:val="cente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Sub</w:t>
      </w:r>
      <w:r w:rsidR="00802B37">
        <w:rPr>
          <w:rFonts w:ascii="Times New Roman" w:eastAsia="Times New Roman" w:hAnsi="Times New Roman" w:cs="Times New Roman"/>
          <w:b/>
          <w:bCs/>
          <w:sz w:val="28"/>
          <w:szCs w:val="28"/>
        </w:rPr>
        <w:t xml:space="preserve">mission deadline: </w:t>
      </w:r>
      <w:r w:rsidR="00532D32">
        <w:rPr>
          <w:rFonts w:ascii="Times New Roman" w:eastAsia="Times New Roman" w:hAnsi="Times New Roman" w:cs="Times New Roman"/>
          <w:sz w:val="28"/>
          <w:szCs w:val="28"/>
        </w:rPr>
        <w:t>12</w:t>
      </w:r>
      <w:r w:rsidR="00532D32" w:rsidRPr="00A95F5A">
        <w:rPr>
          <w:rFonts w:ascii="Times New Roman" w:eastAsia="Times New Roman" w:hAnsi="Times New Roman" w:cs="Times New Roman"/>
          <w:sz w:val="28"/>
          <w:szCs w:val="28"/>
          <w:vertAlign w:val="superscript"/>
        </w:rPr>
        <w:t>th</w:t>
      </w:r>
      <w:r w:rsidR="00A95F5A">
        <w:rPr>
          <w:rFonts w:ascii="Times New Roman" w:eastAsia="Times New Roman" w:hAnsi="Times New Roman" w:cs="Times New Roman"/>
          <w:sz w:val="28"/>
          <w:szCs w:val="28"/>
        </w:rPr>
        <w:t xml:space="preserve"> </w:t>
      </w:r>
      <w:r w:rsidR="00C7568A">
        <w:rPr>
          <w:rFonts w:ascii="Times New Roman" w:eastAsia="Times New Roman" w:hAnsi="Times New Roman" w:cs="Times New Roman"/>
          <w:sz w:val="28"/>
          <w:szCs w:val="28"/>
        </w:rPr>
        <w:t>December 2025 at 23:59</w:t>
      </w:r>
      <w:r w:rsidR="004B70A1">
        <w:br w:type="page"/>
      </w:r>
    </w:p>
    <w:p w14:paraId="1A4F7DB0" w14:textId="77777777" w:rsidR="00FC04A3" w:rsidRDefault="009F5CAA">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of Contents</w:t>
      </w:r>
    </w:p>
    <w:sdt>
      <w:sdtPr>
        <w:id w:val="-820058860"/>
        <w:docPartObj>
          <w:docPartGallery w:val="Table of Contents"/>
          <w:docPartUnique/>
        </w:docPartObj>
      </w:sdtPr>
      <w:sdtEndPr/>
      <w:sdtContent>
        <w:p w14:paraId="7695846D" w14:textId="77777777" w:rsidR="00FC04A3" w:rsidRDefault="009F5CAA">
          <w:pPr>
            <w:widowControl w:val="0"/>
            <w:tabs>
              <w:tab w:val="right" w:pos="9360"/>
            </w:tabs>
            <w:jc w:val="both"/>
            <w:rPr>
              <w:rFonts w:ascii="Times New Roman" w:eastAsia="Times New Roman" w:hAnsi="Times New Roman" w:cs="Times New Roman"/>
              <w:sz w:val="24"/>
              <w:szCs w:val="24"/>
            </w:rPr>
          </w:pPr>
          <w:r>
            <w:fldChar w:fldCharType="begin"/>
          </w:r>
          <w:r>
            <w:instrText xml:space="preserve"> TOC \h \u \z \t "Heading 1,1,Heading 2,2,Heading 3,3,Heading 4,4,Heading 5,5,Heading 6,6,"</w:instrText>
          </w:r>
          <w:r>
            <w:fldChar w:fldCharType="separate"/>
          </w:r>
          <w:r>
            <w:fldChar w:fldCharType="begin"/>
          </w:r>
          <w:r>
            <w:instrText xml:space="preserve"> HYPERLINK \l "_heading=h.ciq2cr6z61e2" </w:instrText>
          </w:r>
          <w:r>
            <w:fldChar w:fldCharType="separate"/>
          </w:r>
          <w:r>
            <w:rPr>
              <w:rFonts w:ascii="Times New Roman" w:eastAsia="Times New Roman" w:hAnsi="Times New Roman" w:cs="Times New Roman"/>
              <w:sz w:val="24"/>
              <w:szCs w:val="24"/>
            </w:rPr>
            <w:t>Introduction</w:t>
          </w:r>
          <w:r>
            <w:rPr>
              <w:rFonts w:ascii="Times New Roman" w:eastAsia="Times New Roman" w:hAnsi="Times New Roman" w:cs="Times New Roman"/>
              <w:sz w:val="24"/>
              <w:szCs w:val="24"/>
            </w:rPr>
            <w:tab/>
            <w:t>3</w:t>
          </w:r>
        </w:p>
        <w:p w14:paraId="61065257" w14:textId="77777777" w:rsidR="00FC04A3" w:rsidRDefault="009F5CAA">
          <w:pPr>
            <w:widowControl w:val="0"/>
            <w:tabs>
              <w:tab w:val="right" w:pos="9360"/>
            </w:tabs>
            <w:jc w:val="both"/>
            <w:rPr>
              <w:rFonts w:ascii="Times New Roman" w:eastAsia="Times New Roman" w:hAnsi="Times New Roman" w:cs="Times New Roman"/>
              <w:sz w:val="24"/>
              <w:szCs w:val="24"/>
            </w:rPr>
          </w:pPr>
          <w:r>
            <w:fldChar w:fldCharType="end"/>
          </w:r>
          <w:r>
            <w:fldChar w:fldCharType="begin"/>
          </w:r>
          <w:r>
            <w:instrText xml:space="preserve"> HYPERLINK \l "_heading=h.9l48otyj1o25" </w:instrText>
          </w:r>
          <w:r>
            <w:fldChar w:fldCharType="separate"/>
          </w:r>
          <w:r>
            <w:rPr>
              <w:rFonts w:ascii="Times New Roman" w:eastAsia="Times New Roman" w:hAnsi="Times New Roman" w:cs="Times New Roman"/>
              <w:sz w:val="24"/>
              <w:szCs w:val="24"/>
            </w:rPr>
            <w:t>1. Roles and skills of managers at BrightWave Services to efficiently regulate employee performance</w:t>
          </w:r>
          <w:r>
            <w:rPr>
              <w:rFonts w:ascii="Times New Roman" w:eastAsia="Times New Roman" w:hAnsi="Times New Roman" w:cs="Times New Roman"/>
              <w:sz w:val="24"/>
              <w:szCs w:val="24"/>
            </w:rPr>
            <w:tab/>
            <w:t>3</w:t>
          </w:r>
        </w:p>
        <w:p w14:paraId="4A91C07A" w14:textId="77777777" w:rsidR="00FC04A3" w:rsidRDefault="009F5CAA">
          <w:pPr>
            <w:widowControl w:val="0"/>
            <w:tabs>
              <w:tab w:val="right" w:pos="9360"/>
            </w:tabs>
            <w:jc w:val="both"/>
            <w:rPr>
              <w:rFonts w:ascii="Times New Roman" w:eastAsia="Times New Roman" w:hAnsi="Times New Roman" w:cs="Times New Roman"/>
              <w:sz w:val="24"/>
              <w:szCs w:val="24"/>
            </w:rPr>
          </w:pPr>
          <w:r>
            <w:fldChar w:fldCharType="end"/>
          </w:r>
          <w:r>
            <w:fldChar w:fldCharType="begin"/>
          </w:r>
          <w:r>
            <w:instrText xml:space="preserve"> HYPERLINK \l "_heading=h.5cnl91xgbz42" </w:instrText>
          </w:r>
          <w:r>
            <w:fldChar w:fldCharType="separate"/>
          </w:r>
          <w:r>
            <w:rPr>
              <w:rFonts w:ascii="Times New Roman" w:eastAsia="Times New Roman" w:hAnsi="Times New Roman" w:cs="Times New Roman"/>
              <w:sz w:val="24"/>
              <w:szCs w:val="24"/>
            </w:rPr>
            <w:t>2. Application of appropriate people management theories to analyse the work conditions at BrightWave Services</w:t>
          </w:r>
          <w:r>
            <w:rPr>
              <w:rFonts w:ascii="Times New Roman" w:eastAsia="Times New Roman" w:hAnsi="Times New Roman" w:cs="Times New Roman"/>
              <w:sz w:val="24"/>
              <w:szCs w:val="24"/>
            </w:rPr>
            <w:tab/>
            <w:t>4</w:t>
          </w:r>
        </w:p>
        <w:p w14:paraId="5491DF3C" w14:textId="77777777" w:rsidR="00FC04A3" w:rsidRDefault="009F5CAA">
          <w:pPr>
            <w:widowControl w:val="0"/>
            <w:tabs>
              <w:tab w:val="right" w:pos="9360"/>
            </w:tabs>
            <w:jc w:val="both"/>
            <w:rPr>
              <w:rFonts w:ascii="Times New Roman" w:eastAsia="Times New Roman" w:hAnsi="Times New Roman" w:cs="Times New Roman"/>
              <w:sz w:val="24"/>
              <w:szCs w:val="24"/>
            </w:rPr>
          </w:pPr>
          <w:r>
            <w:fldChar w:fldCharType="end"/>
          </w:r>
          <w:r>
            <w:fldChar w:fldCharType="begin"/>
          </w:r>
          <w:r>
            <w:instrText xml:space="preserve"> HYPERLINK \l "_heading=h.nhv4zz8tynic" </w:instrText>
          </w:r>
          <w:r>
            <w:fldChar w:fldCharType="separate"/>
          </w:r>
          <w:r>
            <w:rPr>
              <w:rFonts w:ascii="Times New Roman" w:eastAsia="Times New Roman" w:hAnsi="Times New Roman" w:cs="Times New Roman"/>
              <w:sz w:val="24"/>
              <w:szCs w:val="24"/>
            </w:rPr>
            <w:t>3. Critical evaluation of the method by which organisational culture at BrightWave impacts its people management approaches</w:t>
          </w:r>
          <w:r>
            <w:rPr>
              <w:rFonts w:ascii="Times New Roman" w:eastAsia="Times New Roman" w:hAnsi="Times New Roman" w:cs="Times New Roman"/>
              <w:sz w:val="24"/>
              <w:szCs w:val="24"/>
            </w:rPr>
            <w:tab/>
            <w:t>6</w:t>
          </w:r>
        </w:p>
        <w:p w14:paraId="7B2DF59B" w14:textId="77777777" w:rsidR="00FC04A3" w:rsidRDefault="009F5CAA">
          <w:pPr>
            <w:widowControl w:val="0"/>
            <w:tabs>
              <w:tab w:val="right" w:pos="9360"/>
            </w:tabs>
            <w:jc w:val="both"/>
            <w:rPr>
              <w:rFonts w:ascii="Times New Roman" w:eastAsia="Times New Roman" w:hAnsi="Times New Roman" w:cs="Times New Roman"/>
              <w:sz w:val="24"/>
              <w:szCs w:val="24"/>
            </w:rPr>
          </w:pPr>
          <w:r>
            <w:fldChar w:fldCharType="end"/>
          </w:r>
          <w:r>
            <w:fldChar w:fldCharType="begin"/>
          </w:r>
          <w:r>
            <w:instrText xml:space="preserve"> HYPERLINK \l "_heading=h.whgo7eq36mux" </w:instrText>
          </w:r>
          <w:r>
            <w:fldChar w:fldCharType="separate"/>
          </w:r>
          <w:r>
            <w:rPr>
              <w:rFonts w:ascii="Times New Roman" w:eastAsia="Times New Roman" w:hAnsi="Times New Roman" w:cs="Times New Roman"/>
              <w:sz w:val="24"/>
              <w:szCs w:val="24"/>
            </w:rPr>
            <w:t>4. Evidence-Based Recommendations to improve the managerial approach, performance regulation, organisational culture, and functional productivity of BrightWave Services</w:t>
          </w:r>
          <w:r>
            <w:rPr>
              <w:rFonts w:ascii="Times New Roman" w:eastAsia="Times New Roman" w:hAnsi="Times New Roman" w:cs="Times New Roman"/>
              <w:sz w:val="24"/>
              <w:szCs w:val="24"/>
            </w:rPr>
            <w:tab/>
            <w:t>7</w:t>
          </w:r>
        </w:p>
        <w:p w14:paraId="2D344255" w14:textId="77777777" w:rsidR="00FC04A3" w:rsidRDefault="009F5CAA">
          <w:pPr>
            <w:widowControl w:val="0"/>
            <w:tabs>
              <w:tab w:val="right" w:pos="9360"/>
            </w:tabs>
            <w:jc w:val="both"/>
            <w:rPr>
              <w:rFonts w:ascii="Times New Roman" w:eastAsia="Times New Roman" w:hAnsi="Times New Roman" w:cs="Times New Roman"/>
              <w:sz w:val="24"/>
              <w:szCs w:val="24"/>
            </w:rPr>
          </w:pPr>
          <w:r>
            <w:fldChar w:fldCharType="end"/>
          </w:r>
          <w:r>
            <w:fldChar w:fldCharType="begin"/>
          </w:r>
          <w:r>
            <w:instrText xml:space="preserve"> HYPERLINK \l "_heading=h.hw7k8njsw9im" </w:instrText>
          </w:r>
          <w:r>
            <w:fldChar w:fldCharType="separate"/>
          </w:r>
          <w:r>
            <w:rPr>
              <w:rFonts w:ascii="Times New Roman" w:eastAsia="Times New Roman" w:hAnsi="Times New Roman" w:cs="Times New Roman"/>
              <w:sz w:val="24"/>
              <w:szCs w:val="24"/>
            </w:rPr>
            <w:t>Conclusion</w:t>
          </w:r>
          <w:r>
            <w:rPr>
              <w:rFonts w:ascii="Times New Roman" w:eastAsia="Times New Roman" w:hAnsi="Times New Roman" w:cs="Times New Roman"/>
              <w:sz w:val="24"/>
              <w:szCs w:val="24"/>
            </w:rPr>
            <w:tab/>
            <w:t>9</w:t>
          </w:r>
        </w:p>
        <w:p w14:paraId="48E176A5" w14:textId="77777777" w:rsidR="00FC04A3" w:rsidRDefault="009F5CAA">
          <w:pPr>
            <w:widowControl w:val="0"/>
            <w:tabs>
              <w:tab w:val="right" w:pos="9360"/>
            </w:tabs>
            <w:jc w:val="both"/>
            <w:rPr>
              <w:rFonts w:ascii="Times New Roman" w:eastAsia="Times New Roman" w:hAnsi="Times New Roman" w:cs="Times New Roman"/>
              <w:sz w:val="24"/>
              <w:szCs w:val="24"/>
            </w:rPr>
          </w:pPr>
          <w:r>
            <w:fldChar w:fldCharType="end"/>
          </w:r>
          <w:hyperlink w:anchor="_heading=h.cznxg2mvyx49">
            <w:r w:rsidR="00FC04A3">
              <w:rPr>
                <w:rFonts w:ascii="Times New Roman" w:eastAsia="Times New Roman" w:hAnsi="Times New Roman" w:cs="Times New Roman"/>
                <w:sz w:val="24"/>
                <w:szCs w:val="24"/>
              </w:rPr>
              <w:t>References</w:t>
            </w:r>
            <w:r w:rsidR="00FC04A3">
              <w:rPr>
                <w:rFonts w:ascii="Times New Roman" w:eastAsia="Times New Roman" w:hAnsi="Times New Roman" w:cs="Times New Roman"/>
                <w:sz w:val="24"/>
                <w:szCs w:val="24"/>
              </w:rPr>
              <w:tab/>
              <w:t>10</w:t>
            </w:r>
          </w:hyperlink>
          <w:r>
            <w:fldChar w:fldCharType="end"/>
          </w:r>
        </w:p>
      </w:sdtContent>
    </w:sdt>
    <w:p w14:paraId="0C916186" w14:textId="77777777" w:rsidR="00FC04A3" w:rsidRDefault="009F5CAA">
      <w:pPr>
        <w:jc w:val="both"/>
        <w:rPr>
          <w:rFonts w:ascii="Times New Roman" w:eastAsia="Times New Roman" w:hAnsi="Times New Roman" w:cs="Times New Roman"/>
          <w:b/>
          <w:bCs/>
          <w:sz w:val="24"/>
          <w:szCs w:val="24"/>
        </w:rPr>
      </w:pPr>
      <w:r>
        <w:br w:type="page"/>
      </w:r>
    </w:p>
    <w:p w14:paraId="40571364" w14:textId="77777777" w:rsidR="00FC04A3" w:rsidRDefault="009F5CAA">
      <w:pPr>
        <w:pStyle w:val="Heading1"/>
      </w:pPr>
      <w:bookmarkStart w:id="0" w:name="_heading=h.ciq2cr6z61e2" w:colFirst="0" w:colLast="0"/>
      <w:bookmarkEnd w:id="0"/>
      <w:r>
        <w:lastRenderedPageBreak/>
        <w:t>Introduction</w:t>
      </w:r>
    </w:p>
    <w:p w14:paraId="678FC8A1" w14:textId="77777777" w:rsidR="00FC04A3" w:rsidRPr="000B29D8" w:rsidRDefault="009F5CAA" w:rsidP="000B29D8">
      <w:pPr>
        <w:jc w:val="both"/>
        <w:rPr>
          <w:sz w:val="24"/>
          <w:szCs w:val="24"/>
        </w:rPr>
      </w:pPr>
      <w:r w:rsidRPr="000B29D8">
        <w:rPr>
          <w:sz w:val="24"/>
          <w:szCs w:val="24"/>
        </w:rPr>
        <w:t>The report will assess the job roles and skills needed by the managers of BrightWave Services for the efficient regulation of the performance of its workforce. The implications of a broad range of people management theoretical frameworks will be examined in this report to analyse the work conditions of employees at BrightWave Services. A critical evaluation of the procedure by which the organisational culture at the company impacts people management approaches adopted by its hierarchy will be conducted. Sui</w:t>
      </w:r>
      <w:r w:rsidRPr="000B29D8">
        <w:rPr>
          <w:sz w:val="24"/>
          <w:szCs w:val="24"/>
        </w:rPr>
        <w:t xml:space="preserve">table evidence-based recommendations will be provided in the report so that the company can enhance its managerial approach, employee performance, organisational culture, as well as business productivity.      </w:t>
      </w:r>
    </w:p>
    <w:p w14:paraId="1210B882" w14:textId="77777777" w:rsidR="00FC04A3" w:rsidRDefault="009F5CAA">
      <w:pPr>
        <w:pStyle w:val="Heading1"/>
      </w:pPr>
      <w:bookmarkStart w:id="1" w:name="_heading=h.9l48otyj1o25" w:colFirst="0" w:colLast="0"/>
      <w:bookmarkEnd w:id="1"/>
      <w:r>
        <w:t>1. Roles and skills of managers at BrightWave Services to efficiently regulate employee performance</w:t>
      </w:r>
    </w:p>
    <w:p w14:paraId="26831BE9"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roles that the managers at BrightWave Services should possess for the effective management of the performance of the organisational workers are as follows:-</w:t>
      </w:r>
    </w:p>
    <w:p w14:paraId="0ED27477"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Strategic Planning</w:t>
      </w:r>
      <w:r>
        <w:rPr>
          <w:rFonts w:ascii="Times New Roman" w:eastAsia="Times New Roman" w:hAnsi="Times New Roman" w:cs="Times New Roman"/>
          <w:sz w:val="24"/>
          <w:szCs w:val="24"/>
        </w:rPr>
        <w:t xml:space="preserve">- The maintenance managers of BrightWave Services must acquire a wider overview of the maintenance tasks, such as building maintenance, cleaning services, and workforce assistance of several organisations. This will enable the managers to regulate the long-term vision of the company and also undertake extensive efforts regarding construction systems, equipment functions, and secure manufacturing standards. These activities keep the objectives of BrightWave Services at the forefront of their thought process </w:t>
      </w:r>
      <w:r>
        <w:rPr>
          <w:rFonts w:ascii="Times New Roman" w:eastAsia="Times New Roman" w:hAnsi="Times New Roman" w:cs="Times New Roman"/>
          <w:sz w:val="24"/>
          <w:szCs w:val="24"/>
        </w:rPr>
        <w:t>and undertake crucial decisions about the Occupational Safety and Health Administration (OSHA) demands, applicable regulations, and rules (Upkeep, 2025).</w:t>
      </w:r>
    </w:p>
    <w:p w14:paraId="3ACAC343"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Integration of Duties</w:t>
      </w:r>
      <w:r>
        <w:rPr>
          <w:rFonts w:ascii="Times New Roman" w:eastAsia="Times New Roman" w:hAnsi="Times New Roman" w:cs="Times New Roman"/>
          <w:sz w:val="24"/>
          <w:szCs w:val="24"/>
        </w:rPr>
        <w:t>- The duties of maintenance managers at BrightWave Services differ based on the nature of the workplace cleaning and maintenance business of the company. Although the managerial duties generally involve planning and regulating the overall maintenance task of BrightWave Services, along with the integration of responsibilities with the company’s maintenance supervisors to complete their tasks within time in a secure manner (Upkeep, 2025).</w:t>
      </w:r>
    </w:p>
    <w:p w14:paraId="0FB1A680"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Offering Training to Employees for their development</w:t>
      </w:r>
      <w:r>
        <w:rPr>
          <w:rFonts w:ascii="Times New Roman" w:eastAsia="Times New Roman" w:hAnsi="Times New Roman" w:cs="Times New Roman"/>
          <w:sz w:val="24"/>
          <w:szCs w:val="24"/>
        </w:rPr>
        <w:t xml:space="preserve">- The maintenance managers at BrightWave Services should employ, train, and enhance the work conditions of their cleaning and building maintenance workforce by motivating them to function to create a positive and team-focused work environment. The generation of a positive and team-oriented operational </w:t>
      </w:r>
      <w:r>
        <w:rPr>
          <w:rFonts w:ascii="Times New Roman" w:eastAsia="Times New Roman" w:hAnsi="Times New Roman" w:cs="Times New Roman"/>
          <w:sz w:val="24"/>
          <w:szCs w:val="24"/>
        </w:rPr>
        <w:lastRenderedPageBreak/>
        <w:t>environment by the managers will enable the company to concentrate on supplying high-quality, secure, and effective maintenance services (Upkeep, 2025).</w:t>
      </w:r>
    </w:p>
    <w:p w14:paraId="2D4D4914"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skills that the managers of BrightWave Services must acquire for the efficient regulation of the performance of the organisational employees are as follows:-</w:t>
      </w:r>
    </w:p>
    <w:p w14:paraId="08F9502C"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Flexibility Skills</w:t>
      </w:r>
      <w:r>
        <w:rPr>
          <w:rFonts w:ascii="Times New Roman" w:eastAsia="Times New Roman" w:hAnsi="Times New Roman" w:cs="Times New Roman"/>
          <w:sz w:val="24"/>
          <w:szCs w:val="24"/>
        </w:rPr>
        <w:t>- The workplace cleaning and maintenance managers at BrightWave Services must be capable of overcoming obstacles, bearing stable preventive maintenance approaches to thrive in a continuously altering work environment. It has been witnessed several times that the workers of the company are offered incentives for solving issues related to workplace cleaning and maintenance, and for not ignoring them. For this reason, maintenance managers at BrightWave Services bear a huge amount of cleaning and building maint</w:t>
      </w:r>
      <w:r>
        <w:rPr>
          <w:rFonts w:ascii="Times New Roman" w:eastAsia="Times New Roman" w:hAnsi="Times New Roman" w:cs="Times New Roman"/>
          <w:sz w:val="24"/>
          <w:szCs w:val="24"/>
        </w:rPr>
        <w:t xml:space="preserve">enance responsibilities that they cannot avoid conducting (Lussier and Hendon, 2025). </w:t>
      </w:r>
    </w:p>
    <w:p w14:paraId="5F855B89"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Humility Skills</w:t>
      </w:r>
      <w:r>
        <w:rPr>
          <w:rFonts w:ascii="Times New Roman" w:eastAsia="Times New Roman" w:hAnsi="Times New Roman" w:cs="Times New Roman"/>
          <w:sz w:val="24"/>
          <w:szCs w:val="24"/>
        </w:rPr>
        <w:t xml:space="preserve">- The workplace cleaning and maintenance managers of BrightWave Services must be concerned with the arrangement of their organisational teams by following efficient preventive regulatory schedules and constant work demands, which helps in the flexible regulation of building systems and manufacturing patterns (Lussier and Hendon, 2025).   </w:t>
      </w:r>
    </w:p>
    <w:p w14:paraId="1A156F6A"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Leadership Skills</w:t>
      </w:r>
      <w:r>
        <w:rPr>
          <w:rFonts w:ascii="Times New Roman" w:eastAsia="Times New Roman" w:hAnsi="Times New Roman" w:cs="Times New Roman"/>
          <w:sz w:val="24"/>
          <w:szCs w:val="24"/>
        </w:rPr>
        <w:t xml:space="preserve">- The possession of effective leadership skills by the workplace cleaning and maintenance managers at BrightWave Services enables them to adopt a culture of problem ignorance in their functional environment through stable supervision and compliance with workers. The utilisation of this practice by the managers during the development of an efficient organisational team is crucial for them to appropriately execute their job role (Lussier and Hendon, 2025).                </w:t>
      </w:r>
    </w:p>
    <w:p w14:paraId="435FE46A" w14:textId="77777777" w:rsidR="00FC04A3" w:rsidRDefault="009F5CAA">
      <w:pPr>
        <w:pStyle w:val="Heading1"/>
      </w:pPr>
      <w:bookmarkStart w:id="2" w:name="_heading=h.5cnl91xgbz42" w:colFirst="0" w:colLast="0"/>
      <w:bookmarkEnd w:id="2"/>
      <w:r>
        <w:t>2. Application of appropriate people management theories to analyse the work conditions at BrightWave Services</w:t>
      </w:r>
    </w:p>
    <w:p w14:paraId="50CA851B"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Taylor’s Scientific Management Theory</w:t>
      </w:r>
    </w:p>
    <w:p w14:paraId="04614B68" w14:textId="4AD97624"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scientific principles of Taylor’s Scientific Management Theory could be implemented in </w:t>
      </w:r>
      <w:r w:rsidR="002D0A99">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workplace cleaning and maintenance business of BrightWave Services, so that the organisational workers can easily adhere to those principles. This theory can divide the workplace cleaning and maintenance tasks of the company into a wide range of groups. The managers at BrightWave Services can classify a lengthy business assignment into common stages, with appointed maintenance managers engaged in allocating small tasks to their workforce bearing efficient job roles. These workers might prefer to regulate t</w:t>
      </w:r>
      <w:r>
        <w:rPr>
          <w:rFonts w:ascii="Times New Roman" w:eastAsia="Times New Roman" w:hAnsi="Times New Roman" w:cs="Times New Roman"/>
          <w:sz w:val="24"/>
          <w:szCs w:val="24"/>
        </w:rPr>
        <w:t xml:space="preserve">heir own set of tasks through the generation of </w:t>
      </w:r>
      <w:r>
        <w:rPr>
          <w:rFonts w:ascii="Times New Roman" w:eastAsia="Times New Roman" w:hAnsi="Times New Roman" w:cs="Times New Roman"/>
          <w:sz w:val="24"/>
          <w:szCs w:val="24"/>
        </w:rPr>
        <w:lastRenderedPageBreak/>
        <w:t xml:space="preserve">similar regular responsibilities, which transfer towards the completion of an assignment or accomplishment of an entire functional objective. The integration between the workplace cleaning and maintenance managers with the employees at BrightWave Services helps both parties to acquire upgrades regarding their tasks and respond to the queries of their customers (Peek, 2025).  </w:t>
      </w:r>
    </w:p>
    <w:p w14:paraId="23968C28" w14:textId="77777777" w:rsidR="00FC04A3" w:rsidRDefault="009F5CAA">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FB1086E" wp14:editId="359D1DE2">
            <wp:extent cx="5048250" cy="3405188"/>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048250" cy="3405188"/>
                    </a:xfrm>
                    <a:prstGeom prst="rect">
                      <a:avLst/>
                    </a:prstGeom>
                    <a:ln w="127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618B96EC" w14:textId="77777777" w:rsidR="00FC04A3" w:rsidRDefault="009F5CAA">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Taylor’s Scientific Management Theory</w:t>
      </w:r>
    </w:p>
    <w:p w14:paraId="4329C502" w14:textId="77777777" w:rsidR="00FC04A3" w:rsidRDefault="009F5CAA">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Peek, 2025)   </w:t>
      </w:r>
    </w:p>
    <w:p w14:paraId="3477BF6F"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Human Relations Theory</w:t>
      </w:r>
    </w:p>
    <w:p w14:paraId="70F7D9C4"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human relations theory can act as an efficient policy for the workplace cleaning and maintenance business of BrightWave Services, whose efficiency depends on the performance of its large group of employees. By using the human relations theory, the company can generate effective relationships between its managers and workers in its business environment. This could be accomplished by enabling both the workforce and workplace cleaning and maintenance managers of BrightWave Services to establish efficient c</w:t>
      </w:r>
      <w:r>
        <w:rPr>
          <w:rFonts w:ascii="Times New Roman" w:eastAsia="Times New Roman" w:hAnsi="Times New Roman" w:cs="Times New Roman"/>
          <w:sz w:val="24"/>
          <w:szCs w:val="24"/>
        </w:rPr>
        <w:t xml:space="preserve">ommunication platforms within the company’s work environment. The acknowledgement of the organisational employees regarding the care provided by the workplace cleaning and maintenance managers, regarding both their welfare and feedback, will be less likely to leave work. This is due to the recognition of the employees regarding the significance of their job role, which enhances their job satisfaction. The human relations theory reflects the procedure by which the organisational workers of BrightWave </w:t>
      </w:r>
      <w:r>
        <w:rPr>
          <w:rFonts w:ascii="Times New Roman" w:eastAsia="Times New Roman" w:hAnsi="Times New Roman" w:cs="Times New Roman"/>
          <w:sz w:val="24"/>
          <w:szCs w:val="24"/>
        </w:rPr>
        <w:lastRenderedPageBreak/>
        <w:t>Service</w:t>
      </w:r>
      <w:r>
        <w:rPr>
          <w:rFonts w:ascii="Times New Roman" w:eastAsia="Times New Roman" w:hAnsi="Times New Roman" w:cs="Times New Roman"/>
          <w:sz w:val="24"/>
          <w:szCs w:val="24"/>
        </w:rPr>
        <w:t xml:space="preserve">s could make significant contributions to the company’s workplace cleaning and maintenance culture (Indeed, 2025).      </w:t>
      </w:r>
    </w:p>
    <w:p w14:paraId="6F6A293D"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Contingency Theory</w:t>
      </w:r>
    </w:p>
    <w:p w14:paraId="56BCFEDF" w14:textId="32CBA1B3"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contingency theory is a people management theory that highlights the most efficient regulatory </w:t>
      </w:r>
      <w:proofErr w:type="gramStart"/>
      <w:r>
        <w:rPr>
          <w:rFonts w:ascii="Times New Roman" w:eastAsia="Times New Roman" w:hAnsi="Times New Roman" w:cs="Times New Roman"/>
          <w:sz w:val="24"/>
          <w:szCs w:val="24"/>
        </w:rPr>
        <w:t>style</w:t>
      </w:r>
      <w:proofErr w:type="gramEnd"/>
      <w:r>
        <w:rPr>
          <w:rFonts w:ascii="Times New Roman" w:eastAsia="Times New Roman" w:hAnsi="Times New Roman" w:cs="Times New Roman"/>
          <w:sz w:val="24"/>
          <w:szCs w:val="24"/>
        </w:rPr>
        <w:t xml:space="preserve"> or organisational structure relies on the </w:t>
      </w:r>
      <w:proofErr w:type="gramStart"/>
      <w:r>
        <w:rPr>
          <w:rFonts w:ascii="Times New Roman" w:eastAsia="Times New Roman" w:hAnsi="Times New Roman" w:cs="Times New Roman"/>
          <w:sz w:val="24"/>
          <w:szCs w:val="24"/>
        </w:rPr>
        <w:t>particular work</w:t>
      </w:r>
      <w:proofErr w:type="gramEnd"/>
      <w:r>
        <w:rPr>
          <w:rFonts w:ascii="Times New Roman" w:eastAsia="Times New Roman" w:hAnsi="Times New Roman" w:cs="Times New Roman"/>
          <w:sz w:val="24"/>
          <w:szCs w:val="24"/>
        </w:rPr>
        <w:t xml:space="preserve"> conditions or background in which BrightWave Services executes its workplace cleaning and maintenance business. This theoretical framework considers components such as the external work environment, the type of tasks of the organisational managers, employees, and organisational culture, by </w:t>
      </w:r>
      <w:proofErr w:type="spellStart"/>
      <w:r>
        <w:rPr>
          <w:rFonts w:ascii="Times New Roman" w:eastAsia="Times New Roman" w:hAnsi="Times New Roman" w:cs="Times New Roman"/>
          <w:sz w:val="24"/>
          <w:szCs w:val="24"/>
        </w:rPr>
        <w:t>customising</w:t>
      </w:r>
      <w:proofErr w:type="spellEnd"/>
      <w:r>
        <w:rPr>
          <w:rFonts w:ascii="Times New Roman" w:eastAsia="Times New Roman" w:hAnsi="Times New Roman" w:cs="Times New Roman"/>
          <w:sz w:val="24"/>
          <w:szCs w:val="24"/>
        </w:rPr>
        <w:t xml:space="preserve"> managerial approaches to adjust these elements. The contingency theory of management helps the workplace cleaning and maintenance managers of Bri</w:t>
      </w:r>
      <w:r>
        <w:rPr>
          <w:rFonts w:ascii="Times New Roman" w:eastAsia="Times New Roman" w:hAnsi="Times New Roman" w:cs="Times New Roman"/>
          <w:sz w:val="24"/>
          <w:szCs w:val="24"/>
        </w:rPr>
        <w:t xml:space="preserve">ghtWave Services to </w:t>
      </w:r>
      <w:proofErr w:type="spellStart"/>
      <w:r>
        <w:rPr>
          <w:rFonts w:ascii="Times New Roman" w:eastAsia="Times New Roman" w:hAnsi="Times New Roman" w:cs="Times New Roman"/>
          <w:sz w:val="24"/>
          <w:szCs w:val="24"/>
        </w:rPr>
        <w:t>realise</w:t>
      </w:r>
      <w:proofErr w:type="spellEnd"/>
      <w:r>
        <w:rPr>
          <w:rFonts w:ascii="Times New Roman" w:eastAsia="Times New Roman" w:hAnsi="Times New Roman" w:cs="Times New Roman"/>
          <w:sz w:val="24"/>
          <w:szCs w:val="24"/>
        </w:rPr>
        <w:t xml:space="preserve"> the dynamic and constantly evolving nature of the company’s work environment. This theory concentrates on the need for the company’s managers to implement managerial approaches to </w:t>
      </w:r>
      <w:r w:rsidR="002D0A99">
        <w:rPr>
          <w:rFonts w:ascii="Times New Roman" w:eastAsia="Times New Roman" w:hAnsi="Times New Roman" w:cs="Times New Roman"/>
          <w:sz w:val="24"/>
          <w:szCs w:val="24"/>
        </w:rPr>
        <w:t>accustomed</w:t>
      </w:r>
      <w:r>
        <w:rPr>
          <w:rFonts w:ascii="Times New Roman" w:eastAsia="Times New Roman" w:hAnsi="Times New Roman" w:cs="Times New Roman"/>
          <w:sz w:val="24"/>
          <w:szCs w:val="24"/>
        </w:rPr>
        <w:t xml:space="preserve"> to the innovative work conditions in the company, resulting in the enhancement of both their decision-making and problem-solving skills (Gunarathne and Lee, 2021).        </w:t>
      </w:r>
    </w:p>
    <w:p w14:paraId="2B8A98A4" w14:textId="77777777" w:rsidR="00FC04A3" w:rsidRDefault="009F5CAA">
      <w:pPr>
        <w:pStyle w:val="Heading1"/>
      </w:pPr>
      <w:bookmarkStart w:id="3" w:name="_heading=h.nhv4zz8tynic" w:colFirst="0" w:colLast="0"/>
      <w:bookmarkEnd w:id="3"/>
      <w:r>
        <w:t>3. Critical evaluation of the method by which organisational culture at BrightWave impacts its people management approaches</w:t>
      </w:r>
    </w:p>
    <w:p w14:paraId="7F0E8711" w14:textId="77777777" w:rsidR="00FC04A3" w:rsidRDefault="009F5CAA">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Positive Impacts</w:t>
      </w:r>
    </w:p>
    <w:p w14:paraId="6B609FEB"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Enhancement of Workforce Potential</w:t>
      </w:r>
      <w:r>
        <w:rPr>
          <w:rFonts w:ascii="Times New Roman" w:eastAsia="Times New Roman" w:hAnsi="Times New Roman" w:cs="Times New Roman"/>
          <w:sz w:val="24"/>
          <w:szCs w:val="24"/>
        </w:rPr>
        <w:t xml:space="preserve">- In the current environment of open office floor initiatives and shared functional areas, the necessity of office cleanliness at BrightWave Services has never been much evident. It has been </w:t>
      </w:r>
      <w:proofErr w:type="gramStart"/>
      <w:r>
        <w:rPr>
          <w:rFonts w:ascii="Times New Roman" w:eastAsia="Times New Roman" w:hAnsi="Times New Roman" w:cs="Times New Roman"/>
          <w:sz w:val="24"/>
          <w:szCs w:val="24"/>
        </w:rPr>
        <w:t>witnessed</w:t>
      </w:r>
      <w:proofErr w:type="gramEnd"/>
      <w:r>
        <w:rPr>
          <w:rFonts w:ascii="Times New Roman" w:eastAsia="Times New Roman" w:hAnsi="Times New Roman" w:cs="Times New Roman"/>
          <w:sz w:val="24"/>
          <w:szCs w:val="24"/>
        </w:rPr>
        <w:t xml:space="preserve"> that a clean work environment in the company efficiently influences the morale, productivity, and overall welfare of its workforce. Employee satisfaction has a close connection to the nature of the work environment at BrightWave Services, which comprises its hygiene and cleanliness standards. The workers who a</w:t>
      </w:r>
      <w:r>
        <w:rPr>
          <w:rFonts w:ascii="Times New Roman" w:eastAsia="Times New Roman" w:hAnsi="Times New Roman" w:cs="Times New Roman"/>
          <w:sz w:val="24"/>
          <w:szCs w:val="24"/>
        </w:rPr>
        <w:t xml:space="preserve">re satisfied with the work environment in the company bear a huge tendency to put their best efforts into the execution of their cleaning tasks (Schwartz, 2024).     </w:t>
      </w:r>
    </w:p>
    <w:p w14:paraId="74E3E73D"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Decrease in Absent Rates in the Work Environment</w:t>
      </w:r>
      <w:r>
        <w:rPr>
          <w:rFonts w:ascii="Times New Roman" w:eastAsia="Times New Roman" w:hAnsi="Times New Roman" w:cs="Times New Roman"/>
          <w:sz w:val="24"/>
          <w:szCs w:val="24"/>
        </w:rPr>
        <w:t xml:space="preserve">- Apart from the identification of the health issues of the organisational workers, the adoption of sustainable cleaning can enable BrightWave Services to tackle their periodical absenteeism rates. Through the generation of a healthier work environment, the company can remove elements that are responsible for increasing the absentee rates of its workforce, including the promotion of a culture of well-being and productivity. The removal of the absenteeism rates among the employees at BrightWave Services can </w:t>
      </w:r>
      <w:r>
        <w:rPr>
          <w:rFonts w:ascii="Times New Roman" w:eastAsia="Times New Roman" w:hAnsi="Times New Roman" w:cs="Times New Roman"/>
          <w:sz w:val="24"/>
          <w:szCs w:val="24"/>
        </w:rPr>
        <w:t xml:space="preserve">enable its </w:t>
      </w:r>
      <w:r>
        <w:rPr>
          <w:rFonts w:ascii="Times New Roman" w:eastAsia="Times New Roman" w:hAnsi="Times New Roman" w:cs="Times New Roman"/>
          <w:sz w:val="24"/>
          <w:szCs w:val="24"/>
        </w:rPr>
        <w:lastRenderedPageBreak/>
        <w:t xml:space="preserve">workplace cleaning and maintenance managers to increase the productivity, morale, and performance of its workforce (Schwartz, 2024).   </w:t>
      </w:r>
    </w:p>
    <w:p w14:paraId="662B0C83" w14:textId="77777777" w:rsidR="00FC04A3" w:rsidRDefault="009F5CAA">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Negative Impacts</w:t>
      </w:r>
    </w:p>
    <w:p w14:paraId="1C8BF973" w14:textId="6C8C9C76"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Adverse Economic and Environmental Expenditures</w:t>
      </w:r>
      <w:r>
        <w:rPr>
          <w:rFonts w:ascii="Times New Roman" w:eastAsia="Times New Roman" w:hAnsi="Times New Roman" w:cs="Times New Roman"/>
          <w:sz w:val="24"/>
          <w:szCs w:val="24"/>
        </w:rPr>
        <w:t>- The poor economic performance of BrightWave Services negatively impacts the work performance of its employees. In a highly competitive international workplace cleaning and maintenance market, the inability of the company to fulfil the work potential of its workers poses a threat to getting endangered. It has an adverse impact on job opportunities available to the organisational workforce regarding workplace cleaning and maintenance, and also on the expenditures of the customers, resulting in customers spe</w:t>
      </w:r>
      <w:r>
        <w:rPr>
          <w:rFonts w:ascii="Times New Roman" w:eastAsia="Times New Roman" w:hAnsi="Times New Roman" w:cs="Times New Roman"/>
          <w:sz w:val="24"/>
          <w:szCs w:val="24"/>
        </w:rPr>
        <w:t xml:space="preserve">nding less amount in purchasing </w:t>
      </w:r>
      <w:r w:rsidR="000B29D8">
        <w:rPr>
          <w:rFonts w:ascii="Times New Roman" w:eastAsia="Times New Roman" w:hAnsi="Times New Roman" w:cs="Times New Roman"/>
          <w:sz w:val="24"/>
          <w:szCs w:val="24"/>
        </w:rPr>
        <w:t>their</w:t>
      </w:r>
      <w:r>
        <w:rPr>
          <w:rFonts w:ascii="Times New Roman" w:eastAsia="Times New Roman" w:hAnsi="Times New Roman" w:cs="Times New Roman"/>
          <w:sz w:val="24"/>
          <w:szCs w:val="24"/>
        </w:rPr>
        <w:t xml:space="preserve"> products (Brougham-Chandler, 2025).  </w:t>
      </w:r>
    </w:p>
    <w:p w14:paraId="40ED6DEB"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Hampering Trust of Employees</w:t>
      </w:r>
      <w:r>
        <w:rPr>
          <w:rFonts w:ascii="Times New Roman" w:eastAsia="Times New Roman" w:hAnsi="Times New Roman" w:cs="Times New Roman"/>
          <w:sz w:val="24"/>
          <w:szCs w:val="24"/>
        </w:rPr>
        <w:t>- Ineffective organisational culture at BrightWave Services fosters the conduct of unethical behaviour by both its managers and employees inside and outside the work environment. It has been observed that the unethical attitude of organisational managers towards their workers regarding the execution of workplace cleaning and maintenance operations hinders the trust of the latter. The disengaged workforce also implements a lack of faith, which is also responsible for hampering their personal lives outside th</w:t>
      </w:r>
      <w:r>
        <w:rPr>
          <w:rFonts w:ascii="Times New Roman" w:eastAsia="Times New Roman" w:hAnsi="Times New Roman" w:cs="Times New Roman"/>
          <w:sz w:val="24"/>
          <w:szCs w:val="24"/>
        </w:rPr>
        <w:t xml:space="preserve">e work premises of the company. An absence of empathy and trust between the employees and managers of BrightWave Service is liable for an increase in a culture of both fear and division of power (Brougham-Chandler, 2025).   </w:t>
      </w:r>
    </w:p>
    <w:p w14:paraId="6F9EB299" w14:textId="77777777" w:rsidR="00FC04A3" w:rsidRDefault="009F5CAA">
      <w:pPr>
        <w:pStyle w:val="Heading1"/>
      </w:pPr>
      <w:bookmarkStart w:id="4" w:name="_heading=h.whgo7eq36mux" w:colFirst="0" w:colLast="0"/>
      <w:bookmarkEnd w:id="4"/>
      <w:r>
        <w:t>4. Evidence-Based Recommendations to improve the managerial approach, performance regulation, organisational culture, and functional productivity of BrightWave Services</w:t>
      </w:r>
    </w:p>
    <w:p w14:paraId="36369CCE" w14:textId="579CCD49"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 enhance managerial practice</w:t>
      </w:r>
      <w:r>
        <w:rPr>
          <w:rFonts w:ascii="Times New Roman" w:eastAsia="Times New Roman" w:hAnsi="Times New Roman" w:cs="Times New Roman"/>
          <w:sz w:val="24"/>
          <w:szCs w:val="24"/>
        </w:rPr>
        <w:t>- The workplace cleaning and maintenance managers of BrightWave Services can utilise a mobile application bearing a GPS tracker that can record details of the institutions, such as healthcare centres and regional councils, where the organisational employees visit for cleaning purposes. In this manner, the organisational managers can ensure that their workforce will complete their cleaning and maintenance tasks timely and the period of task completion will also be recorded automatically (Musina, 2022). For i</w:t>
      </w:r>
      <w:r>
        <w:rPr>
          <w:rFonts w:ascii="Times New Roman" w:eastAsia="Times New Roman" w:hAnsi="Times New Roman" w:cs="Times New Roman"/>
          <w:sz w:val="24"/>
          <w:szCs w:val="24"/>
        </w:rPr>
        <w:t xml:space="preserve">nstance, ProCleanerUK </w:t>
      </w:r>
      <w:proofErr w:type="spellStart"/>
      <w:r>
        <w:rPr>
          <w:rFonts w:ascii="Times New Roman" w:eastAsia="Times New Roman" w:hAnsi="Times New Roman" w:cs="Times New Roman"/>
          <w:sz w:val="24"/>
          <w:szCs w:val="24"/>
        </w:rPr>
        <w:t>utilises</w:t>
      </w:r>
      <w:proofErr w:type="spellEnd"/>
      <w:r>
        <w:rPr>
          <w:rFonts w:ascii="Times New Roman" w:eastAsia="Times New Roman" w:hAnsi="Times New Roman" w:cs="Times New Roman"/>
          <w:sz w:val="24"/>
          <w:szCs w:val="24"/>
        </w:rPr>
        <w:t xml:space="preserve"> mobile apps that offer advanced characteristics that have a connection to the innovative requirements of cleaning professionals, like automated </w:t>
      </w:r>
      <w:r w:rsidR="000B29D8">
        <w:rPr>
          <w:rFonts w:ascii="Times New Roman" w:eastAsia="Times New Roman" w:hAnsi="Times New Roman" w:cs="Times New Roman"/>
          <w:sz w:val="24"/>
          <w:szCs w:val="24"/>
        </w:rPr>
        <w:t>Rota</w:t>
      </w:r>
      <w:r>
        <w:rPr>
          <w:rFonts w:ascii="Times New Roman" w:eastAsia="Times New Roman" w:hAnsi="Times New Roman" w:cs="Times New Roman"/>
          <w:sz w:val="24"/>
          <w:szCs w:val="24"/>
        </w:rPr>
        <w:t xml:space="preserve"> generation, mobile availability for cleaners, and customer review applications (ProCleanerUK, 2025). </w:t>
      </w:r>
    </w:p>
    <w:p w14:paraId="682A632D"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 enhance performance management</w:t>
      </w:r>
      <w:r>
        <w:rPr>
          <w:rFonts w:ascii="Times New Roman" w:eastAsia="Times New Roman" w:hAnsi="Times New Roman" w:cs="Times New Roman"/>
          <w:sz w:val="24"/>
          <w:szCs w:val="24"/>
        </w:rPr>
        <w:t xml:space="preserve">- The offering of incentives and rewards, including the recognition of the rights of the team members of the workplace cleaning and maintenance business </w:t>
      </w:r>
      <w:r>
        <w:rPr>
          <w:rFonts w:ascii="Times New Roman" w:eastAsia="Times New Roman" w:hAnsi="Times New Roman" w:cs="Times New Roman"/>
          <w:sz w:val="24"/>
          <w:szCs w:val="24"/>
        </w:rPr>
        <w:lastRenderedPageBreak/>
        <w:t>at BrightView Services, can enable the company to foster a positive work environment. The conduct of verbal communications or public identity by the managers with their employees can be significant for the company’s workplace cleaning and maintenance business, since it will help to resolve their work-related queries (Almulaiki, 2023). For example, Jani-King</w:t>
      </w:r>
      <w:r>
        <w:rPr>
          <w:rFonts w:ascii="Times New Roman" w:eastAsia="Times New Roman" w:hAnsi="Times New Roman" w:cs="Times New Roman"/>
          <w:sz w:val="24"/>
          <w:szCs w:val="24"/>
        </w:rPr>
        <w:t xml:space="preserve"> in the UK has been engaged in offering efficient contract cleaning services to customers with its workforce bearing more than 50 years of work experience. The employees of the cleaning organisation are being equipped with accurate knowledge and experience regarding the utilisation of professional cleaning equipment and products (Tucker and Bartkiw, 2022).     </w:t>
      </w:r>
    </w:p>
    <w:p w14:paraId="3D2B951B" w14:textId="7DBD5329"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 enhance organisational culture</w:t>
      </w:r>
      <w:r>
        <w:rPr>
          <w:rFonts w:ascii="Times New Roman" w:eastAsia="Times New Roman" w:hAnsi="Times New Roman" w:cs="Times New Roman"/>
          <w:sz w:val="24"/>
          <w:szCs w:val="24"/>
        </w:rPr>
        <w:t xml:space="preserve">- BrightView Services can invest in offering training to its workforce regarding the constant development of their cleaning skills, such as knowledge regarding the use of fresh cleaning procedures, cleaning business software, and equipment. The company can also </w:t>
      </w:r>
      <w:proofErr w:type="spellStart"/>
      <w:r>
        <w:rPr>
          <w:rFonts w:ascii="Times New Roman" w:eastAsia="Times New Roman" w:hAnsi="Times New Roman" w:cs="Times New Roman"/>
          <w:sz w:val="24"/>
          <w:szCs w:val="24"/>
        </w:rPr>
        <w:t>organise</w:t>
      </w:r>
      <w:proofErr w:type="spellEnd"/>
      <w:r>
        <w:rPr>
          <w:rFonts w:ascii="Times New Roman" w:eastAsia="Times New Roman" w:hAnsi="Times New Roman" w:cs="Times New Roman"/>
          <w:sz w:val="24"/>
          <w:szCs w:val="24"/>
        </w:rPr>
        <w:t xml:space="preserve"> a mentorship initiative where the expert employees can offer guidance to new workers, for the development of a cleaning business culture of knowledge supply and teamwork (Dan, 2024). For instance, Just Helpers in the UK offer ethical, depend</w:t>
      </w:r>
      <w:r>
        <w:rPr>
          <w:rFonts w:ascii="Times New Roman" w:eastAsia="Times New Roman" w:hAnsi="Times New Roman" w:cs="Times New Roman"/>
          <w:sz w:val="24"/>
          <w:szCs w:val="24"/>
        </w:rPr>
        <w:t>able, and human-first cleaning services for homes and businesses across London. The company achieves this objective by allowing its trustworthy cleaners to offer training to the new cleaners about its cleaning service (Just</w:t>
      </w:r>
      <w:r w:rsidR="000E4A98">
        <w:rPr>
          <w:rFonts w:ascii="Times New Roman" w:eastAsia="Times New Roman" w:hAnsi="Times New Roman" w:cs="Times New Roman"/>
          <w:sz w:val="24"/>
          <w:szCs w:val="24"/>
        </w:rPr>
        <w:t>h</w:t>
      </w:r>
      <w:r>
        <w:rPr>
          <w:rFonts w:ascii="Times New Roman" w:eastAsia="Times New Roman" w:hAnsi="Times New Roman" w:cs="Times New Roman"/>
          <w:sz w:val="24"/>
          <w:szCs w:val="24"/>
        </w:rPr>
        <w:t xml:space="preserve">elpers, 2025). </w:t>
      </w:r>
    </w:p>
    <w:p w14:paraId="4C040BE4"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To enhance organisational productivity</w:t>
      </w:r>
      <w:r>
        <w:rPr>
          <w:rFonts w:ascii="Times New Roman" w:eastAsia="Times New Roman" w:hAnsi="Times New Roman" w:cs="Times New Roman"/>
          <w:sz w:val="24"/>
          <w:szCs w:val="24"/>
        </w:rPr>
        <w:t xml:space="preserve">- BrightView Services can implement sustainable cleaning solutions that provide a secure alternative for cleaning personnel, including the reduction of the challenge of exposure to chemicals and health-related risks. By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the application of non-toxic cleaning products, the company can generate a secure work environment for its cleaning employees, including the reduction of the chance of further accidents or injuries (Schwartz, 2024). For example, Sparkling Cleaning Services in the UK has acquired </w:t>
      </w:r>
      <w:r>
        <w:rPr>
          <w:rFonts w:ascii="Times New Roman" w:eastAsia="Times New Roman" w:hAnsi="Times New Roman" w:cs="Times New Roman"/>
          <w:sz w:val="24"/>
          <w:szCs w:val="24"/>
        </w:rPr>
        <w:t xml:space="preserve">specialisations in offering sustainable cleaning solutions that are secure, efficient, and commercially feasible. The company has proved that eco-friendly cleaning does not depend on the acquisition of effective outcomes, since it has helped busy offices and gyms in London to easily depend on the cleaning services offered by the company (Sparkling Cleaning Services, 2025).   </w:t>
      </w:r>
    </w:p>
    <w:p w14:paraId="524916EC" w14:textId="77777777" w:rsidR="00FC04A3" w:rsidRDefault="009F5CAA">
      <w:pPr>
        <w:pStyle w:val="Heading1"/>
      </w:pPr>
      <w:bookmarkStart w:id="5" w:name="_heading=h.hw7k8njsw9im" w:colFirst="0" w:colLast="0"/>
      <w:bookmarkEnd w:id="5"/>
      <w:r>
        <w:t>Conclusion</w:t>
      </w:r>
    </w:p>
    <w:p w14:paraId="5901478E" w14:textId="77777777" w:rsidR="00FC04A3" w:rsidRDefault="009F5CAA">
      <w:pPr>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In this report, the evaluation of the job roles and skills required by the managers of BrightWave Services for the effective management of the performance of its employees was conducted. The utilisation of a wide group of people management theoretical models was done in the report to </w:t>
      </w:r>
      <w:r>
        <w:rPr>
          <w:rFonts w:ascii="Times New Roman" w:eastAsia="Times New Roman" w:hAnsi="Times New Roman" w:cs="Times New Roman"/>
          <w:sz w:val="24"/>
          <w:szCs w:val="24"/>
        </w:rPr>
        <w:lastRenderedPageBreak/>
        <w:t>assess the work environment of the company’s workforce. A critical analysis of the method by which the organisational culture at BrightWave Services affects people management practices implemented by its hierarchy was executed. Accurate proof-based recommendations were offered in this report, such that the organisation can improve its managerial practice, workforce performance, organisational culture, as well as business productivity.</w:t>
      </w:r>
      <w:r>
        <w:br w:type="page"/>
      </w:r>
    </w:p>
    <w:p w14:paraId="2122FB0A" w14:textId="77777777" w:rsidR="00FC04A3" w:rsidRDefault="009F5CAA">
      <w:pPr>
        <w:pStyle w:val="Heading1"/>
      </w:pPr>
      <w:bookmarkStart w:id="6" w:name="_heading=h.cznxg2mvyx49" w:colFirst="0" w:colLast="0"/>
      <w:bookmarkEnd w:id="6"/>
      <w:r>
        <w:lastRenderedPageBreak/>
        <w:t>References</w:t>
      </w:r>
    </w:p>
    <w:p w14:paraId="56056A0D" w14:textId="77777777" w:rsidR="00FC04A3" w:rsidRDefault="009F5CAA">
      <w:pPr>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Almulaiki, W.A., (2023). The impact of performance management on employee performance. </w:t>
      </w:r>
      <w:r>
        <w:rPr>
          <w:rFonts w:ascii="Times New Roman" w:eastAsia="Times New Roman" w:hAnsi="Times New Roman" w:cs="Times New Roman"/>
          <w:i/>
          <w:iCs/>
          <w:color w:val="222222"/>
          <w:sz w:val="24"/>
          <w:szCs w:val="24"/>
        </w:rPr>
        <w:t>Saudi Journal of Business and Management Studies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8</w:t>
      </w:r>
      <w:r>
        <w:rPr>
          <w:rFonts w:ascii="Times New Roman" w:eastAsia="Times New Roman" w:hAnsi="Times New Roman" w:cs="Times New Roman"/>
          <w:color w:val="222222"/>
          <w:sz w:val="24"/>
          <w:szCs w:val="24"/>
        </w:rPr>
        <w:t xml:space="preserve">(2), pp.22-27. </w:t>
      </w:r>
      <w:hyperlink r:id="rId10">
        <w:r w:rsidR="00FC04A3">
          <w:rPr>
            <w:rFonts w:ascii="Times New Roman" w:eastAsia="Times New Roman" w:hAnsi="Times New Roman" w:cs="Times New Roman"/>
            <w:color w:val="1155CC"/>
            <w:sz w:val="24"/>
            <w:szCs w:val="24"/>
            <w:u w:val="single"/>
          </w:rPr>
          <w:t>https://www.saudijournals.com/media/articles/SJBMS_82_22-27.pdf</w:t>
        </w:r>
      </w:hyperlink>
      <w:r>
        <w:rPr>
          <w:rFonts w:ascii="Times New Roman" w:eastAsia="Times New Roman" w:hAnsi="Times New Roman" w:cs="Times New Roman"/>
          <w:color w:val="222222"/>
          <w:sz w:val="24"/>
          <w:szCs w:val="24"/>
        </w:rPr>
        <w:t xml:space="preserve"> </w:t>
      </w:r>
    </w:p>
    <w:p w14:paraId="28C25023"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Brougham-Chandler, A. (2025). </w:t>
      </w:r>
      <w:r>
        <w:rPr>
          <w:rFonts w:ascii="Times New Roman" w:eastAsia="Times New Roman" w:hAnsi="Times New Roman" w:cs="Times New Roman"/>
          <w:i/>
          <w:iCs/>
          <w:sz w:val="24"/>
          <w:szCs w:val="24"/>
        </w:rPr>
        <w:t xml:space="preserve">What’s the impact of negative workplace </w:t>
      </w:r>
      <w:proofErr w:type="gramStart"/>
      <w:r>
        <w:rPr>
          <w:rFonts w:ascii="Times New Roman" w:eastAsia="Times New Roman" w:hAnsi="Times New Roman" w:cs="Times New Roman"/>
          <w:i/>
          <w:iCs/>
          <w:sz w:val="24"/>
          <w:szCs w:val="24"/>
        </w:rPr>
        <w:t>culture?</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iCs/>
          <w:sz w:val="24"/>
          <w:szCs w:val="24"/>
        </w:rPr>
        <w:t>BreatheHR</w:t>
      </w:r>
      <w:proofErr w:type="spellEnd"/>
      <w:r>
        <w:rPr>
          <w:rFonts w:ascii="Times New Roman" w:eastAsia="Times New Roman" w:hAnsi="Times New Roman" w:cs="Times New Roman"/>
          <w:sz w:val="24"/>
          <w:szCs w:val="24"/>
        </w:rPr>
        <w:t>. Available at: https://www.breathehr.com/en-gb/blog/topic/company-culture/what-impact-does-negative-workplace-culture-have-on-wider-society (Accessed: 11 December 2025).</w:t>
      </w:r>
    </w:p>
    <w:p w14:paraId="41891945"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Dan, F. (2024). </w:t>
      </w:r>
      <w:r>
        <w:rPr>
          <w:rFonts w:ascii="Times New Roman" w:eastAsia="Times New Roman" w:hAnsi="Times New Roman" w:cs="Times New Roman"/>
          <w:i/>
          <w:iCs/>
          <w:sz w:val="24"/>
          <w:szCs w:val="24"/>
        </w:rPr>
        <w:t>How to develop a thriving cleaning company culture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Service Autopilot</w:t>
      </w:r>
      <w:r>
        <w:rPr>
          <w:rFonts w:ascii="Times New Roman" w:eastAsia="Times New Roman" w:hAnsi="Times New Roman" w:cs="Times New Roman"/>
          <w:sz w:val="24"/>
          <w:szCs w:val="24"/>
        </w:rPr>
        <w:t>. Available at: https://www.serviceautopilot.com/cleaning/how-to-develop-a-thriving-cleaning-company-culture/ (Accessed: 11 December 2025).</w:t>
      </w:r>
    </w:p>
    <w:p w14:paraId="439B3BA4" w14:textId="77777777" w:rsidR="00FC04A3" w:rsidRDefault="009F5CAA">
      <w:pPr>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 xml:space="preserve">Gunarathne, N. and Lee, K.H., (2021). Corporate cleaner production strategy development and environmental management accounting: A contingency theory perspective. </w:t>
      </w:r>
      <w:r>
        <w:rPr>
          <w:rFonts w:ascii="Times New Roman" w:eastAsia="Times New Roman" w:hAnsi="Times New Roman" w:cs="Times New Roman"/>
          <w:i/>
          <w:iCs/>
          <w:sz w:val="24"/>
          <w:szCs w:val="24"/>
        </w:rPr>
        <w:t>Journal of Cleaner Production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308</w:t>
      </w:r>
      <w:r>
        <w:rPr>
          <w:rFonts w:ascii="Times New Roman" w:eastAsia="Times New Roman" w:hAnsi="Times New Roman" w:cs="Times New Roman"/>
          <w:sz w:val="24"/>
          <w:szCs w:val="24"/>
        </w:rPr>
        <w:t xml:space="preserve">, p.127402. </w:t>
      </w:r>
      <w:hyperlink r:id="rId11">
        <w:r w:rsidR="00FC04A3">
          <w:rPr>
            <w:rFonts w:ascii="Times New Roman" w:eastAsia="Times New Roman" w:hAnsi="Times New Roman" w:cs="Times New Roman"/>
            <w:color w:val="1155CC"/>
            <w:sz w:val="24"/>
            <w:szCs w:val="24"/>
            <w:u w:val="single"/>
          </w:rPr>
          <w:t>https://research-repository.griffith.edu.au/bitstreams/02a215d7-c0ca-4fbe-8f89-a18fe4606b46/download</w:t>
        </w:r>
      </w:hyperlink>
      <w:r>
        <w:rPr>
          <w:rFonts w:ascii="Times New Roman" w:eastAsia="Times New Roman" w:hAnsi="Times New Roman" w:cs="Times New Roman"/>
          <w:color w:val="222222"/>
          <w:sz w:val="24"/>
          <w:szCs w:val="24"/>
        </w:rPr>
        <w:t xml:space="preserve"> </w:t>
      </w:r>
    </w:p>
    <w:p w14:paraId="354BD8AC"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Indeed (2025), </w:t>
      </w:r>
      <w:r>
        <w:rPr>
          <w:rFonts w:ascii="Times New Roman" w:eastAsia="Times New Roman" w:hAnsi="Times New Roman" w:cs="Times New Roman"/>
          <w:i/>
          <w:iCs/>
          <w:sz w:val="24"/>
          <w:szCs w:val="24"/>
        </w:rPr>
        <w:t>6 ways to use the human relations theory in management</w:t>
      </w:r>
      <w:r>
        <w:rPr>
          <w:rFonts w:ascii="Times New Roman" w:eastAsia="Times New Roman" w:hAnsi="Times New Roman" w:cs="Times New Roman"/>
          <w:sz w:val="24"/>
          <w:szCs w:val="24"/>
        </w:rPr>
        <w:t>, Available at: https://uk.indeed.com/career-advice/career-development/human-relations-theory (Accessed: 11 December 2025).</w:t>
      </w:r>
    </w:p>
    <w:p w14:paraId="39C40D03" w14:textId="27A73C48"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Just</w:t>
      </w:r>
      <w:r w:rsidR="00565583">
        <w:rPr>
          <w:rFonts w:ascii="Times New Roman" w:eastAsia="Times New Roman" w:hAnsi="Times New Roman" w:cs="Times New Roman"/>
          <w:sz w:val="24"/>
          <w:szCs w:val="24"/>
        </w:rPr>
        <w:t>h</w:t>
      </w:r>
      <w:r>
        <w:rPr>
          <w:rFonts w:ascii="Times New Roman" w:eastAsia="Times New Roman" w:hAnsi="Times New Roman" w:cs="Times New Roman"/>
          <w:sz w:val="24"/>
          <w:szCs w:val="24"/>
        </w:rPr>
        <w:t xml:space="preserve">elpers (2025), </w:t>
      </w:r>
      <w:r>
        <w:rPr>
          <w:rFonts w:ascii="Times New Roman" w:eastAsia="Times New Roman" w:hAnsi="Times New Roman" w:cs="Times New Roman"/>
          <w:i/>
          <w:iCs/>
          <w:sz w:val="24"/>
          <w:szCs w:val="24"/>
        </w:rPr>
        <w:t>Ethically driven professional cleaning</w:t>
      </w:r>
      <w:r>
        <w:rPr>
          <w:rFonts w:ascii="Times New Roman" w:eastAsia="Times New Roman" w:hAnsi="Times New Roman" w:cs="Times New Roman"/>
          <w:sz w:val="24"/>
          <w:szCs w:val="24"/>
        </w:rPr>
        <w:t>, Available at: https://justhelpers.co.uk/#:~:text=At%20Just%20Helpers%2C%20we%20don,No%20exploitation. (Accessed: 11 December 2025).</w:t>
      </w:r>
    </w:p>
    <w:p w14:paraId="3133ED5B"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Lussier, R.N. and Hendon, J.R., (2025). </w:t>
      </w:r>
      <w:r>
        <w:rPr>
          <w:rFonts w:ascii="Times New Roman" w:eastAsia="Times New Roman" w:hAnsi="Times New Roman" w:cs="Times New Roman"/>
          <w:i/>
          <w:iCs/>
          <w:sz w:val="24"/>
          <w:szCs w:val="24"/>
        </w:rPr>
        <w:t>Human resource management: Functions, applications, and skill development</w:t>
      </w:r>
      <w:r>
        <w:rPr>
          <w:rFonts w:ascii="Times New Roman" w:eastAsia="Times New Roman" w:hAnsi="Times New Roman" w:cs="Times New Roman"/>
          <w:sz w:val="24"/>
          <w:szCs w:val="24"/>
        </w:rPr>
        <w:t>. Sage publications.</w:t>
      </w:r>
    </w:p>
    <w:p w14:paraId="3025778E"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Musina, R. (2022). </w:t>
      </w:r>
      <w:r>
        <w:rPr>
          <w:rFonts w:ascii="Times New Roman" w:eastAsia="Times New Roman" w:hAnsi="Times New Roman" w:cs="Times New Roman"/>
          <w:i/>
          <w:iCs/>
          <w:sz w:val="24"/>
          <w:szCs w:val="24"/>
        </w:rPr>
        <w:t>5 simple steps for cleaning companies to improve the service and Workforce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B2Field</w:t>
      </w:r>
      <w:r>
        <w:rPr>
          <w:rFonts w:ascii="Times New Roman" w:eastAsia="Times New Roman" w:hAnsi="Times New Roman" w:cs="Times New Roman"/>
          <w:sz w:val="24"/>
          <w:szCs w:val="24"/>
        </w:rPr>
        <w:t>. Available at: https://b2field.com/blog/5-simple-steps-for-cleaning-companies/ (Accessed: 11 December 2025).</w:t>
      </w:r>
    </w:p>
    <w:p w14:paraId="28683E9B"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Peek, S. (2025). </w:t>
      </w:r>
      <w:r>
        <w:rPr>
          <w:rFonts w:ascii="Times New Roman" w:eastAsia="Times New Roman" w:hAnsi="Times New Roman" w:cs="Times New Roman"/>
          <w:i/>
          <w:iCs/>
          <w:sz w:val="24"/>
          <w:szCs w:val="24"/>
        </w:rPr>
        <w:t>Frederick W. Taylor Scientific Management Theory &amp; Principles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business.com</w:t>
      </w:r>
      <w:r>
        <w:rPr>
          <w:rFonts w:ascii="Times New Roman" w:eastAsia="Times New Roman" w:hAnsi="Times New Roman" w:cs="Times New Roman"/>
          <w:sz w:val="24"/>
          <w:szCs w:val="24"/>
        </w:rPr>
        <w:t>. Available at: https://www.business.com/articles/management-theory-of-frederick-taylor/ (Accessed: 11 December 2025).</w:t>
      </w:r>
    </w:p>
    <w:p w14:paraId="423686BE"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ProCleanerUK (2025), </w:t>
      </w:r>
      <w:r>
        <w:rPr>
          <w:rFonts w:ascii="Times New Roman" w:eastAsia="Times New Roman" w:hAnsi="Times New Roman" w:cs="Times New Roman"/>
          <w:i/>
          <w:iCs/>
          <w:sz w:val="24"/>
          <w:szCs w:val="24"/>
        </w:rPr>
        <w:t>Cleaning Software for UK Companies: The Ultimate Service Guide</w:t>
      </w:r>
      <w:r>
        <w:rPr>
          <w:rFonts w:ascii="Times New Roman" w:eastAsia="Times New Roman" w:hAnsi="Times New Roman" w:cs="Times New Roman"/>
          <w:sz w:val="24"/>
          <w:szCs w:val="24"/>
        </w:rPr>
        <w:t>, Available at: https://procleaneruk.co.uk/cleaning-software-for-UK-</w:t>
      </w:r>
      <w:r>
        <w:rPr>
          <w:rFonts w:ascii="Times New Roman" w:eastAsia="Times New Roman" w:hAnsi="Times New Roman" w:cs="Times New Roman"/>
          <w:sz w:val="24"/>
          <w:szCs w:val="24"/>
        </w:rPr>
        <w:lastRenderedPageBreak/>
        <w:t>companies/#:~:text=For%20example%2C%20ProCleanerUK%20offers%20advanced,to%20any%20service%2Dbased%20company. (Accessed: 11 December 2025).</w:t>
      </w:r>
    </w:p>
    <w:p w14:paraId="40DBF6F9"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Schwartz, J. (2024). </w:t>
      </w:r>
      <w:r>
        <w:rPr>
          <w:rFonts w:ascii="Times New Roman" w:eastAsia="Times New Roman" w:hAnsi="Times New Roman" w:cs="Times New Roman"/>
          <w:i/>
          <w:iCs/>
          <w:sz w:val="24"/>
          <w:szCs w:val="24"/>
        </w:rPr>
        <w:t>How cleaning supports a positive and productive workplace experience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Facilities Management Advisor</w:t>
      </w:r>
      <w:r>
        <w:rPr>
          <w:rFonts w:ascii="Times New Roman" w:eastAsia="Times New Roman" w:hAnsi="Times New Roman" w:cs="Times New Roman"/>
          <w:sz w:val="24"/>
          <w:szCs w:val="24"/>
        </w:rPr>
        <w:t>. Available at: https://facilitiesmanagementadvisor.com/maintenance-and-operations/how-cleaning-supports-a-positive-and-productive-workplace-experience/ (Accessed: 11 December 2025).</w:t>
      </w:r>
    </w:p>
    <w:p w14:paraId="519E8107"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Sparkling Cleaning Services (2025), </w:t>
      </w:r>
      <w:r>
        <w:rPr>
          <w:rFonts w:ascii="Times New Roman" w:eastAsia="Times New Roman" w:hAnsi="Times New Roman" w:cs="Times New Roman"/>
          <w:i/>
          <w:iCs/>
          <w:sz w:val="24"/>
          <w:szCs w:val="24"/>
        </w:rPr>
        <w:t>Eco Friendly Cleaning for Commercial Spaces | Eco-friendly office cleaning</w:t>
      </w:r>
      <w:r>
        <w:rPr>
          <w:rFonts w:ascii="Times New Roman" w:eastAsia="Times New Roman" w:hAnsi="Times New Roman" w:cs="Times New Roman"/>
          <w:sz w:val="24"/>
          <w:szCs w:val="24"/>
        </w:rPr>
        <w:t>, Available at: https://sparklingcleaningservices.co.uk/eco-friendly-cleaning/#:~:text=Eco%20Friendly%20Cleaning%20for%20Commercial,for%20every%20type%20of%20workplace. (Accessed: 11 December 2025).</w:t>
      </w:r>
    </w:p>
    <w:p w14:paraId="48C8C9D3" w14:textId="77777777" w:rsidR="00FC04A3" w:rsidRDefault="009F5CAA">
      <w:pPr>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 xml:space="preserve">Tucker, E. and Bartkiw, T.J., (2022). Franchising and the extraction of surplus value: Excavating the legal boundary between franchisees and employees. </w:t>
      </w:r>
      <w:r>
        <w:rPr>
          <w:rFonts w:ascii="Times New Roman" w:eastAsia="Times New Roman" w:hAnsi="Times New Roman" w:cs="Times New Roman"/>
          <w:i/>
          <w:iCs/>
          <w:sz w:val="24"/>
          <w:szCs w:val="24"/>
        </w:rPr>
        <w:t>JL &amp; Pol. Econ.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w:t>
      </w:r>
      <w:r>
        <w:rPr>
          <w:rFonts w:ascii="Times New Roman" w:eastAsia="Times New Roman" w:hAnsi="Times New Roman" w:cs="Times New Roman"/>
          <w:sz w:val="24"/>
          <w:szCs w:val="24"/>
        </w:rPr>
        <w:t>, p.484.</w:t>
      </w:r>
      <w:r>
        <w:rPr>
          <w:rFonts w:ascii="Times New Roman" w:eastAsia="Times New Roman" w:hAnsi="Times New Roman" w:cs="Times New Roman"/>
          <w:color w:val="222222"/>
          <w:sz w:val="24"/>
          <w:szCs w:val="24"/>
        </w:rPr>
        <w:t xml:space="preserve"> </w:t>
      </w:r>
      <w:hyperlink r:id="rId12">
        <w:r w:rsidR="00FC04A3">
          <w:rPr>
            <w:rFonts w:ascii="Times New Roman" w:eastAsia="Times New Roman" w:hAnsi="Times New Roman" w:cs="Times New Roman"/>
            <w:color w:val="1155CC"/>
            <w:sz w:val="24"/>
            <w:szCs w:val="24"/>
            <w:u w:val="single"/>
          </w:rPr>
          <w:t>https://escholarship.org/content/qt0bq9q1t3/qt0bq9q1t3.pdf</w:t>
        </w:r>
      </w:hyperlink>
      <w:r>
        <w:rPr>
          <w:rFonts w:ascii="Times New Roman" w:eastAsia="Times New Roman" w:hAnsi="Times New Roman" w:cs="Times New Roman"/>
          <w:color w:val="222222"/>
          <w:sz w:val="24"/>
          <w:szCs w:val="24"/>
        </w:rPr>
        <w:t xml:space="preserve"> </w:t>
      </w:r>
    </w:p>
    <w:p w14:paraId="59F38D26" w14:textId="77777777" w:rsidR="00FC04A3" w:rsidRDefault="009F5CAA">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Upkeep (2025), </w:t>
      </w:r>
      <w:r>
        <w:rPr>
          <w:rFonts w:ascii="Times New Roman" w:eastAsia="Times New Roman" w:hAnsi="Times New Roman" w:cs="Times New Roman"/>
          <w:i/>
          <w:iCs/>
          <w:sz w:val="24"/>
          <w:szCs w:val="24"/>
        </w:rPr>
        <w:t xml:space="preserve">Maintenance Manager | What Does a Maintenance Manager </w:t>
      </w:r>
      <w:proofErr w:type="gramStart"/>
      <w:r>
        <w:rPr>
          <w:rFonts w:ascii="Times New Roman" w:eastAsia="Times New Roman" w:hAnsi="Times New Roman" w:cs="Times New Roman"/>
          <w:i/>
          <w:iCs/>
          <w:sz w:val="24"/>
          <w:szCs w:val="24"/>
        </w:rPr>
        <w:t>Do?</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https://upkeep.com/learning/maintenance-manager/ (Accessed: 11 December 2025).</w:t>
      </w:r>
    </w:p>
    <w:p w14:paraId="6F7AE16A" w14:textId="77777777" w:rsidR="00FC04A3" w:rsidRDefault="00FC04A3">
      <w:pPr>
        <w:jc w:val="both"/>
        <w:rPr>
          <w:rFonts w:ascii="Times New Roman" w:eastAsia="Times New Roman" w:hAnsi="Times New Roman" w:cs="Times New Roman"/>
          <w:sz w:val="24"/>
          <w:szCs w:val="24"/>
        </w:rPr>
      </w:pPr>
    </w:p>
    <w:sectPr w:rsidR="00FC04A3">
      <w:footerReference w:type="default" r:id="rId13"/>
      <w:headerReference w:type="first" r:id="rId14"/>
      <w:footerReference w:type="first" r:id="rId1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1A10F7" w14:textId="77777777" w:rsidR="000327D6" w:rsidRDefault="000327D6">
      <w:pPr>
        <w:spacing w:line="240" w:lineRule="auto"/>
      </w:pPr>
      <w:r>
        <w:separator/>
      </w:r>
    </w:p>
  </w:endnote>
  <w:endnote w:type="continuationSeparator" w:id="0">
    <w:p w14:paraId="07434C7E" w14:textId="77777777" w:rsidR="000327D6" w:rsidRDefault="000327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AF7A2E2-158B-4B98-88E5-B3963662F238}"/>
  </w:font>
  <w:font w:name="Cambria">
    <w:panose1 w:val="02040503050406030204"/>
    <w:charset w:val="00"/>
    <w:family w:val="roman"/>
    <w:pitch w:val="variable"/>
    <w:sig w:usb0="E00006FF" w:usb1="420024FF" w:usb2="02000000" w:usb3="00000000" w:csb0="0000019F" w:csb1="00000000"/>
    <w:embedRegular r:id="rId2" w:fontKey="{1EDEEA75-EC2D-4C40-99B5-4C443547E8C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111E4E" w14:textId="77777777" w:rsidR="00FC04A3" w:rsidRDefault="009F5CAA">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4B70A1">
      <w:rPr>
        <w:rFonts w:ascii="Times New Roman" w:eastAsia="Times New Roman" w:hAnsi="Times New Roman" w:cs="Times New Roman"/>
        <w:noProof/>
        <w:sz w:val="20"/>
        <w:szCs w:val="20"/>
      </w:rPr>
      <w:t>2</w:t>
    </w:r>
    <w:r>
      <w:rPr>
        <w:rFonts w:ascii="Times New Roman" w:eastAsia="Times New Roman" w:hAnsi="Times New Roman" w:cs="Times New Roman"/>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DBC295" w14:textId="77777777" w:rsidR="00FC04A3" w:rsidRDefault="00FC04A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4DE94E" w14:textId="77777777" w:rsidR="000327D6" w:rsidRDefault="000327D6">
      <w:pPr>
        <w:spacing w:line="240" w:lineRule="auto"/>
      </w:pPr>
      <w:r>
        <w:separator/>
      </w:r>
    </w:p>
  </w:footnote>
  <w:footnote w:type="continuationSeparator" w:id="0">
    <w:p w14:paraId="37846B3A" w14:textId="77777777" w:rsidR="000327D6" w:rsidRDefault="000327D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6A0A0C" w14:textId="77777777" w:rsidR="00FC04A3" w:rsidRDefault="00FC04A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04A3"/>
    <w:rsid w:val="000327D6"/>
    <w:rsid w:val="000B29D8"/>
    <w:rsid w:val="000E4A98"/>
    <w:rsid w:val="00195D8A"/>
    <w:rsid w:val="00256E01"/>
    <w:rsid w:val="002D0A99"/>
    <w:rsid w:val="004B70A1"/>
    <w:rsid w:val="00532D32"/>
    <w:rsid w:val="00547425"/>
    <w:rsid w:val="00565583"/>
    <w:rsid w:val="005A52F0"/>
    <w:rsid w:val="005D7B81"/>
    <w:rsid w:val="00646FDF"/>
    <w:rsid w:val="007D0A6E"/>
    <w:rsid w:val="00802B37"/>
    <w:rsid w:val="00822E71"/>
    <w:rsid w:val="008251D1"/>
    <w:rsid w:val="0098161F"/>
    <w:rsid w:val="009B1C4D"/>
    <w:rsid w:val="009F5CAA"/>
    <w:rsid w:val="00A000A3"/>
    <w:rsid w:val="00A95F5A"/>
    <w:rsid w:val="00C7568A"/>
    <w:rsid w:val="00FC04A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4BC17"/>
  <w15:docId w15:val="{8B6F4157-7771-46A4-9EDF-7A482B705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29D8"/>
    <w:pPr>
      <w:spacing w:line="360" w:lineRule="auto"/>
    </w:pPr>
    <w:rPr>
      <w:rFonts w:asciiTheme="majorBidi" w:hAnsiTheme="majorBidi"/>
    </w:rPr>
  </w:style>
  <w:style w:type="paragraph" w:styleId="Heading1">
    <w:name w:val="heading 1"/>
    <w:basedOn w:val="Normal"/>
    <w:next w:val="Normal"/>
    <w:uiPriority w:val="9"/>
    <w:qFormat/>
    <w:pPr>
      <w:keepNext/>
      <w:keepLines/>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scholarship.org/content/qt0bq9q1t3/qt0bq9q1t3.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repository.griffith.edu.au/bitstreams/02a215d7-c0ca-4fbe-8f89-a18fe4606b46/download"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saudijournals.com/media/articles/SJBMS_82_22-27.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vcFckzoPEqFKZPSPQxZSgEJEtQ==">CgMxLjAyDmguY2lxMmNyNno2MWUyMg5oLjlsNDhvdHlqMW8yNTIOaC41Y25sOTF4Z2J6NDIyDmgubmh2NHp6OHR5bmljMg5oLndoZ283ZXEzNm11eDIOaC5odzdrOG5qc3c5aW0yDmguY3pueGcybXZ5eDQ5OAByITFWRFJfM2Fnb2d6Q3ZDUnVzUGc0alZDNmZWN0tjNElSSA==</go:docsCustomData>
</go:gDocsCustomXmlDataStorage>
</file>

<file path=customXml/itemProps1.xml><?xml version="1.0" encoding="utf-8"?>
<ds:datastoreItem xmlns:ds="http://schemas.openxmlformats.org/officeDocument/2006/customXml" ds:itemID="{199A7ABE-5424-42B4-A809-053C209E823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11</Pages>
  <Words>2974</Words>
  <Characters>16958</Characters>
  <Application>Microsoft Office Word</Application>
  <DocSecurity>0</DocSecurity>
  <Lines>141</Lines>
  <Paragraphs>39</Paragraphs>
  <ScaleCrop>false</ScaleCrop>
  <Company/>
  <LinksUpToDate>false</LinksUpToDate>
  <CharactersWithSpaces>19893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AMT SOLUTION</dc:creator>
  <cp:lastModifiedBy>Ionut ungureanu</cp:lastModifiedBy>
  <cp:revision>26</cp:revision>
  <dcterms:created xsi:type="dcterms:W3CDTF">2025-12-11T11:40:00Z</dcterms:created>
  <dcterms:modified xsi:type="dcterms:W3CDTF">2025-12-11T22:38:00Z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c0d0769a-369f-4bb4-a0e9-d4d51821bf42</vt:lpwstr>
  </property>
</Properties>
</file>