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CC01D" w14:textId="3CB196E6" w:rsidR="009D34CA" w:rsidRPr="00A679AB" w:rsidRDefault="009D34CA" w:rsidP="009E6244">
      <w:pPr>
        <w:spacing w:before="100" w:beforeAutospacing="1" w:after="100" w:afterAutospacing="1"/>
        <w:jc w:val="both"/>
        <w:rPr>
          <w:b/>
          <w:bCs/>
          <w:sz w:val="32"/>
          <w:szCs w:val="32"/>
        </w:rPr>
      </w:pPr>
      <w:r w:rsidRPr="00A679AB">
        <w:rPr>
          <w:b/>
          <w:bCs/>
          <w:sz w:val="32"/>
          <w:szCs w:val="32"/>
        </w:rPr>
        <w:t xml:space="preserve">Understanding the Impact of Strategic Risk Governance on Banking </w:t>
      </w:r>
      <w:r w:rsidR="009E6244" w:rsidRPr="00A679AB">
        <w:rPr>
          <w:b/>
          <w:bCs/>
          <w:sz w:val="32"/>
          <w:szCs w:val="32"/>
        </w:rPr>
        <w:t>Resilience</w:t>
      </w:r>
      <w:r w:rsidR="008013D2" w:rsidRPr="00A679AB">
        <w:rPr>
          <w:b/>
          <w:bCs/>
          <w:sz w:val="32"/>
          <w:szCs w:val="32"/>
        </w:rPr>
        <w:t xml:space="preserve">: </w:t>
      </w:r>
      <w:proofErr w:type="gramStart"/>
      <w:r w:rsidR="008013D2" w:rsidRPr="00A679AB">
        <w:rPr>
          <w:b/>
          <w:bCs/>
          <w:sz w:val="32"/>
          <w:szCs w:val="32"/>
        </w:rPr>
        <w:t>the</w:t>
      </w:r>
      <w:proofErr w:type="gramEnd"/>
      <w:r w:rsidRPr="00A679AB">
        <w:rPr>
          <w:b/>
          <w:bCs/>
          <w:sz w:val="32"/>
          <w:szCs w:val="32"/>
        </w:rPr>
        <w:t xml:space="preserve"> Case of Bangladesh Commercial Banks</w:t>
      </w:r>
    </w:p>
    <w:p w14:paraId="5285C401" w14:textId="77777777" w:rsidR="009E6244" w:rsidRDefault="009E6244" w:rsidP="009E6244">
      <w:pPr>
        <w:spacing w:before="100" w:beforeAutospacing="1" w:after="100" w:afterAutospacing="1"/>
        <w:jc w:val="both"/>
        <w:rPr>
          <w:b/>
          <w:bCs/>
          <w:sz w:val="28"/>
          <w:szCs w:val="28"/>
        </w:rPr>
      </w:pPr>
    </w:p>
    <w:p w14:paraId="2CD5BA81" w14:textId="77777777" w:rsidR="008013D2" w:rsidRDefault="008013D2" w:rsidP="009E6244">
      <w:pPr>
        <w:spacing w:before="100" w:beforeAutospacing="1" w:after="100" w:afterAutospacing="1"/>
        <w:jc w:val="both"/>
        <w:rPr>
          <w:b/>
          <w:bCs/>
          <w:sz w:val="28"/>
          <w:szCs w:val="28"/>
        </w:rPr>
      </w:pPr>
    </w:p>
    <w:p w14:paraId="0026D291" w14:textId="77777777" w:rsidR="008013D2" w:rsidRPr="009E6244" w:rsidRDefault="008013D2" w:rsidP="009E6244">
      <w:pPr>
        <w:spacing w:before="100" w:beforeAutospacing="1" w:after="100" w:afterAutospacing="1"/>
        <w:jc w:val="both"/>
        <w:rPr>
          <w:b/>
          <w:bCs/>
          <w:sz w:val="28"/>
          <w:szCs w:val="28"/>
        </w:rPr>
      </w:pPr>
    </w:p>
    <w:p w14:paraId="7632EA94" w14:textId="34AF60F7" w:rsidR="009D34CA" w:rsidRPr="00D7266D" w:rsidRDefault="009D34CA" w:rsidP="00D7266D">
      <w:pPr>
        <w:spacing w:before="100" w:beforeAutospacing="1" w:after="100" w:afterAutospacing="1"/>
      </w:pPr>
      <w:r w:rsidRPr="00D7266D">
        <w:t>Module/Module Code: Advancing to Doctoral Research Stage/LCDB7012</w:t>
      </w:r>
      <w:r w:rsidRPr="00D7266D">
        <w:br/>
      </w:r>
    </w:p>
    <w:p w14:paraId="1A5E2C00" w14:textId="77777777" w:rsidR="009D34CA" w:rsidRPr="00D7266D" w:rsidRDefault="009D34CA" w:rsidP="00D7266D">
      <w:pPr>
        <w:spacing w:before="100" w:beforeAutospacing="1" w:after="100" w:afterAutospacing="1"/>
      </w:pPr>
    </w:p>
    <w:p w14:paraId="29CAB59F" w14:textId="5980E8A4" w:rsidR="009D34CA" w:rsidRPr="008013D2" w:rsidRDefault="009D34CA" w:rsidP="00D7266D">
      <w:pPr>
        <w:spacing w:before="100" w:beforeAutospacing="1" w:after="100" w:afterAutospacing="1"/>
        <w:rPr>
          <w:b/>
          <w:bCs/>
        </w:rPr>
      </w:pPr>
      <w:r w:rsidRPr="008013D2">
        <w:rPr>
          <w:b/>
          <w:bCs/>
        </w:rPr>
        <w:t>Submitted by:</w:t>
      </w:r>
    </w:p>
    <w:p w14:paraId="60A66263" w14:textId="77777777" w:rsidR="009D34CA" w:rsidRPr="00D7266D" w:rsidRDefault="009D34CA" w:rsidP="00D7266D">
      <w:pPr>
        <w:spacing w:before="100" w:beforeAutospacing="1" w:after="100" w:afterAutospacing="1"/>
      </w:pPr>
      <w:r w:rsidRPr="00D7266D">
        <w:t>MD Abul Monsur</w:t>
      </w:r>
    </w:p>
    <w:p w14:paraId="6A1950B2" w14:textId="77777777" w:rsidR="009D34CA" w:rsidRPr="00D7266D" w:rsidRDefault="009D34CA" w:rsidP="00D7266D">
      <w:pPr>
        <w:spacing w:before="100" w:beforeAutospacing="1" w:after="100" w:afterAutospacing="1"/>
      </w:pPr>
      <w:r w:rsidRPr="00D7266D">
        <w:t xml:space="preserve">Doctor of Business Administration </w:t>
      </w:r>
    </w:p>
    <w:p w14:paraId="6839A99C" w14:textId="1394AB2E" w:rsidR="009D34CA" w:rsidRPr="00D7266D" w:rsidRDefault="009D34CA" w:rsidP="00D7266D">
      <w:pPr>
        <w:spacing w:before="100" w:beforeAutospacing="1" w:after="100" w:afterAutospacing="1"/>
      </w:pPr>
      <w:r w:rsidRPr="00D7266D">
        <w:t>Term: 3</w:t>
      </w:r>
    </w:p>
    <w:p w14:paraId="072CA390" w14:textId="77777777" w:rsidR="009D34CA" w:rsidRPr="00D7266D" w:rsidRDefault="009D34CA" w:rsidP="00D7266D">
      <w:pPr>
        <w:spacing w:before="100" w:beforeAutospacing="1" w:after="100" w:afterAutospacing="1"/>
      </w:pPr>
      <w:r w:rsidRPr="00D7266D">
        <w:t>Student ID: 2432235</w:t>
      </w:r>
      <w:r w:rsidRPr="00D7266D">
        <w:br/>
      </w:r>
    </w:p>
    <w:p w14:paraId="568B6F47" w14:textId="77777777" w:rsidR="009D34CA" w:rsidRPr="00D7266D" w:rsidRDefault="009D34CA" w:rsidP="00D7266D">
      <w:pPr>
        <w:spacing w:before="100" w:beforeAutospacing="1" w:after="100" w:afterAutospacing="1"/>
      </w:pPr>
    </w:p>
    <w:p w14:paraId="3E38D7D3" w14:textId="77777777" w:rsidR="009D34CA" w:rsidRPr="00D7266D" w:rsidRDefault="009D34CA" w:rsidP="00D7266D">
      <w:pPr>
        <w:spacing w:before="100" w:beforeAutospacing="1" w:after="100" w:afterAutospacing="1"/>
      </w:pPr>
    </w:p>
    <w:p w14:paraId="25BC9C1C" w14:textId="1F7DDFBA" w:rsidR="009D34CA" w:rsidRPr="00D7266D" w:rsidRDefault="009D34CA" w:rsidP="00D7266D">
      <w:pPr>
        <w:spacing w:before="100" w:beforeAutospacing="1" w:after="100" w:afterAutospacing="1"/>
      </w:pPr>
      <w:r w:rsidRPr="008013D2">
        <w:rPr>
          <w:b/>
          <w:bCs/>
        </w:rPr>
        <w:t>Supervised By:</w:t>
      </w:r>
      <w:r w:rsidRPr="00D7266D">
        <w:t xml:space="preserve"> Professor Amare Desta</w:t>
      </w:r>
    </w:p>
    <w:p w14:paraId="4FBDAB92" w14:textId="77777777" w:rsidR="009D34CA" w:rsidRPr="00D7266D" w:rsidRDefault="009D34CA" w:rsidP="00D7266D">
      <w:pPr>
        <w:spacing w:before="100" w:beforeAutospacing="1" w:after="100" w:afterAutospacing="1"/>
      </w:pPr>
      <w:r w:rsidRPr="00D7266D">
        <w:t xml:space="preserve">                        University of Wales Trinity Saint David, London</w:t>
      </w:r>
    </w:p>
    <w:p w14:paraId="3A6BF23B" w14:textId="77777777" w:rsidR="009D34CA" w:rsidRPr="00D7266D" w:rsidRDefault="009D34CA" w:rsidP="00D7266D">
      <w:pPr>
        <w:spacing w:before="100" w:beforeAutospacing="1" w:after="100" w:afterAutospacing="1"/>
      </w:pPr>
    </w:p>
    <w:p w14:paraId="5A389461" w14:textId="77777777" w:rsidR="009D34CA" w:rsidRPr="00D7266D" w:rsidRDefault="009D34CA" w:rsidP="00D7266D">
      <w:pPr>
        <w:spacing w:before="100" w:beforeAutospacing="1" w:after="100" w:afterAutospacing="1"/>
      </w:pPr>
    </w:p>
    <w:p w14:paraId="47A12A00" w14:textId="77777777" w:rsidR="009D34CA" w:rsidRPr="00D7266D" w:rsidRDefault="009D34CA" w:rsidP="00D7266D">
      <w:pPr>
        <w:spacing w:before="100" w:beforeAutospacing="1" w:after="100" w:afterAutospacing="1"/>
      </w:pPr>
    </w:p>
    <w:p w14:paraId="7F652F4E" w14:textId="27EFA4E3" w:rsidR="00BF169F" w:rsidRPr="00D7266D" w:rsidRDefault="009D34CA" w:rsidP="00D7266D">
      <w:pPr>
        <w:spacing w:before="100" w:beforeAutospacing="1" w:after="100" w:afterAutospacing="1"/>
      </w:pPr>
      <w:r w:rsidRPr="00D7266D">
        <w:t>Date of Submission: April 2</w:t>
      </w:r>
      <w:r w:rsidR="009E6244">
        <w:t>0</w:t>
      </w:r>
      <w:r w:rsidRPr="00D7266D">
        <w:t>, 2026</w:t>
      </w:r>
      <w:r w:rsidRPr="00D7266D">
        <w:br/>
      </w:r>
    </w:p>
    <w:p w14:paraId="5779398D" w14:textId="77777777" w:rsidR="009D34CA" w:rsidRPr="00D7266D" w:rsidRDefault="009D34CA" w:rsidP="00D7266D">
      <w:pPr>
        <w:spacing w:before="100" w:beforeAutospacing="1" w:after="100" w:afterAutospacing="1"/>
        <w:jc w:val="both"/>
      </w:pPr>
    </w:p>
    <w:p w14:paraId="3681A0C3" w14:textId="77777777" w:rsidR="009D34CA" w:rsidRPr="00D7266D" w:rsidRDefault="009D34CA" w:rsidP="00D7266D">
      <w:pPr>
        <w:spacing w:before="100" w:beforeAutospacing="1" w:after="100" w:afterAutospacing="1"/>
        <w:jc w:val="both"/>
      </w:pPr>
    </w:p>
    <w:p w14:paraId="13927676" w14:textId="77777777" w:rsidR="009D34CA" w:rsidRPr="00D7266D" w:rsidRDefault="009D34CA" w:rsidP="00D7266D">
      <w:pPr>
        <w:spacing w:before="100" w:beforeAutospacing="1" w:after="100" w:afterAutospacing="1"/>
        <w:jc w:val="both"/>
      </w:pPr>
    </w:p>
    <w:p w14:paraId="7FFD4AF3" w14:textId="77777777" w:rsidR="009D34CA" w:rsidRPr="00D7266D" w:rsidRDefault="009D34CA" w:rsidP="00D7266D">
      <w:pPr>
        <w:spacing w:before="100" w:beforeAutospacing="1" w:after="100" w:afterAutospacing="1"/>
        <w:jc w:val="both"/>
      </w:pPr>
    </w:p>
    <w:p w14:paraId="09D931A3" w14:textId="77777777" w:rsidR="005D63E5" w:rsidRPr="003C2113" w:rsidRDefault="005D63E5" w:rsidP="005D63E5">
      <w:pPr>
        <w:spacing w:line="360" w:lineRule="auto"/>
        <w:jc w:val="center"/>
      </w:pPr>
      <w:r w:rsidRPr="003C2113">
        <w:rPr>
          <w:b/>
        </w:rPr>
        <w:t>Table of Contents</w:t>
      </w:r>
    </w:p>
    <w:tbl>
      <w:tblPr>
        <w:tblStyle w:val="TableGrid"/>
        <w:tblW w:w="8926" w:type="dxa"/>
        <w:tblLook w:val="04A0" w:firstRow="1" w:lastRow="0" w:firstColumn="1" w:lastColumn="0" w:noHBand="0" w:noVBand="1"/>
      </w:tblPr>
      <w:tblGrid>
        <w:gridCol w:w="846"/>
        <w:gridCol w:w="8080"/>
      </w:tblGrid>
      <w:tr w:rsidR="005D63E5" w14:paraId="6A496B98" w14:textId="77777777" w:rsidTr="005D63E5">
        <w:tc>
          <w:tcPr>
            <w:tcW w:w="846" w:type="dxa"/>
          </w:tcPr>
          <w:p w14:paraId="6C51F4F5" w14:textId="77777777" w:rsidR="005D63E5" w:rsidRPr="00AB6E11" w:rsidRDefault="005D63E5" w:rsidP="00E65C75">
            <w:pPr>
              <w:spacing w:line="360" w:lineRule="auto"/>
              <w:jc w:val="center"/>
              <w:rPr>
                <w:b/>
                <w:bCs/>
              </w:rPr>
            </w:pPr>
            <w:r w:rsidRPr="00AB6E11">
              <w:rPr>
                <w:b/>
                <w:bCs/>
              </w:rPr>
              <w:t>SL</w:t>
            </w:r>
          </w:p>
        </w:tc>
        <w:tc>
          <w:tcPr>
            <w:tcW w:w="8080" w:type="dxa"/>
          </w:tcPr>
          <w:p w14:paraId="1F2F446E" w14:textId="77777777" w:rsidR="005D63E5" w:rsidRPr="00AB6E11" w:rsidRDefault="005D63E5" w:rsidP="00E65C75">
            <w:pPr>
              <w:spacing w:line="360" w:lineRule="auto"/>
              <w:jc w:val="center"/>
              <w:rPr>
                <w:b/>
                <w:bCs/>
              </w:rPr>
            </w:pPr>
            <w:r w:rsidRPr="00AB6E11">
              <w:rPr>
                <w:b/>
                <w:bCs/>
              </w:rPr>
              <w:t>Particulars</w:t>
            </w:r>
          </w:p>
        </w:tc>
      </w:tr>
      <w:tr w:rsidR="005D63E5" w14:paraId="6FD9145F" w14:textId="77777777" w:rsidTr="005D63E5">
        <w:tc>
          <w:tcPr>
            <w:tcW w:w="846" w:type="dxa"/>
          </w:tcPr>
          <w:p w14:paraId="1DB197E3" w14:textId="77777777" w:rsidR="005D63E5" w:rsidRDefault="005D63E5" w:rsidP="00E65C75">
            <w:pPr>
              <w:spacing w:line="360" w:lineRule="auto"/>
              <w:jc w:val="both"/>
            </w:pPr>
          </w:p>
        </w:tc>
        <w:tc>
          <w:tcPr>
            <w:tcW w:w="8080" w:type="dxa"/>
          </w:tcPr>
          <w:p w14:paraId="411CA7FF" w14:textId="04D204CB" w:rsidR="005D63E5" w:rsidRPr="00AB6E11" w:rsidRDefault="005D63E5" w:rsidP="00E65C75">
            <w:pPr>
              <w:spacing w:line="360" w:lineRule="auto"/>
              <w:jc w:val="both"/>
              <w:rPr>
                <w:b/>
                <w:bCs/>
              </w:rPr>
            </w:pPr>
            <w:r>
              <w:rPr>
                <w:b/>
                <w:bCs/>
              </w:rPr>
              <w:t>Abstract</w:t>
            </w:r>
          </w:p>
        </w:tc>
      </w:tr>
      <w:tr w:rsidR="005D63E5" w14:paraId="2A466705" w14:textId="77777777" w:rsidTr="005D63E5">
        <w:tc>
          <w:tcPr>
            <w:tcW w:w="846" w:type="dxa"/>
          </w:tcPr>
          <w:p w14:paraId="75EF6B48" w14:textId="3C88F556" w:rsidR="005D63E5" w:rsidRDefault="005D63E5" w:rsidP="00E65C75">
            <w:pPr>
              <w:spacing w:line="360" w:lineRule="auto"/>
              <w:jc w:val="both"/>
            </w:pPr>
          </w:p>
        </w:tc>
        <w:tc>
          <w:tcPr>
            <w:tcW w:w="8080" w:type="dxa"/>
          </w:tcPr>
          <w:p w14:paraId="7CF3A336" w14:textId="77777777" w:rsidR="005D63E5" w:rsidRDefault="005D63E5" w:rsidP="00E65C75">
            <w:pPr>
              <w:spacing w:line="360" w:lineRule="auto"/>
              <w:jc w:val="both"/>
            </w:pPr>
            <w:r>
              <w:t>Abstract</w:t>
            </w:r>
          </w:p>
        </w:tc>
      </w:tr>
      <w:tr w:rsidR="005D63E5" w14:paraId="0866DFD8" w14:textId="77777777" w:rsidTr="005D63E5">
        <w:tc>
          <w:tcPr>
            <w:tcW w:w="846" w:type="dxa"/>
          </w:tcPr>
          <w:p w14:paraId="69EB0387" w14:textId="36C6C772" w:rsidR="005D63E5" w:rsidRDefault="005D63E5" w:rsidP="00E65C75">
            <w:pPr>
              <w:spacing w:line="360" w:lineRule="auto"/>
              <w:jc w:val="both"/>
            </w:pPr>
            <w:r>
              <w:t>1</w:t>
            </w:r>
          </w:p>
        </w:tc>
        <w:tc>
          <w:tcPr>
            <w:tcW w:w="8080" w:type="dxa"/>
          </w:tcPr>
          <w:p w14:paraId="77F354A4" w14:textId="77777777" w:rsidR="005D63E5" w:rsidRDefault="005D63E5" w:rsidP="00E65C75">
            <w:pPr>
              <w:spacing w:line="360" w:lineRule="auto"/>
              <w:jc w:val="both"/>
            </w:pPr>
            <w:r>
              <w:t>Introduction</w:t>
            </w:r>
          </w:p>
        </w:tc>
      </w:tr>
      <w:tr w:rsidR="005D63E5" w14:paraId="387DD211" w14:textId="77777777" w:rsidTr="005D63E5">
        <w:tc>
          <w:tcPr>
            <w:tcW w:w="846" w:type="dxa"/>
          </w:tcPr>
          <w:p w14:paraId="33B68819" w14:textId="77777777" w:rsidR="005D63E5" w:rsidRDefault="005D63E5" w:rsidP="00E65C75">
            <w:pPr>
              <w:spacing w:line="360" w:lineRule="auto"/>
              <w:jc w:val="both"/>
            </w:pPr>
          </w:p>
        </w:tc>
        <w:tc>
          <w:tcPr>
            <w:tcW w:w="8080" w:type="dxa"/>
          </w:tcPr>
          <w:p w14:paraId="7C8FECD6" w14:textId="2AC3C424" w:rsidR="005D63E5" w:rsidRDefault="005D63E5" w:rsidP="00E65C75">
            <w:pPr>
              <w:spacing w:line="360" w:lineRule="auto"/>
              <w:jc w:val="both"/>
            </w:pPr>
            <w:r>
              <w:t xml:space="preserve">Background </w:t>
            </w:r>
          </w:p>
        </w:tc>
      </w:tr>
      <w:tr w:rsidR="005D63E5" w14:paraId="66BF2536" w14:textId="77777777" w:rsidTr="005D63E5">
        <w:tc>
          <w:tcPr>
            <w:tcW w:w="846" w:type="dxa"/>
          </w:tcPr>
          <w:p w14:paraId="6DA61551" w14:textId="6A8E9264" w:rsidR="005D63E5" w:rsidRDefault="005D63E5" w:rsidP="00E65C75">
            <w:pPr>
              <w:spacing w:line="360" w:lineRule="auto"/>
              <w:jc w:val="both"/>
            </w:pPr>
          </w:p>
        </w:tc>
        <w:tc>
          <w:tcPr>
            <w:tcW w:w="8080" w:type="dxa"/>
          </w:tcPr>
          <w:p w14:paraId="178CB8F1" w14:textId="07778746" w:rsidR="005D63E5" w:rsidRDefault="005D63E5" w:rsidP="00E65C75">
            <w:pPr>
              <w:spacing w:line="360" w:lineRule="auto"/>
              <w:jc w:val="both"/>
            </w:pPr>
            <w:r w:rsidRPr="003C2113">
              <w:t xml:space="preserve">Definition of </w:t>
            </w:r>
            <w:r>
              <w:t>Strategic Risk Governance and Banking Resilience</w:t>
            </w:r>
          </w:p>
        </w:tc>
      </w:tr>
      <w:tr w:rsidR="005D63E5" w14:paraId="13BB36DB" w14:textId="77777777" w:rsidTr="005D63E5">
        <w:tc>
          <w:tcPr>
            <w:tcW w:w="846" w:type="dxa"/>
          </w:tcPr>
          <w:p w14:paraId="4E036501" w14:textId="7A92F991" w:rsidR="005D63E5" w:rsidRDefault="005D63E5" w:rsidP="00E65C75">
            <w:pPr>
              <w:spacing w:line="360" w:lineRule="auto"/>
              <w:jc w:val="both"/>
            </w:pPr>
          </w:p>
        </w:tc>
        <w:tc>
          <w:tcPr>
            <w:tcW w:w="8080" w:type="dxa"/>
          </w:tcPr>
          <w:p w14:paraId="7346AFC7" w14:textId="38A8818D" w:rsidR="005D63E5" w:rsidRDefault="005D63E5" w:rsidP="00E65C75">
            <w:pPr>
              <w:spacing w:line="360" w:lineRule="auto"/>
              <w:jc w:val="both"/>
            </w:pPr>
            <w:r>
              <w:t>Research Problem</w:t>
            </w:r>
          </w:p>
        </w:tc>
      </w:tr>
      <w:tr w:rsidR="005D63E5" w14:paraId="451B7AF6" w14:textId="77777777" w:rsidTr="005D63E5">
        <w:tc>
          <w:tcPr>
            <w:tcW w:w="846" w:type="dxa"/>
          </w:tcPr>
          <w:p w14:paraId="10343DB6" w14:textId="737D1773" w:rsidR="005D63E5" w:rsidRDefault="005D63E5" w:rsidP="00E65C75">
            <w:pPr>
              <w:spacing w:line="360" w:lineRule="auto"/>
              <w:jc w:val="both"/>
            </w:pPr>
          </w:p>
        </w:tc>
        <w:tc>
          <w:tcPr>
            <w:tcW w:w="8080" w:type="dxa"/>
          </w:tcPr>
          <w:p w14:paraId="3F3033E7" w14:textId="267F9D9A" w:rsidR="005D63E5" w:rsidRDefault="005D63E5" w:rsidP="00E65C75">
            <w:pPr>
              <w:spacing w:line="360" w:lineRule="auto"/>
              <w:jc w:val="both"/>
            </w:pPr>
            <w:r>
              <w:t>Research Aim and Objectives</w:t>
            </w:r>
          </w:p>
        </w:tc>
      </w:tr>
      <w:tr w:rsidR="005D63E5" w14:paraId="1C534CD9" w14:textId="77777777" w:rsidTr="005D63E5">
        <w:tc>
          <w:tcPr>
            <w:tcW w:w="846" w:type="dxa"/>
          </w:tcPr>
          <w:p w14:paraId="4A490768" w14:textId="20F986A6" w:rsidR="005D63E5" w:rsidRDefault="005D63E5" w:rsidP="00E65C75">
            <w:pPr>
              <w:spacing w:line="360" w:lineRule="auto"/>
              <w:jc w:val="both"/>
            </w:pPr>
          </w:p>
        </w:tc>
        <w:tc>
          <w:tcPr>
            <w:tcW w:w="8080" w:type="dxa"/>
          </w:tcPr>
          <w:p w14:paraId="6EAE0B07" w14:textId="51891ECB" w:rsidR="005D63E5" w:rsidRPr="003C2113" w:rsidRDefault="005D63E5" w:rsidP="00E65C75">
            <w:pPr>
              <w:spacing w:line="360" w:lineRule="auto"/>
              <w:jc w:val="both"/>
            </w:pPr>
            <w:r>
              <w:t>Research Questions</w:t>
            </w:r>
          </w:p>
        </w:tc>
      </w:tr>
      <w:tr w:rsidR="005D63E5" w14:paraId="106DEAF9" w14:textId="77777777" w:rsidTr="005D63E5">
        <w:tc>
          <w:tcPr>
            <w:tcW w:w="846" w:type="dxa"/>
          </w:tcPr>
          <w:p w14:paraId="42B7D4FB" w14:textId="77777777" w:rsidR="005D63E5" w:rsidRDefault="005D63E5" w:rsidP="00E65C75">
            <w:pPr>
              <w:spacing w:line="360" w:lineRule="auto"/>
              <w:jc w:val="both"/>
            </w:pPr>
          </w:p>
        </w:tc>
        <w:tc>
          <w:tcPr>
            <w:tcW w:w="8080" w:type="dxa"/>
          </w:tcPr>
          <w:p w14:paraId="21728B36" w14:textId="509CE256" w:rsidR="005D63E5" w:rsidRPr="005D63E5" w:rsidRDefault="005D63E5" w:rsidP="00E65C75">
            <w:pPr>
              <w:spacing w:line="360" w:lineRule="auto"/>
              <w:jc w:val="both"/>
            </w:pPr>
            <w:r w:rsidRPr="005D63E5">
              <w:t>Research Hypothesis</w:t>
            </w:r>
          </w:p>
        </w:tc>
      </w:tr>
      <w:tr w:rsidR="005D63E5" w14:paraId="7F960D31" w14:textId="77777777" w:rsidTr="005D63E5">
        <w:tc>
          <w:tcPr>
            <w:tcW w:w="846" w:type="dxa"/>
          </w:tcPr>
          <w:p w14:paraId="63DBFE83" w14:textId="0F2C1F64" w:rsidR="005D63E5" w:rsidRDefault="005D63E5" w:rsidP="00E65C75">
            <w:pPr>
              <w:spacing w:line="360" w:lineRule="auto"/>
              <w:jc w:val="both"/>
            </w:pPr>
            <w:r>
              <w:t>2</w:t>
            </w:r>
          </w:p>
        </w:tc>
        <w:tc>
          <w:tcPr>
            <w:tcW w:w="8080" w:type="dxa"/>
          </w:tcPr>
          <w:p w14:paraId="09BFE04E" w14:textId="47656D84" w:rsidR="005D63E5" w:rsidRPr="003C2113" w:rsidRDefault="005D63E5" w:rsidP="00E65C75">
            <w:pPr>
              <w:spacing w:line="360" w:lineRule="auto"/>
              <w:jc w:val="both"/>
            </w:pPr>
            <w:r w:rsidRPr="00AB6E11">
              <w:rPr>
                <w:b/>
                <w:bCs/>
              </w:rPr>
              <w:t>Literature Review</w:t>
            </w:r>
          </w:p>
        </w:tc>
      </w:tr>
      <w:tr w:rsidR="005D63E5" w14:paraId="28418BA0" w14:textId="77777777" w:rsidTr="005D63E5">
        <w:tc>
          <w:tcPr>
            <w:tcW w:w="846" w:type="dxa"/>
          </w:tcPr>
          <w:p w14:paraId="3A85064A" w14:textId="40B34B5A" w:rsidR="005D63E5" w:rsidRDefault="005D63E5" w:rsidP="00E65C75">
            <w:pPr>
              <w:spacing w:line="360" w:lineRule="auto"/>
              <w:jc w:val="both"/>
            </w:pPr>
          </w:p>
        </w:tc>
        <w:tc>
          <w:tcPr>
            <w:tcW w:w="8080" w:type="dxa"/>
          </w:tcPr>
          <w:p w14:paraId="1C4F1788" w14:textId="5A2FDC10" w:rsidR="005D63E5" w:rsidRPr="003C2113" w:rsidRDefault="005D63E5" w:rsidP="00E65C75">
            <w:pPr>
              <w:spacing w:line="360" w:lineRule="auto"/>
              <w:jc w:val="both"/>
            </w:pPr>
            <w:r>
              <w:t>Research Gaps</w:t>
            </w:r>
          </w:p>
        </w:tc>
      </w:tr>
      <w:tr w:rsidR="005D63E5" w14:paraId="72DB295A" w14:textId="77777777" w:rsidTr="005D63E5">
        <w:tc>
          <w:tcPr>
            <w:tcW w:w="846" w:type="dxa"/>
          </w:tcPr>
          <w:p w14:paraId="759649BF" w14:textId="395E90AA" w:rsidR="005D63E5" w:rsidRDefault="005D63E5" w:rsidP="00E65C75">
            <w:pPr>
              <w:spacing w:line="360" w:lineRule="auto"/>
              <w:jc w:val="both"/>
            </w:pPr>
            <w:r>
              <w:t>3</w:t>
            </w:r>
          </w:p>
        </w:tc>
        <w:tc>
          <w:tcPr>
            <w:tcW w:w="8080" w:type="dxa"/>
          </w:tcPr>
          <w:p w14:paraId="21980F50" w14:textId="372FCEB6" w:rsidR="005D63E5" w:rsidRPr="00AB6E11" w:rsidRDefault="005D63E5" w:rsidP="00E65C75">
            <w:pPr>
              <w:spacing w:line="360" w:lineRule="auto"/>
              <w:jc w:val="both"/>
              <w:rPr>
                <w:b/>
                <w:bCs/>
              </w:rPr>
            </w:pPr>
            <w:r>
              <w:rPr>
                <w:b/>
                <w:bCs/>
              </w:rPr>
              <w:t xml:space="preserve">Theoretical Perspectives </w:t>
            </w:r>
          </w:p>
        </w:tc>
      </w:tr>
      <w:tr w:rsidR="005D63E5" w14:paraId="1383CBED" w14:textId="77777777" w:rsidTr="005D63E5">
        <w:tc>
          <w:tcPr>
            <w:tcW w:w="846" w:type="dxa"/>
          </w:tcPr>
          <w:p w14:paraId="5CCE5ADA" w14:textId="45E32BC5" w:rsidR="005D63E5" w:rsidRDefault="005D63E5" w:rsidP="00E65C75">
            <w:pPr>
              <w:spacing w:line="360" w:lineRule="auto"/>
              <w:jc w:val="both"/>
            </w:pPr>
          </w:p>
        </w:tc>
        <w:tc>
          <w:tcPr>
            <w:tcW w:w="8080" w:type="dxa"/>
          </w:tcPr>
          <w:p w14:paraId="73805275" w14:textId="3BF426DE" w:rsidR="005D63E5" w:rsidRPr="003C2113" w:rsidRDefault="008013D2" w:rsidP="00E65C75">
            <w:pPr>
              <w:spacing w:line="360" w:lineRule="auto"/>
              <w:jc w:val="both"/>
            </w:pPr>
            <w:r>
              <w:t>Enterprise Management Theory</w:t>
            </w:r>
          </w:p>
        </w:tc>
      </w:tr>
      <w:tr w:rsidR="005D63E5" w14:paraId="5B6770A8" w14:textId="77777777" w:rsidTr="005D63E5">
        <w:tc>
          <w:tcPr>
            <w:tcW w:w="846" w:type="dxa"/>
          </w:tcPr>
          <w:p w14:paraId="423300FD" w14:textId="3712F411" w:rsidR="005D63E5" w:rsidRDefault="005D63E5" w:rsidP="00E65C75">
            <w:pPr>
              <w:spacing w:line="360" w:lineRule="auto"/>
              <w:jc w:val="both"/>
            </w:pPr>
          </w:p>
        </w:tc>
        <w:tc>
          <w:tcPr>
            <w:tcW w:w="8080" w:type="dxa"/>
          </w:tcPr>
          <w:p w14:paraId="39B9C519" w14:textId="344493B4" w:rsidR="005D63E5" w:rsidRPr="003C2113" w:rsidRDefault="008013D2" w:rsidP="00E65C75">
            <w:pPr>
              <w:spacing w:line="360" w:lineRule="auto"/>
              <w:jc w:val="both"/>
            </w:pPr>
            <w:r>
              <w:t>Dynamic Capabilities Theory</w:t>
            </w:r>
          </w:p>
        </w:tc>
      </w:tr>
      <w:tr w:rsidR="005D63E5" w14:paraId="1838A8C7" w14:textId="77777777" w:rsidTr="005D63E5">
        <w:tc>
          <w:tcPr>
            <w:tcW w:w="846" w:type="dxa"/>
          </w:tcPr>
          <w:p w14:paraId="2A59B200" w14:textId="3B6312BC" w:rsidR="005D63E5" w:rsidRDefault="008013D2" w:rsidP="00E65C75">
            <w:pPr>
              <w:spacing w:line="360" w:lineRule="auto"/>
              <w:jc w:val="both"/>
            </w:pPr>
            <w:r>
              <w:t>4</w:t>
            </w:r>
          </w:p>
        </w:tc>
        <w:tc>
          <w:tcPr>
            <w:tcW w:w="8080" w:type="dxa"/>
          </w:tcPr>
          <w:p w14:paraId="4E0E8317" w14:textId="21ED67CF" w:rsidR="005D63E5" w:rsidRPr="003C2113" w:rsidRDefault="008013D2" w:rsidP="00E65C75">
            <w:pPr>
              <w:spacing w:line="360" w:lineRule="auto"/>
              <w:jc w:val="both"/>
            </w:pPr>
            <w:r>
              <w:t xml:space="preserve">Research Philosophy </w:t>
            </w:r>
          </w:p>
        </w:tc>
      </w:tr>
      <w:tr w:rsidR="005D63E5" w14:paraId="1A4016B3" w14:textId="77777777" w:rsidTr="005D63E5">
        <w:tc>
          <w:tcPr>
            <w:tcW w:w="846" w:type="dxa"/>
          </w:tcPr>
          <w:p w14:paraId="50AFA4C5" w14:textId="6E6BCF36" w:rsidR="005D63E5" w:rsidRDefault="008013D2" w:rsidP="00E65C75">
            <w:pPr>
              <w:spacing w:line="360" w:lineRule="auto"/>
              <w:jc w:val="both"/>
            </w:pPr>
            <w:r>
              <w:t>5</w:t>
            </w:r>
          </w:p>
        </w:tc>
        <w:tc>
          <w:tcPr>
            <w:tcW w:w="8080" w:type="dxa"/>
          </w:tcPr>
          <w:p w14:paraId="7D510888" w14:textId="0BA25A38" w:rsidR="005D63E5" w:rsidRPr="003C2113" w:rsidRDefault="008013D2" w:rsidP="00E65C75">
            <w:pPr>
              <w:spacing w:line="360" w:lineRule="auto"/>
              <w:jc w:val="both"/>
            </w:pPr>
            <w:r>
              <w:t>Research Paradigm</w:t>
            </w:r>
          </w:p>
        </w:tc>
      </w:tr>
      <w:tr w:rsidR="005D63E5" w14:paraId="1862F8F6" w14:textId="77777777" w:rsidTr="005D63E5">
        <w:tc>
          <w:tcPr>
            <w:tcW w:w="846" w:type="dxa"/>
          </w:tcPr>
          <w:p w14:paraId="27B395D0" w14:textId="1FAF4920" w:rsidR="005D63E5" w:rsidRDefault="005D63E5" w:rsidP="00E65C75">
            <w:pPr>
              <w:spacing w:line="360" w:lineRule="auto"/>
              <w:jc w:val="both"/>
            </w:pPr>
          </w:p>
        </w:tc>
        <w:tc>
          <w:tcPr>
            <w:tcW w:w="8080" w:type="dxa"/>
          </w:tcPr>
          <w:p w14:paraId="2F871CAA" w14:textId="627450A0" w:rsidR="005D63E5" w:rsidRPr="003C2113" w:rsidRDefault="008013D2" w:rsidP="00E65C75">
            <w:pPr>
              <w:spacing w:line="360" w:lineRule="auto"/>
              <w:jc w:val="both"/>
            </w:pPr>
            <w:r>
              <w:t>Kuhn’ Research Paradigm</w:t>
            </w:r>
          </w:p>
        </w:tc>
      </w:tr>
      <w:tr w:rsidR="005D63E5" w14:paraId="297F346E" w14:textId="77777777" w:rsidTr="005D63E5">
        <w:tc>
          <w:tcPr>
            <w:tcW w:w="846" w:type="dxa"/>
          </w:tcPr>
          <w:p w14:paraId="27F5B954" w14:textId="77777777" w:rsidR="005D63E5" w:rsidRDefault="005D63E5" w:rsidP="00E65C75">
            <w:pPr>
              <w:spacing w:line="360" w:lineRule="auto"/>
              <w:jc w:val="both"/>
            </w:pPr>
          </w:p>
        </w:tc>
        <w:tc>
          <w:tcPr>
            <w:tcW w:w="8080" w:type="dxa"/>
          </w:tcPr>
          <w:p w14:paraId="18D39BB1" w14:textId="4E995BE0" w:rsidR="005D63E5" w:rsidRPr="003C2113" w:rsidRDefault="008013D2" w:rsidP="00E65C75">
            <w:pPr>
              <w:spacing w:line="360" w:lineRule="auto"/>
              <w:jc w:val="both"/>
            </w:pPr>
            <w:r>
              <w:t>Kuhn Paradigm cycle</w:t>
            </w:r>
          </w:p>
        </w:tc>
      </w:tr>
      <w:tr w:rsidR="005D63E5" w14:paraId="75AA4A34" w14:textId="77777777" w:rsidTr="005D63E5">
        <w:tc>
          <w:tcPr>
            <w:tcW w:w="846" w:type="dxa"/>
          </w:tcPr>
          <w:p w14:paraId="100B2439" w14:textId="77777777" w:rsidR="005D63E5" w:rsidRDefault="005D63E5" w:rsidP="00E65C75">
            <w:pPr>
              <w:spacing w:line="360" w:lineRule="auto"/>
              <w:jc w:val="both"/>
            </w:pPr>
          </w:p>
        </w:tc>
        <w:tc>
          <w:tcPr>
            <w:tcW w:w="8080" w:type="dxa"/>
          </w:tcPr>
          <w:p w14:paraId="16796465" w14:textId="20EC176D" w:rsidR="005D63E5" w:rsidRPr="00AB6E11" w:rsidRDefault="008013D2" w:rsidP="00E65C75">
            <w:pPr>
              <w:spacing w:line="360" w:lineRule="auto"/>
              <w:jc w:val="both"/>
              <w:rPr>
                <w:b/>
                <w:bCs/>
              </w:rPr>
            </w:pPr>
            <w:r>
              <w:t>Criticism of Kuhn’s Paradigm</w:t>
            </w:r>
          </w:p>
        </w:tc>
      </w:tr>
      <w:tr w:rsidR="008013D2" w14:paraId="6118983D" w14:textId="77777777" w:rsidTr="005D63E5">
        <w:tc>
          <w:tcPr>
            <w:tcW w:w="846" w:type="dxa"/>
          </w:tcPr>
          <w:p w14:paraId="094CD2EF" w14:textId="079547E9" w:rsidR="008013D2" w:rsidRDefault="008013D2" w:rsidP="00E65C75">
            <w:pPr>
              <w:spacing w:line="360" w:lineRule="auto"/>
              <w:jc w:val="both"/>
            </w:pPr>
            <w:r>
              <w:t>6</w:t>
            </w:r>
          </w:p>
        </w:tc>
        <w:tc>
          <w:tcPr>
            <w:tcW w:w="8080" w:type="dxa"/>
          </w:tcPr>
          <w:p w14:paraId="6344CA7A" w14:textId="2E3F5EA2" w:rsidR="008013D2" w:rsidRDefault="008013D2" w:rsidP="00E65C75">
            <w:pPr>
              <w:spacing w:line="360" w:lineRule="auto"/>
              <w:jc w:val="both"/>
            </w:pPr>
            <w:r>
              <w:t>Conceptual Framework</w:t>
            </w:r>
          </w:p>
        </w:tc>
      </w:tr>
      <w:tr w:rsidR="008013D2" w14:paraId="065D4C29" w14:textId="77777777" w:rsidTr="005D63E5">
        <w:tc>
          <w:tcPr>
            <w:tcW w:w="846" w:type="dxa"/>
          </w:tcPr>
          <w:p w14:paraId="0DF24B29" w14:textId="443F85FA" w:rsidR="008013D2" w:rsidRDefault="008013D2" w:rsidP="00E65C75">
            <w:pPr>
              <w:spacing w:line="360" w:lineRule="auto"/>
              <w:jc w:val="both"/>
            </w:pPr>
            <w:r>
              <w:t>7</w:t>
            </w:r>
          </w:p>
        </w:tc>
        <w:tc>
          <w:tcPr>
            <w:tcW w:w="8080" w:type="dxa"/>
          </w:tcPr>
          <w:p w14:paraId="233A15A6" w14:textId="686D962D" w:rsidR="008013D2" w:rsidRDefault="008013D2" w:rsidP="00E65C75">
            <w:pPr>
              <w:spacing w:line="360" w:lineRule="auto"/>
              <w:jc w:val="both"/>
            </w:pPr>
            <w:r>
              <w:t>Research Methodology</w:t>
            </w:r>
          </w:p>
        </w:tc>
      </w:tr>
      <w:tr w:rsidR="008013D2" w14:paraId="61AA37FD" w14:textId="77777777" w:rsidTr="005D63E5">
        <w:tc>
          <w:tcPr>
            <w:tcW w:w="846" w:type="dxa"/>
          </w:tcPr>
          <w:p w14:paraId="17BC3529" w14:textId="22951AA8" w:rsidR="008013D2" w:rsidRDefault="008013D2" w:rsidP="00E65C75">
            <w:pPr>
              <w:spacing w:line="360" w:lineRule="auto"/>
              <w:jc w:val="both"/>
            </w:pPr>
            <w:r>
              <w:t>8</w:t>
            </w:r>
          </w:p>
        </w:tc>
        <w:tc>
          <w:tcPr>
            <w:tcW w:w="8080" w:type="dxa"/>
          </w:tcPr>
          <w:p w14:paraId="2A503266" w14:textId="682D4E09" w:rsidR="008013D2" w:rsidRDefault="008013D2" w:rsidP="00E65C75">
            <w:pPr>
              <w:spacing w:line="360" w:lineRule="auto"/>
              <w:jc w:val="both"/>
            </w:pPr>
            <w:r>
              <w:t xml:space="preserve">Challenges and Limitations </w:t>
            </w:r>
          </w:p>
        </w:tc>
      </w:tr>
      <w:tr w:rsidR="008013D2" w14:paraId="6D530E68" w14:textId="77777777" w:rsidTr="005D63E5">
        <w:tc>
          <w:tcPr>
            <w:tcW w:w="846" w:type="dxa"/>
          </w:tcPr>
          <w:p w14:paraId="31D7DB1F" w14:textId="4D2C6431" w:rsidR="008013D2" w:rsidRDefault="008013D2" w:rsidP="00E65C75">
            <w:pPr>
              <w:spacing w:line="360" w:lineRule="auto"/>
              <w:jc w:val="both"/>
            </w:pPr>
            <w:r>
              <w:t>9</w:t>
            </w:r>
          </w:p>
        </w:tc>
        <w:tc>
          <w:tcPr>
            <w:tcW w:w="8080" w:type="dxa"/>
          </w:tcPr>
          <w:p w14:paraId="40FE0D5A" w14:textId="5F4ECF69" w:rsidR="008013D2" w:rsidRDefault="008013D2" w:rsidP="00E65C75">
            <w:pPr>
              <w:spacing w:line="360" w:lineRule="auto"/>
              <w:jc w:val="both"/>
            </w:pPr>
            <w:r>
              <w:t>Conclusion</w:t>
            </w:r>
          </w:p>
        </w:tc>
      </w:tr>
      <w:tr w:rsidR="008013D2" w14:paraId="434560AC" w14:textId="77777777" w:rsidTr="005D63E5">
        <w:tc>
          <w:tcPr>
            <w:tcW w:w="846" w:type="dxa"/>
          </w:tcPr>
          <w:p w14:paraId="72138AC6" w14:textId="6872ED23" w:rsidR="008013D2" w:rsidRDefault="008013D2" w:rsidP="00E65C75">
            <w:pPr>
              <w:spacing w:line="360" w:lineRule="auto"/>
              <w:jc w:val="both"/>
            </w:pPr>
            <w:r>
              <w:t>10</w:t>
            </w:r>
          </w:p>
        </w:tc>
        <w:tc>
          <w:tcPr>
            <w:tcW w:w="8080" w:type="dxa"/>
          </w:tcPr>
          <w:p w14:paraId="72BFCDC1" w14:textId="07C9FA28" w:rsidR="008013D2" w:rsidRDefault="008013D2" w:rsidP="00E65C75">
            <w:pPr>
              <w:spacing w:line="360" w:lineRule="auto"/>
              <w:jc w:val="both"/>
            </w:pPr>
            <w:r>
              <w:t>References</w:t>
            </w:r>
          </w:p>
        </w:tc>
      </w:tr>
    </w:tbl>
    <w:p w14:paraId="4404279A" w14:textId="026CE886" w:rsidR="002C2843" w:rsidRPr="00D7266D" w:rsidRDefault="005D63E5" w:rsidP="00A679AB">
      <w:pPr>
        <w:spacing w:line="360" w:lineRule="auto"/>
        <w:jc w:val="both"/>
      </w:pPr>
      <w:r w:rsidRPr="003C2113">
        <w:br w:type="page"/>
      </w:r>
    </w:p>
    <w:p w14:paraId="44381C4C" w14:textId="32A1091E" w:rsidR="002C2843" w:rsidRPr="008013D2" w:rsidRDefault="009D34CA" w:rsidP="00D7266D">
      <w:pPr>
        <w:pStyle w:val="Heading3"/>
        <w:spacing w:before="100" w:beforeAutospacing="1" w:after="100" w:afterAutospacing="1"/>
        <w:jc w:val="both"/>
        <w:rPr>
          <w:rFonts w:ascii="Times New Roman" w:hAnsi="Times New Roman" w:cs="Times New Roman"/>
          <w:b w:val="0"/>
          <w:bCs w:val="0"/>
          <w:color w:val="000000"/>
        </w:rPr>
      </w:pPr>
      <w:r w:rsidRPr="008013D2">
        <w:rPr>
          <w:rStyle w:val="Strong"/>
          <w:rFonts w:ascii="Times New Roman" w:hAnsi="Times New Roman" w:cs="Times New Roman"/>
          <w:b/>
          <w:bCs/>
          <w:color w:val="000000"/>
        </w:rPr>
        <w:lastRenderedPageBreak/>
        <w:t>Abstract</w:t>
      </w:r>
    </w:p>
    <w:p w14:paraId="41033573" w14:textId="085502ED" w:rsidR="002C2843" w:rsidRPr="00D7266D" w:rsidRDefault="002C2843" w:rsidP="008013D2">
      <w:pPr>
        <w:pStyle w:val="NormalWeb"/>
        <w:spacing w:line="360" w:lineRule="auto"/>
        <w:jc w:val="both"/>
        <w:rPr>
          <w:color w:val="000000"/>
        </w:rPr>
      </w:pPr>
      <w:r w:rsidRPr="00D7266D">
        <w:rPr>
          <w:color w:val="000000"/>
        </w:rPr>
        <w:br/>
        <w:t xml:space="preserve">In an increasingly volatile financial environment, the resilience of banking institutions has become a critical concern, particularly in emerging economies like Bangladesh. Strategic risk governance (SRG) is recognized as a key mechanism for strengthening banks’ ability to manage risks and sustain </w:t>
      </w:r>
      <w:r w:rsidR="00A51A1D" w:rsidRPr="00D7266D">
        <w:rPr>
          <w:color w:val="000000"/>
        </w:rPr>
        <w:t>stability. This</w:t>
      </w:r>
      <w:r w:rsidRPr="00D7266D">
        <w:rPr>
          <w:color w:val="000000"/>
        </w:rPr>
        <w:t xml:space="preserve"> study aims to (1) examine the impact of strategic risk governance on banking resilience, (2) assess the mediating role of risk management effectiveness, and (3) explore the influence of institutional and contextual factors on this relationship.</w:t>
      </w:r>
      <w:r w:rsidR="00A51A1D" w:rsidRPr="00D7266D">
        <w:rPr>
          <w:color w:val="000000"/>
        </w:rPr>
        <w:t xml:space="preserve"> </w:t>
      </w:r>
      <w:r w:rsidRPr="00D7266D">
        <w:rPr>
          <w:color w:val="000000"/>
        </w:rPr>
        <w:t xml:space="preserve">Adopting a pragmatic research paradigm, the study employs a mixed-methods approach. Quantitatively, secondary data from commercial banks in Bangladesh will be </w:t>
      </w:r>
      <w:r w:rsidR="00A51A1D" w:rsidRPr="00D7266D">
        <w:rPr>
          <w:color w:val="000000"/>
        </w:rPr>
        <w:t>analysed</w:t>
      </w:r>
      <w:r w:rsidRPr="00D7266D">
        <w:rPr>
          <w:color w:val="000000"/>
        </w:rPr>
        <w:t xml:space="preserve"> using financial indicators such as capital adequacy, liquidity ratios, and non-performing loans. Regression analysis will be used to test hypothesized relationships. Qualitatively, semi-structured interviews with banking professionals and regulators will provide contextual insights into governance practices and challenges.</w:t>
      </w:r>
      <w:r w:rsidR="00A51A1D" w:rsidRPr="00D7266D">
        <w:rPr>
          <w:color w:val="000000"/>
        </w:rPr>
        <w:t xml:space="preserve"> </w:t>
      </w:r>
      <w:r w:rsidRPr="00D7266D">
        <w:rPr>
          <w:color w:val="000000"/>
        </w:rPr>
        <w:t xml:space="preserve">The study expects to find a positive relationship between strategic risk governance and banking resilience, with risk management effectiveness acting as a significant mediator. Institutional and macroeconomic factors are anticipated to moderate these </w:t>
      </w:r>
      <w:r w:rsidR="00A51A1D" w:rsidRPr="00D7266D">
        <w:rPr>
          <w:color w:val="000000"/>
        </w:rPr>
        <w:t>relationships. The</w:t>
      </w:r>
      <w:r w:rsidRPr="00D7266D">
        <w:rPr>
          <w:color w:val="000000"/>
        </w:rPr>
        <w:t xml:space="preserve"> findings are expected to contribute to academic literature and inform policy by offering practical recommendations for enhancing governance frameworks and strengthening banking resilience in emerging economies.</w:t>
      </w:r>
    </w:p>
    <w:p w14:paraId="33266681" w14:textId="093B7F5B" w:rsidR="002C2843" w:rsidRPr="00D7266D" w:rsidRDefault="008013D2" w:rsidP="008013D2">
      <w:pPr>
        <w:pStyle w:val="NormalWeb"/>
        <w:spacing w:line="360" w:lineRule="auto"/>
        <w:jc w:val="both"/>
        <w:rPr>
          <w:color w:val="000000"/>
        </w:rPr>
      </w:pPr>
      <w:r w:rsidRPr="008013D2">
        <w:rPr>
          <w:rStyle w:val="apple-converted-space"/>
          <w:b/>
          <w:bCs/>
          <w:color w:val="000000"/>
        </w:rPr>
        <w:t>Keywords:</w:t>
      </w:r>
      <w:r w:rsidR="002C2843" w:rsidRPr="00D7266D">
        <w:rPr>
          <w:rStyle w:val="apple-converted-space"/>
          <w:color w:val="000000"/>
        </w:rPr>
        <w:t> </w:t>
      </w:r>
      <w:r w:rsidR="002C2843" w:rsidRPr="00D7266D">
        <w:rPr>
          <w:color w:val="000000"/>
        </w:rPr>
        <w:t>Strategic Risk Governance, Banking Resilience, Risk Management, Commercial Banks, Bangladesh</w:t>
      </w:r>
      <w:r w:rsidR="00A51A1D" w:rsidRPr="00D7266D">
        <w:rPr>
          <w:color w:val="000000"/>
        </w:rPr>
        <w:t>.</w:t>
      </w:r>
    </w:p>
    <w:p w14:paraId="78C59CAB" w14:textId="77777777" w:rsidR="00BF169F" w:rsidRPr="00D7266D" w:rsidRDefault="00000000" w:rsidP="00D7266D">
      <w:pPr>
        <w:spacing w:before="100" w:beforeAutospacing="1" w:after="100" w:afterAutospacing="1"/>
        <w:jc w:val="both"/>
      </w:pPr>
      <w:r w:rsidRPr="00D7266D">
        <w:br w:type="page"/>
      </w:r>
    </w:p>
    <w:p w14:paraId="50184761" w14:textId="25D07804" w:rsidR="00BF169F" w:rsidRPr="008013D2" w:rsidRDefault="00000000" w:rsidP="0050489E">
      <w:pPr>
        <w:pStyle w:val="Heading1"/>
        <w:numPr>
          <w:ilvl w:val="0"/>
          <w:numId w:val="33"/>
        </w:numPr>
        <w:spacing w:before="100" w:beforeAutospacing="1" w:after="100" w:afterAutospacing="1"/>
        <w:jc w:val="both"/>
        <w:rPr>
          <w:rFonts w:ascii="Times New Roman" w:hAnsi="Times New Roman" w:cs="Times New Roman"/>
          <w:color w:val="auto"/>
          <w:sz w:val="24"/>
          <w:szCs w:val="24"/>
        </w:rPr>
      </w:pPr>
      <w:r w:rsidRPr="008013D2">
        <w:rPr>
          <w:rFonts w:ascii="Times New Roman" w:hAnsi="Times New Roman" w:cs="Times New Roman"/>
          <w:color w:val="auto"/>
          <w:sz w:val="24"/>
          <w:szCs w:val="24"/>
        </w:rPr>
        <w:lastRenderedPageBreak/>
        <w:t>Introduction</w:t>
      </w:r>
    </w:p>
    <w:p w14:paraId="7AF1B598" w14:textId="39004C05" w:rsidR="0050489E" w:rsidRPr="0050489E" w:rsidRDefault="0050489E" w:rsidP="0050489E">
      <w:r>
        <w:t xml:space="preserve">1.1 Background </w:t>
      </w:r>
    </w:p>
    <w:p w14:paraId="4D5EB56B" w14:textId="69EFC929" w:rsidR="008F6CF8" w:rsidRPr="00D7266D" w:rsidRDefault="008F6CF8" w:rsidP="008013D2">
      <w:pPr>
        <w:pStyle w:val="NormalWeb"/>
        <w:spacing w:line="360" w:lineRule="auto"/>
        <w:jc w:val="both"/>
        <w:rPr>
          <w:color w:val="000000"/>
        </w:rPr>
      </w:pPr>
      <w:r w:rsidRPr="00D7266D">
        <w:rPr>
          <w:color w:val="000000"/>
        </w:rPr>
        <w:t xml:space="preserve">This </w:t>
      </w:r>
      <w:r w:rsidR="00A51A1D" w:rsidRPr="00D7266D">
        <w:rPr>
          <w:color w:val="000000"/>
        </w:rPr>
        <w:t xml:space="preserve">proposed study </w:t>
      </w:r>
      <w:r w:rsidRPr="00D7266D">
        <w:rPr>
          <w:color w:val="000000"/>
        </w:rPr>
        <w:t xml:space="preserve">presents a comprehensive and critically developed account of the evolution of a research proposal examining the impact of strategic risk governance on banking resilience within commercial banks in Bangladesh. Strategic risk governance extends beyond traditional risk management by integrating risk oversight into corporate governance structures, decision-making processes, and long-term strategic planning, thereby shaping how </w:t>
      </w:r>
      <w:r w:rsidR="00A51A1D" w:rsidRPr="00D7266D">
        <w:rPr>
          <w:color w:val="000000"/>
        </w:rPr>
        <w:t>organizations</w:t>
      </w:r>
      <w:r w:rsidRPr="00D7266D">
        <w:rPr>
          <w:color w:val="000000"/>
        </w:rPr>
        <w:t xml:space="preserve"> anticipate and respond to uncertainty (Frigo &amp; Anderson, 2011; Kaplan &amp; Mikes, 2012).</w:t>
      </w:r>
    </w:p>
    <w:p w14:paraId="45629E04" w14:textId="77777777" w:rsidR="008F6CF8" w:rsidRPr="00D7266D" w:rsidRDefault="008F6CF8" w:rsidP="008013D2">
      <w:pPr>
        <w:pStyle w:val="NormalWeb"/>
        <w:spacing w:line="360" w:lineRule="auto"/>
        <w:jc w:val="both"/>
        <w:rPr>
          <w:color w:val="000000"/>
        </w:rPr>
      </w:pPr>
      <w:r w:rsidRPr="00D7266D">
        <w:rPr>
          <w:color w:val="000000"/>
        </w:rPr>
        <w:t>The global financial system has experienced significant instability over recent decades, particularly following events such as the 2008 financial crisis, which exposed critical weaknesses in risk governance frameworks within banking institutions (Basel Committee on Banking Supervision, 2011). These disruptions have underscored the necessity for banks to not only manage risks effectively but also to develop resilience—the capacity to absorb shocks, adapt to changing conditions, and sustain operations during periods of crisis (Haldane, 2009; Barroso et al., 2017).</w:t>
      </w:r>
    </w:p>
    <w:p w14:paraId="7354D89D" w14:textId="77777777" w:rsidR="008F6CF8" w:rsidRPr="00D7266D" w:rsidRDefault="008F6CF8" w:rsidP="008013D2">
      <w:pPr>
        <w:pStyle w:val="NormalWeb"/>
        <w:spacing w:line="360" w:lineRule="auto"/>
        <w:jc w:val="both"/>
        <w:rPr>
          <w:color w:val="000000"/>
        </w:rPr>
      </w:pPr>
      <w:r w:rsidRPr="00D7266D">
        <w:rPr>
          <w:color w:val="000000"/>
        </w:rPr>
        <w:t>In emerging economies such as</w:t>
      </w:r>
      <w:r w:rsidRPr="00D7266D">
        <w:rPr>
          <w:rStyle w:val="apple-converted-space"/>
          <w:color w:val="000000"/>
        </w:rPr>
        <w:t> </w:t>
      </w:r>
      <w:r w:rsidRPr="00D7266D">
        <w:rPr>
          <w:rStyle w:val="whitespace-normal"/>
          <w:color w:val="000000"/>
        </w:rPr>
        <w:t>Bangladesh</w:t>
      </w:r>
      <w:r w:rsidRPr="00D7266D">
        <w:rPr>
          <w:color w:val="000000"/>
        </w:rPr>
        <w:t>, the banking sector plays a pivotal role in supporting economic growth and financial inclusion. However, it is also characterised by structural vulnerabilities, including regulatory limitations, governance inefficiencies, and exposure to both domestic and global financial risks (Uddin &amp; Suzuki, 2011). These challenges make the study of strategic risk governance particularly significant, as effective governance mechanisms can enhance transparency, accountability, and institutional resilience.</w:t>
      </w:r>
    </w:p>
    <w:p w14:paraId="19070516" w14:textId="77777777" w:rsidR="008F6CF8" w:rsidRPr="00D7266D" w:rsidRDefault="008F6CF8" w:rsidP="008013D2">
      <w:pPr>
        <w:pStyle w:val="NormalWeb"/>
        <w:spacing w:line="360" w:lineRule="auto"/>
        <w:jc w:val="both"/>
        <w:rPr>
          <w:color w:val="000000"/>
        </w:rPr>
      </w:pPr>
      <w:r w:rsidRPr="00D7266D">
        <w:rPr>
          <w:color w:val="000000"/>
        </w:rPr>
        <w:t xml:space="preserve">The concept of banking resilience has gained increasing attention in academic and policy discourse, often linked to capital adequacy, liquidity management, and risk oversight frameworks (Basel Committee on Banking Supervision, 2010). However, there remains a notable gap in understanding how strategic-level governance of risk—rather than purely operational risk management—contributes to resilience, particularly in developing country </w:t>
      </w:r>
      <w:r w:rsidRPr="00D7266D">
        <w:rPr>
          <w:color w:val="000000"/>
        </w:rPr>
        <w:lastRenderedPageBreak/>
        <w:t>contexts. This research seeks to address this gap by focusing on the governance dimension of risk and its influence on resilience outcomes in Bangladeshi commercial banks.</w:t>
      </w:r>
    </w:p>
    <w:p w14:paraId="3D5ACED2" w14:textId="7269870E" w:rsidR="008F6CF8" w:rsidRPr="00D7266D" w:rsidRDefault="008F6CF8" w:rsidP="008013D2">
      <w:pPr>
        <w:pStyle w:val="NormalWeb"/>
        <w:spacing w:line="360" w:lineRule="auto"/>
        <w:jc w:val="both"/>
        <w:rPr>
          <w:color w:val="000000"/>
        </w:rPr>
      </w:pPr>
      <w:r w:rsidRPr="00D7266D">
        <w:rPr>
          <w:color w:val="000000"/>
        </w:rPr>
        <w:t xml:space="preserve">Methodologically, this study adopts a mixed-methods approach, combining both quantitative and qualitative research techniques to provide a comprehensive analysis of the research problem. The quantitative component enables the examination of relationships between strategic risk governance practices and measurable indicators of banking resilience through statistical analysis (Creswell, 2014). In contrast, the qualitative component allows for an in-depth exploration of managerial perspectives, </w:t>
      </w:r>
      <w:r w:rsidR="00A51A1D" w:rsidRPr="00D7266D">
        <w:rPr>
          <w:color w:val="000000"/>
        </w:rPr>
        <w:t>organizational</w:t>
      </w:r>
      <w:r w:rsidRPr="00D7266D">
        <w:rPr>
          <w:color w:val="000000"/>
        </w:rPr>
        <w:t xml:space="preserve"> practices, and contextual factors that influence the effectiveness of risk governance (Saunders et al., 2019). The integration of these approaches reflects a pragmatic research philosophy, enabling a more holistic understanding of complex organisational phenomena.</w:t>
      </w:r>
    </w:p>
    <w:p w14:paraId="5FBD201C" w14:textId="77777777" w:rsidR="008F6CF8" w:rsidRDefault="008F6CF8" w:rsidP="008013D2">
      <w:pPr>
        <w:pStyle w:val="NormalWeb"/>
        <w:spacing w:line="360" w:lineRule="auto"/>
        <w:jc w:val="both"/>
        <w:rPr>
          <w:color w:val="000000"/>
        </w:rPr>
      </w:pPr>
      <w:r w:rsidRPr="00D7266D">
        <w:rPr>
          <w:color w:val="000000"/>
        </w:rPr>
        <w:t>This portfolio documents the progression of the research from an initial broad interest in risk management to a more focused investigation of strategic risk governance and resilience. Through engagement with academic literature, feedback, and critical reflection, the research has evolved into a clearly defined and methodologically robust study. In doing so, it contributes to existing knowledge while addressing a significant empirical gap within the context of Bangladesh’s banking sector.</w:t>
      </w:r>
    </w:p>
    <w:p w14:paraId="6046710E" w14:textId="7FB33F24" w:rsidR="008013D2" w:rsidRPr="008013D2" w:rsidRDefault="0050489E" w:rsidP="008013D2">
      <w:pPr>
        <w:pStyle w:val="NormalWeb"/>
        <w:numPr>
          <w:ilvl w:val="1"/>
          <w:numId w:val="33"/>
        </w:numPr>
        <w:spacing w:line="360" w:lineRule="auto"/>
        <w:jc w:val="both"/>
        <w:rPr>
          <w:b/>
          <w:bCs/>
          <w:color w:val="000000"/>
        </w:rPr>
      </w:pPr>
      <w:r w:rsidRPr="008013D2">
        <w:rPr>
          <w:b/>
          <w:bCs/>
          <w:color w:val="000000"/>
        </w:rPr>
        <w:t xml:space="preserve">Definition of Strategic Risk Governance and Banking </w:t>
      </w:r>
      <w:r w:rsidR="0030725F" w:rsidRPr="008013D2">
        <w:rPr>
          <w:b/>
          <w:bCs/>
          <w:color w:val="000000"/>
        </w:rPr>
        <w:t>Resilience:</w:t>
      </w:r>
    </w:p>
    <w:p w14:paraId="11A8F781" w14:textId="760D0543" w:rsidR="00791333" w:rsidRPr="008013D2" w:rsidRDefault="00791333" w:rsidP="008013D2">
      <w:pPr>
        <w:pStyle w:val="ListParagraph"/>
        <w:numPr>
          <w:ilvl w:val="2"/>
          <w:numId w:val="33"/>
        </w:numPr>
        <w:spacing w:before="100" w:beforeAutospacing="1" w:after="100" w:afterAutospacing="1" w:line="360" w:lineRule="auto"/>
        <w:outlineLvl w:val="1"/>
        <w:rPr>
          <w:color w:val="000000"/>
        </w:rPr>
      </w:pPr>
      <w:r w:rsidRPr="008013D2">
        <w:rPr>
          <w:color w:val="000000"/>
        </w:rPr>
        <w:t xml:space="preserve"> </w:t>
      </w:r>
      <w:r w:rsidRPr="008013D2">
        <w:rPr>
          <w:color w:val="000000"/>
        </w:rPr>
        <w:t>Definition of Strategic Risk Governance</w:t>
      </w:r>
    </w:p>
    <w:p w14:paraId="1A2BDBEB" w14:textId="77777777" w:rsidR="00791333" w:rsidRPr="00791333" w:rsidRDefault="00791333" w:rsidP="003A28AB">
      <w:pPr>
        <w:pStyle w:val="ListParagraph"/>
        <w:spacing w:before="100" w:beforeAutospacing="1" w:after="100" w:afterAutospacing="1" w:line="360" w:lineRule="auto"/>
        <w:jc w:val="both"/>
        <w:rPr>
          <w:color w:val="000000"/>
        </w:rPr>
      </w:pPr>
      <w:r w:rsidRPr="00791333">
        <w:rPr>
          <w:b/>
          <w:bCs/>
          <w:color w:val="000000"/>
        </w:rPr>
        <w:t>Strategic risk governance</w:t>
      </w:r>
      <w:r w:rsidRPr="00791333">
        <w:rPr>
          <w:color w:val="000000"/>
        </w:rPr>
        <w:t> refers to the system of structures, processes, and controls through which an organisation’s board and senior management identify, assess, monitor, and manage risks that may affect the achievement of long-term strategic objectives. It integrates risk oversight into corporate governance to ensure that strategic decisions align with the organisation’s risk appetite and long-term sustainability, particularly in highly regulated sectors such as banking.</w:t>
      </w:r>
    </w:p>
    <w:p w14:paraId="1FA087DC" w14:textId="77777777" w:rsidR="00791333" w:rsidRDefault="00791333" w:rsidP="003A28AB">
      <w:pPr>
        <w:pStyle w:val="ListParagraph"/>
        <w:spacing w:before="100" w:beforeAutospacing="1" w:after="100" w:afterAutospacing="1" w:line="360" w:lineRule="auto"/>
        <w:jc w:val="both"/>
        <w:rPr>
          <w:color w:val="000000"/>
        </w:rPr>
      </w:pPr>
      <w:r w:rsidRPr="00791333">
        <w:rPr>
          <w:color w:val="000000"/>
        </w:rPr>
        <w:t>In banking literature, strategic risk governance is often viewed as part of enterprise risk governance, where boards ensure that risk considerations are embedded into strategy-setting, performance monitoring, and decision-making processes (Basel Committee on Banking Supervision, 2015; McConnell, 2012).</w:t>
      </w:r>
    </w:p>
    <w:p w14:paraId="4036997C" w14:textId="31AC6ABB" w:rsidR="00791333" w:rsidRPr="00791333" w:rsidRDefault="00791333" w:rsidP="003A28AB">
      <w:pPr>
        <w:pStyle w:val="ListParagraph"/>
        <w:numPr>
          <w:ilvl w:val="2"/>
          <w:numId w:val="33"/>
        </w:numPr>
        <w:spacing w:before="100" w:beforeAutospacing="1" w:after="100" w:afterAutospacing="1" w:line="360" w:lineRule="auto"/>
        <w:rPr>
          <w:b/>
          <w:bCs/>
          <w:color w:val="000000"/>
        </w:rPr>
      </w:pPr>
      <w:r w:rsidRPr="00791333">
        <w:rPr>
          <w:b/>
          <w:bCs/>
          <w:color w:val="000000"/>
        </w:rPr>
        <w:lastRenderedPageBreak/>
        <w:t xml:space="preserve">Definition of Banking Resilience </w:t>
      </w:r>
    </w:p>
    <w:p w14:paraId="55233311" w14:textId="77777777" w:rsidR="00791333" w:rsidRPr="00791333" w:rsidRDefault="00791333" w:rsidP="003A28AB">
      <w:pPr>
        <w:pStyle w:val="ListParagraph"/>
        <w:spacing w:before="100" w:beforeAutospacing="1" w:after="100" w:afterAutospacing="1" w:line="360" w:lineRule="auto"/>
        <w:jc w:val="both"/>
        <w:rPr>
          <w:color w:val="000000"/>
        </w:rPr>
      </w:pPr>
      <w:r w:rsidRPr="00791333">
        <w:rPr>
          <w:b/>
          <w:bCs/>
          <w:color w:val="000000"/>
        </w:rPr>
        <w:t>Banking resilience</w:t>
      </w:r>
      <w:r w:rsidRPr="00791333">
        <w:rPr>
          <w:color w:val="000000"/>
        </w:rPr>
        <w:t> refers to the ability of a bank to withstand financial shocks, operational disruptions, and economic stress while continuing to perform its critical functions, such as lending, payments, and financial intermediation. It reflects how well a bank can absorb losses, maintain adequate capital and liquidity, and recover quickly from crises without threatening its stability or the wider financial system.</w:t>
      </w:r>
    </w:p>
    <w:p w14:paraId="426AFE06" w14:textId="77777777" w:rsidR="00791333" w:rsidRPr="00791333" w:rsidRDefault="00791333" w:rsidP="003A28AB">
      <w:pPr>
        <w:pStyle w:val="ListParagraph"/>
        <w:spacing w:before="100" w:beforeAutospacing="1" w:after="100" w:afterAutospacing="1" w:line="360" w:lineRule="auto"/>
        <w:jc w:val="both"/>
        <w:rPr>
          <w:color w:val="000000"/>
        </w:rPr>
      </w:pPr>
      <w:r w:rsidRPr="00791333">
        <w:rPr>
          <w:color w:val="000000"/>
        </w:rPr>
        <w:t>In regulatory and academic literature, banking resilience is closely linked to strong capital adequacy, effective liquidity management, sound risk governance, and robust supervision frameworks that ensure banks remain stable during periods of uncertainty (Basel Committee on Banking Supervision, 2025; McConnell, 2012).</w:t>
      </w:r>
    </w:p>
    <w:p w14:paraId="3A58BCD0" w14:textId="77777777" w:rsidR="00791333" w:rsidRPr="00791333" w:rsidRDefault="00791333" w:rsidP="00791333">
      <w:pPr>
        <w:pStyle w:val="ListParagraph"/>
        <w:spacing w:before="100" w:beforeAutospacing="1" w:after="100" w:afterAutospacing="1"/>
        <w:ind w:left="1080"/>
        <w:rPr>
          <w:color w:val="000000"/>
        </w:rPr>
      </w:pPr>
    </w:p>
    <w:p w14:paraId="06B9E82A" w14:textId="2B775B1A" w:rsidR="0030725F" w:rsidRPr="003A28AB" w:rsidRDefault="003A28AB" w:rsidP="003A28AB">
      <w:pPr>
        <w:pStyle w:val="Heading1"/>
        <w:spacing w:before="100" w:beforeAutospacing="1" w:after="100" w:afterAutospacing="1" w:line="360" w:lineRule="auto"/>
        <w:jc w:val="both"/>
        <w:rPr>
          <w:rFonts w:ascii="Times New Roman" w:hAnsi="Times New Roman" w:cs="Times New Roman"/>
          <w:color w:val="auto"/>
          <w:sz w:val="24"/>
          <w:szCs w:val="24"/>
        </w:rPr>
      </w:pPr>
      <w:r w:rsidRPr="003A28AB">
        <w:rPr>
          <w:rFonts w:ascii="Times New Roman" w:hAnsi="Times New Roman" w:cs="Times New Roman"/>
          <w:color w:val="auto"/>
          <w:sz w:val="24"/>
          <w:szCs w:val="24"/>
        </w:rPr>
        <w:t>1.3 Research</w:t>
      </w:r>
      <w:r w:rsidR="0030725F" w:rsidRPr="003A28AB">
        <w:rPr>
          <w:rFonts w:ascii="Times New Roman" w:hAnsi="Times New Roman" w:cs="Times New Roman"/>
          <w:color w:val="auto"/>
          <w:sz w:val="24"/>
          <w:szCs w:val="24"/>
        </w:rPr>
        <w:t xml:space="preserve"> Problem</w:t>
      </w:r>
    </w:p>
    <w:p w14:paraId="250C41A4" w14:textId="0D9DF887" w:rsidR="0030725F" w:rsidRPr="00D7266D" w:rsidRDefault="0030725F" w:rsidP="003A28AB">
      <w:pPr>
        <w:spacing w:before="100" w:beforeAutospacing="1" w:after="100" w:afterAutospacing="1" w:line="360" w:lineRule="auto"/>
        <w:jc w:val="both"/>
        <w:rPr>
          <w:color w:val="000000"/>
        </w:rPr>
      </w:pPr>
      <w:r w:rsidRPr="00D7266D">
        <w:rPr>
          <w:color w:val="000000"/>
        </w:rPr>
        <w:t xml:space="preserve">Despite growing interest in Strategic Risk Governance (SRG) and organizational resilience, there remains a significant gap in the literature regarding how these concepts interact in practice. </w:t>
      </w:r>
      <w:r w:rsidR="003A28AB" w:rsidRPr="00D7266D">
        <w:rPr>
          <w:color w:val="000000"/>
        </w:rPr>
        <w:t>There</w:t>
      </w:r>
      <w:r w:rsidRPr="00D7266D">
        <w:rPr>
          <w:color w:val="000000"/>
        </w:rPr>
        <w:t xml:space="preserve"> is limited empirical evidence examining the relationship between SRG and resilience outcomes, as well as a lack of clarity on the underlying mechanisms through which SRG influences resilience. Existing studies also fail to provide an integrated analytical framework that captures the complexity of this relationship. Furthermore, current approaches to measuring strategic risk governance are often inconsistent and inadequate, limiting robust assessment and comparison across contexts. In addition, little is known about how contextual factors shape or moderate the effectiveness of SRG in enhancing resilience. These gaps collectively highlight the need for a more comprehensive and systematic investigation into the SRG–resilience relationship.</w:t>
      </w:r>
    </w:p>
    <w:p w14:paraId="2D9A22A4" w14:textId="77777777" w:rsidR="00791333" w:rsidRDefault="00791333" w:rsidP="003A28AB">
      <w:pPr>
        <w:pStyle w:val="NormalWeb"/>
        <w:spacing w:line="360" w:lineRule="auto"/>
        <w:ind w:left="720"/>
        <w:jc w:val="both"/>
        <w:rPr>
          <w:color w:val="000000"/>
        </w:rPr>
      </w:pPr>
    </w:p>
    <w:p w14:paraId="6ED6CE23" w14:textId="77777777" w:rsidR="00A679AB" w:rsidRPr="00D7266D" w:rsidRDefault="00A679AB" w:rsidP="003A28AB">
      <w:pPr>
        <w:pStyle w:val="NormalWeb"/>
        <w:spacing w:line="360" w:lineRule="auto"/>
        <w:ind w:left="720"/>
        <w:jc w:val="both"/>
        <w:rPr>
          <w:color w:val="000000"/>
        </w:rPr>
      </w:pPr>
    </w:p>
    <w:p w14:paraId="1461A511" w14:textId="7920D667" w:rsidR="00BF169F" w:rsidRPr="003A28AB" w:rsidRDefault="0030725F" w:rsidP="003A28AB">
      <w:pPr>
        <w:pStyle w:val="Heading1"/>
        <w:spacing w:before="100" w:beforeAutospacing="1" w:after="100" w:afterAutospacing="1" w:line="360" w:lineRule="auto"/>
        <w:jc w:val="both"/>
        <w:rPr>
          <w:rFonts w:ascii="Times New Roman" w:hAnsi="Times New Roman" w:cs="Times New Roman"/>
          <w:color w:val="auto"/>
          <w:sz w:val="24"/>
          <w:szCs w:val="24"/>
        </w:rPr>
      </w:pPr>
      <w:r w:rsidRPr="003A28AB">
        <w:rPr>
          <w:rFonts w:ascii="Times New Roman" w:hAnsi="Times New Roman" w:cs="Times New Roman"/>
          <w:color w:val="auto"/>
          <w:sz w:val="24"/>
          <w:szCs w:val="24"/>
        </w:rPr>
        <w:lastRenderedPageBreak/>
        <w:t>1.4</w:t>
      </w:r>
      <w:r w:rsidR="00000000" w:rsidRPr="003A28AB">
        <w:rPr>
          <w:rFonts w:ascii="Times New Roman" w:hAnsi="Times New Roman" w:cs="Times New Roman"/>
          <w:color w:val="auto"/>
          <w:sz w:val="24"/>
          <w:szCs w:val="24"/>
        </w:rPr>
        <w:t xml:space="preserve"> Research Aim and Objectives</w:t>
      </w:r>
    </w:p>
    <w:p w14:paraId="01063873" w14:textId="2FCD1D88" w:rsidR="00BF169F" w:rsidRPr="00D7266D" w:rsidRDefault="0030725F" w:rsidP="003A28AB">
      <w:pPr>
        <w:spacing w:before="100" w:beforeAutospacing="1" w:after="100" w:afterAutospacing="1" w:line="360" w:lineRule="auto"/>
        <w:jc w:val="both"/>
      </w:pPr>
      <w:r>
        <w:t xml:space="preserve">1.4.1 </w:t>
      </w:r>
      <w:r w:rsidR="00000000" w:rsidRPr="003A28AB">
        <w:rPr>
          <w:b/>
          <w:bCs/>
        </w:rPr>
        <w:t>Aim:</w:t>
      </w:r>
      <w:r w:rsidR="00000000" w:rsidRPr="00D7266D">
        <w:t xml:space="preserve"> To examine the impact of strategic risk management on the resilience of commercial banks in Bangladesh.</w:t>
      </w:r>
    </w:p>
    <w:p w14:paraId="66B03AE3" w14:textId="79FE68FE" w:rsidR="00BF169F" w:rsidRPr="00D7266D" w:rsidRDefault="0030725F" w:rsidP="003A28AB">
      <w:pPr>
        <w:spacing w:before="100" w:beforeAutospacing="1" w:after="100" w:afterAutospacing="1" w:line="360" w:lineRule="auto"/>
        <w:jc w:val="both"/>
      </w:pPr>
      <w:r>
        <w:t>1.4.2</w:t>
      </w:r>
      <w:r w:rsidRPr="003A28AB">
        <w:rPr>
          <w:b/>
          <w:bCs/>
        </w:rPr>
        <w:t xml:space="preserve"> </w:t>
      </w:r>
      <w:r w:rsidR="00000000" w:rsidRPr="003A28AB">
        <w:rPr>
          <w:b/>
          <w:bCs/>
        </w:rPr>
        <w:t>Objectives:</w:t>
      </w:r>
    </w:p>
    <w:p w14:paraId="11D00FA1" w14:textId="3D143143" w:rsidR="00BF169F" w:rsidRPr="00D7266D" w:rsidRDefault="00000000" w:rsidP="003A28AB">
      <w:pPr>
        <w:spacing w:before="100" w:beforeAutospacing="1" w:after="100" w:afterAutospacing="1" w:line="360" w:lineRule="auto"/>
        <w:jc w:val="both"/>
      </w:pPr>
      <w:r w:rsidRPr="00D7266D">
        <w:t xml:space="preserve">1. To </w:t>
      </w:r>
      <w:r w:rsidR="00A51A1D" w:rsidRPr="00D7266D">
        <w:t>examine the impact of strategic risk governance on banking resilience</w:t>
      </w:r>
    </w:p>
    <w:p w14:paraId="75F44769" w14:textId="0D97BED3" w:rsidR="00BF169F" w:rsidRPr="00D7266D" w:rsidRDefault="00000000" w:rsidP="003A28AB">
      <w:pPr>
        <w:spacing w:before="100" w:beforeAutospacing="1" w:after="100" w:afterAutospacing="1" w:line="360" w:lineRule="auto"/>
        <w:jc w:val="both"/>
      </w:pPr>
      <w:r w:rsidRPr="00D7266D">
        <w:t xml:space="preserve">2. To </w:t>
      </w:r>
      <w:r w:rsidR="00A51A1D" w:rsidRPr="00D7266D">
        <w:t>analyse the relationship between strategic risk governance and banking resilience</w:t>
      </w:r>
    </w:p>
    <w:p w14:paraId="376482A1" w14:textId="00207AB7" w:rsidR="00BF169F" w:rsidRPr="00D7266D" w:rsidRDefault="00000000" w:rsidP="003A28AB">
      <w:pPr>
        <w:spacing w:before="100" w:beforeAutospacing="1" w:after="100" w:afterAutospacing="1" w:line="360" w:lineRule="auto"/>
        <w:jc w:val="both"/>
      </w:pPr>
      <w:r w:rsidRPr="00D7266D">
        <w:t xml:space="preserve">3. To </w:t>
      </w:r>
      <w:r w:rsidR="00A51A1D" w:rsidRPr="00D7266D">
        <w:t>evaluate the effect of key governance components on resilience</w:t>
      </w:r>
    </w:p>
    <w:p w14:paraId="25F41B27" w14:textId="021DD060" w:rsidR="00BF169F" w:rsidRPr="00D7266D" w:rsidRDefault="00000000" w:rsidP="003A28AB">
      <w:pPr>
        <w:spacing w:before="100" w:beforeAutospacing="1" w:after="100" w:afterAutospacing="1" w:line="360" w:lineRule="auto"/>
        <w:jc w:val="both"/>
      </w:pPr>
      <w:r w:rsidRPr="00D7266D">
        <w:t xml:space="preserve">4. To </w:t>
      </w:r>
      <w:r w:rsidR="00A51A1D" w:rsidRPr="00D7266D">
        <w:t>explore governance practices using qualitative insights</w:t>
      </w:r>
    </w:p>
    <w:p w14:paraId="20C277A5" w14:textId="3BDD8CF6" w:rsidR="00BF169F" w:rsidRDefault="00000000" w:rsidP="003A28AB">
      <w:pPr>
        <w:spacing w:before="100" w:beforeAutospacing="1" w:after="100" w:afterAutospacing="1" w:line="360" w:lineRule="auto"/>
        <w:jc w:val="both"/>
      </w:pPr>
      <w:r w:rsidRPr="00D7266D">
        <w:t xml:space="preserve">5. To provide </w:t>
      </w:r>
      <w:r w:rsidR="00A51A1D" w:rsidRPr="00D7266D">
        <w:t xml:space="preserve">policy </w:t>
      </w:r>
      <w:r w:rsidRPr="00D7266D">
        <w:t>recommendations</w:t>
      </w:r>
      <w:r w:rsidR="00A51A1D" w:rsidRPr="00D7266D">
        <w:t xml:space="preserve"> for improving strategic governance to enhance banking resilience in Bangladesh</w:t>
      </w:r>
    </w:p>
    <w:p w14:paraId="0B5FF6A0" w14:textId="77777777" w:rsidR="0030725F" w:rsidRPr="00D7266D" w:rsidRDefault="0030725F" w:rsidP="003A28AB">
      <w:pPr>
        <w:pStyle w:val="NormalWeb"/>
        <w:spacing w:line="360" w:lineRule="auto"/>
        <w:jc w:val="both"/>
        <w:rPr>
          <w:color w:val="000000"/>
        </w:rPr>
      </w:pPr>
      <w:r>
        <w:t xml:space="preserve">1.5 </w:t>
      </w:r>
      <w:r w:rsidRPr="005D63E5">
        <w:rPr>
          <w:b/>
          <w:bCs/>
          <w:color w:val="000000"/>
        </w:rPr>
        <w:t>Research Questions:</w:t>
      </w:r>
    </w:p>
    <w:p w14:paraId="7B84FE8F" w14:textId="77777777" w:rsidR="0030725F" w:rsidRPr="00D7266D" w:rsidRDefault="0030725F" w:rsidP="003A28AB">
      <w:pPr>
        <w:spacing w:before="100" w:beforeAutospacing="1" w:after="100" w:afterAutospacing="1" w:line="360" w:lineRule="auto"/>
        <w:jc w:val="both"/>
        <w:outlineLvl w:val="2"/>
        <w:rPr>
          <w:color w:val="000000"/>
        </w:rPr>
      </w:pPr>
      <w:r w:rsidRPr="00D7266D">
        <w:rPr>
          <w:color w:val="000000"/>
        </w:rPr>
        <w:t>1. How and to what extent does strategic risk governance influence banking resilience in commercial banks in Bangladesh?</w:t>
      </w:r>
    </w:p>
    <w:p w14:paraId="3826BB1F" w14:textId="77777777" w:rsidR="0030725F" w:rsidRPr="00D7266D" w:rsidRDefault="0030725F" w:rsidP="003A28AB">
      <w:pPr>
        <w:spacing w:before="100" w:beforeAutospacing="1" w:after="100" w:afterAutospacing="1" w:line="360" w:lineRule="auto"/>
        <w:jc w:val="both"/>
        <w:outlineLvl w:val="2"/>
        <w:rPr>
          <w:color w:val="000000"/>
        </w:rPr>
      </w:pPr>
      <w:r w:rsidRPr="00D7266D">
        <w:rPr>
          <w:color w:val="000000"/>
        </w:rPr>
        <w:t>2. Which components and quality dimensions of SRG (e.g., board oversight, risk committees, ERM) most significantly affect resilience?</w:t>
      </w:r>
    </w:p>
    <w:p w14:paraId="40E561D0" w14:textId="77777777" w:rsidR="0030725F" w:rsidRPr="00D7266D" w:rsidRDefault="0030725F" w:rsidP="003A28AB">
      <w:pPr>
        <w:spacing w:before="100" w:beforeAutospacing="1" w:after="100" w:afterAutospacing="1" w:line="360" w:lineRule="auto"/>
        <w:jc w:val="both"/>
      </w:pPr>
      <w:r w:rsidRPr="00D7266D">
        <w:rPr>
          <w:color w:val="000000"/>
        </w:rPr>
        <w:t>3. Through what organizational mechanisms—including managerial processes and risk culture—does SRG enhance resilience?</w:t>
      </w:r>
    </w:p>
    <w:p w14:paraId="3AE64254" w14:textId="77777777" w:rsidR="0030725F" w:rsidRPr="00D7266D" w:rsidRDefault="0030725F" w:rsidP="003A28AB">
      <w:pPr>
        <w:spacing w:before="100" w:beforeAutospacing="1" w:after="100" w:afterAutospacing="1" w:line="360" w:lineRule="auto"/>
        <w:jc w:val="both"/>
        <w:rPr>
          <w:color w:val="000000"/>
        </w:rPr>
      </w:pPr>
      <w:r w:rsidRPr="00D7266D">
        <w:rPr>
          <w:color w:val="000000"/>
        </w:rPr>
        <w:t>4. How aligned are regulatory frameworks and internal governance practices with actual resilience outcomes in Bangladesh’s banking sector?</w:t>
      </w:r>
    </w:p>
    <w:p w14:paraId="5F3D2B36" w14:textId="50A47D19" w:rsidR="0030725F" w:rsidRPr="003A28AB" w:rsidRDefault="0030725F" w:rsidP="0030725F">
      <w:pPr>
        <w:pStyle w:val="Heading3"/>
        <w:spacing w:before="100" w:beforeAutospacing="1" w:after="100" w:afterAutospacing="1"/>
        <w:jc w:val="both"/>
        <w:rPr>
          <w:rStyle w:val="Strong"/>
          <w:rFonts w:ascii="Times New Roman" w:hAnsi="Times New Roman" w:cs="Times New Roman"/>
          <w:color w:val="auto"/>
        </w:rPr>
      </w:pPr>
      <w:r w:rsidRPr="003A28AB">
        <w:rPr>
          <w:color w:val="auto"/>
        </w:rPr>
        <w:lastRenderedPageBreak/>
        <w:t xml:space="preserve">1.6 </w:t>
      </w:r>
      <w:r w:rsidRPr="00A679AB">
        <w:rPr>
          <w:rFonts w:ascii="Times New Roman" w:hAnsi="Times New Roman" w:cs="Times New Roman"/>
          <w:color w:val="auto"/>
        </w:rPr>
        <w:t>Research</w:t>
      </w:r>
      <w:r w:rsidRPr="00A679AB">
        <w:rPr>
          <w:rFonts w:ascii="Times New Roman" w:hAnsi="Times New Roman" w:cs="Times New Roman"/>
          <w:b w:val="0"/>
          <w:bCs w:val="0"/>
          <w:color w:val="auto"/>
        </w:rPr>
        <w:t xml:space="preserve"> </w:t>
      </w:r>
      <w:r w:rsidRPr="00A679AB">
        <w:rPr>
          <w:rStyle w:val="Strong"/>
          <w:rFonts w:ascii="Times New Roman" w:hAnsi="Times New Roman" w:cs="Times New Roman"/>
          <w:b/>
          <w:bCs/>
          <w:color w:val="auto"/>
        </w:rPr>
        <w:t>Hypothesis:</w:t>
      </w:r>
    </w:p>
    <w:p w14:paraId="48AF8E0F" w14:textId="77777777" w:rsidR="0030725F" w:rsidRPr="00D7266D" w:rsidRDefault="0030725F"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D7266D">
        <w:rPr>
          <w:rStyle w:val="Strong"/>
          <w:rFonts w:ascii="Times New Roman" w:hAnsi="Times New Roman" w:cs="Times New Roman"/>
          <w:color w:val="000000"/>
        </w:rPr>
        <w:t>H1</w:t>
      </w:r>
    </w:p>
    <w:p w14:paraId="11E9AE51" w14:textId="77777777" w:rsidR="0030725F" w:rsidRPr="00D7266D" w:rsidRDefault="0030725F" w:rsidP="003A28AB">
      <w:pPr>
        <w:spacing w:before="100" w:beforeAutospacing="1" w:after="100" w:afterAutospacing="1" w:line="360" w:lineRule="auto"/>
        <w:jc w:val="both"/>
      </w:pPr>
      <w:r w:rsidRPr="00D7266D">
        <w:rPr>
          <w:color w:val="000000"/>
        </w:rPr>
        <w:t>Strategic risk governance has a significant positive effect on banking resilience in commercial banks in Bangladesh.</w:t>
      </w:r>
    </w:p>
    <w:p w14:paraId="4CD11D3C" w14:textId="77777777" w:rsidR="0030725F" w:rsidRPr="00D7266D" w:rsidRDefault="0030725F"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D7266D">
        <w:rPr>
          <w:rStyle w:val="Strong"/>
          <w:rFonts w:ascii="Times New Roman" w:hAnsi="Times New Roman" w:cs="Times New Roman"/>
          <w:color w:val="000000"/>
        </w:rPr>
        <w:t>H2</w:t>
      </w:r>
    </w:p>
    <w:p w14:paraId="0D5B6F66" w14:textId="77777777" w:rsidR="0030725F" w:rsidRPr="00D7266D" w:rsidRDefault="0030725F" w:rsidP="003A28AB">
      <w:pPr>
        <w:spacing w:before="100" w:beforeAutospacing="1" w:after="100" w:afterAutospacing="1" w:line="360" w:lineRule="auto"/>
        <w:jc w:val="both"/>
      </w:pPr>
      <w:r w:rsidRPr="00D7266D">
        <w:rPr>
          <w:color w:val="000000"/>
        </w:rPr>
        <w:t>Specific components of strategic risk governance (board oversight, risk committees, ERM) have a significant positive impact on banking resilience.</w:t>
      </w:r>
    </w:p>
    <w:p w14:paraId="07CD656A" w14:textId="77777777" w:rsidR="0030725F" w:rsidRPr="00D7266D" w:rsidRDefault="0030725F"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D7266D">
        <w:rPr>
          <w:rStyle w:val="Strong"/>
          <w:rFonts w:ascii="Times New Roman" w:hAnsi="Times New Roman" w:cs="Times New Roman"/>
          <w:color w:val="000000"/>
        </w:rPr>
        <w:t>H3</w:t>
      </w:r>
    </w:p>
    <w:p w14:paraId="50882EBA" w14:textId="7D4685B4" w:rsidR="0030725F" w:rsidRPr="00A679AB" w:rsidRDefault="0030725F" w:rsidP="00A679AB">
      <w:pPr>
        <w:pStyle w:val="NormalWeb"/>
        <w:spacing w:line="360" w:lineRule="auto"/>
        <w:jc w:val="both"/>
        <w:rPr>
          <w:color w:val="000000"/>
        </w:rPr>
      </w:pPr>
      <w:r w:rsidRPr="00D7266D">
        <w:rPr>
          <w:color w:val="000000"/>
        </w:rPr>
        <w:t>Strategic risk governance enhances banking resilience through internal mechanisms such as risk culture, decision-making quality, and risk monitoring systems.</w:t>
      </w:r>
    </w:p>
    <w:p w14:paraId="1375848B" w14:textId="77777777" w:rsidR="0030725F" w:rsidRPr="00D7266D" w:rsidRDefault="0030725F"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D7266D">
        <w:rPr>
          <w:rStyle w:val="Strong"/>
          <w:rFonts w:ascii="Times New Roman" w:hAnsi="Times New Roman" w:cs="Times New Roman"/>
          <w:color w:val="000000"/>
        </w:rPr>
        <w:t>H4</w:t>
      </w:r>
    </w:p>
    <w:p w14:paraId="1E6A7C59" w14:textId="77777777" w:rsidR="0030725F" w:rsidRPr="00D7266D" w:rsidRDefault="0030725F" w:rsidP="003A28AB">
      <w:pPr>
        <w:pStyle w:val="NormalWeb"/>
        <w:spacing w:line="360" w:lineRule="auto"/>
        <w:jc w:val="both"/>
        <w:rPr>
          <w:color w:val="000000"/>
        </w:rPr>
      </w:pPr>
      <w:r w:rsidRPr="00D7266D">
        <w:rPr>
          <w:color w:val="000000"/>
        </w:rPr>
        <w:t>There is a significant relationship between regulatory frameworks, internal governance practices, and banking resilience in Bangladesh.</w:t>
      </w:r>
    </w:p>
    <w:p w14:paraId="0A21C8FF" w14:textId="7631307B" w:rsidR="0030725F" w:rsidRDefault="0030725F" w:rsidP="003A28AB">
      <w:pPr>
        <w:spacing w:before="100" w:beforeAutospacing="1" w:after="100" w:afterAutospacing="1" w:line="360" w:lineRule="auto"/>
        <w:jc w:val="both"/>
      </w:pPr>
    </w:p>
    <w:p w14:paraId="1098AAAC" w14:textId="77777777" w:rsidR="00A679AB" w:rsidRDefault="00A679AB" w:rsidP="003A28AB">
      <w:pPr>
        <w:spacing w:before="100" w:beforeAutospacing="1" w:after="100" w:afterAutospacing="1" w:line="360" w:lineRule="auto"/>
        <w:jc w:val="both"/>
      </w:pPr>
    </w:p>
    <w:p w14:paraId="45275402" w14:textId="77777777" w:rsidR="00A679AB" w:rsidRDefault="00A679AB" w:rsidP="003A28AB">
      <w:pPr>
        <w:spacing w:before="100" w:beforeAutospacing="1" w:after="100" w:afterAutospacing="1" w:line="360" w:lineRule="auto"/>
        <w:jc w:val="both"/>
      </w:pPr>
    </w:p>
    <w:p w14:paraId="63E2694D" w14:textId="77777777" w:rsidR="00A679AB" w:rsidRDefault="00A679AB" w:rsidP="003A28AB">
      <w:pPr>
        <w:spacing w:before="100" w:beforeAutospacing="1" w:after="100" w:afterAutospacing="1" w:line="360" w:lineRule="auto"/>
        <w:jc w:val="both"/>
      </w:pPr>
    </w:p>
    <w:p w14:paraId="019B1058" w14:textId="77777777" w:rsidR="00A679AB" w:rsidRDefault="00A679AB" w:rsidP="003A28AB">
      <w:pPr>
        <w:spacing w:before="100" w:beforeAutospacing="1" w:after="100" w:afterAutospacing="1" w:line="360" w:lineRule="auto"/>
        <w:jc w:val="both"/>
      </w:pPr>
    </w:p>
    <w:p w14:paraId="79176A76" w14:textId="77777777" w:rsidR="00A679AB" w:rsidRPr="00D7266D" w:rsidRDefault="00A679AB" w:rsidP="003A28AB">
      <w:pPr>
        <w:spacing w:before="100" w:beforeAutospacing="1" w:after="100" w:afterAutospacing="1" w:line="360" w:lineRule="auto"/>
        <w:jc w:val="both"/>
      </w:pPr>
    </w:p>
    <w:p w14:paraId="3C0CF12F" w14:textId="6AC95151" w:rsidR="00BF169F" w:rsidRPr="003A28AB" w:rsidRDefault="0030725F" w:rsidP="003A28AB">
      <w:pPr>
        <w:pStyle w:val="Heading1"/>
        <w:spacing w:before="100" w:beforeAutospacing="1" w:after="100" w:afterAutospacing="1" w:line="360" w:lineRule="auto"/>
        <w:jc w:val="both"/>
        <w:rPr>
          <w:rFonts w:ascii="Times New Roman" w:hAnsi="Times New Roman" w:cs="Times New Roman"/>
          <w:color w:val="auto"/>
          <w:sz w:val="24"/>
          <w:szCs w:val="24"/>
        </w:rPr>
      </w:pPr>
      <w:r w:rsidRPr="003A28AB">
        <w:rPr>
          <w:rFonts w:ascii="Times New Roman" w:hAnsi="Times New Roman" w:cs="Times New Roman"/>
          <w:color w:val="auto"/>
          <w:sz w:val="24"/>
          <w:szCs w:val="24"/>
        </w:rPr>
        <w:lastRenderedPageBreak/>
        <w:t>2</w:t>
      </w:r>
      <w:r w:rsidR="00000000" w:rsidRPr="003A28AB">
        <w:rPr>
          <w:rFonts w:ascii="Times New Roman" w:hAnsi="Times New Roman" w:cs="Times New Roman"/>
          <w:color w:val="auto"/>
          <w:sz w:val="24"/>
          <w:szCs w:val="24"/>
        </w:rPr>
        <w:t>. Literature Review</w:t>
      </w:r>
    </w:p>
    <w:p w14:paraId="375E9B39" w14:textId="60CD6277" w:rsidR="00E10AE0" w:rsidRPr="00D7266D" w:rsidRDefault="000B0330" w:rsidP="003A28AB">
      <w:pPr>
        <w:spacing w:before="100" w:beforeAutospacing="1" w:after="100" w:afterAutospacing="1" w:line="360" w:lineRule="auto"/>
        <w:jc w:val="both"/>
      </w:pPr>
      <w:proofErr w:type="spellStart"/>
      <w:r w:rsidRPr="00D7266D">
        <w:rPr>
          <w:color w:val="000000"/>
        </w:rPr>
        <w:t>Guettala</w:t>
      </w:r>
      <w:proofErr w:type="spellEnd"/>
      <w:r w:rsidRPr="00D7266D">
        <w:rPr>
          <w:color w:val="000000"/>
        </w:rPr>
        <w:t xml:space="preserve">, Kesri, and Selmani (2025) synthesize evidence on the links between bank governance, risk management, and financial performance, showing that governance structures play a central role in shaping effective risk practices. Strong mechanisms—such as board oversight, risk committees, and compliance systems—improve decision-making, enhance transparency, and align risk-taking with long-term goals. They frame governance not just as a regulatory obligation but as a strategic driver of how risks are identified and managed. Conversely, weak governance is associated with poor oversight, greater vulnerability to shocks, and weaker performance. The authors also stress that governance effectiveness is context-dependent, varying with institutional quality, regulation, and </w:t>
      </w:r>
      <w:r w:rsidR="00FA0C6A" w:rsidRPr="00D7266D">
        <w:rPr>
          <w:color w:val="000000"/>
        </w:rPr>
        <w:t>organizational</w:t>
      </w:r>
      <w:r w:rsidRPr="00D7266D">
        <w:rPr>
          <w:color w:val="000000"/>
        </w:rPr>
        <w:t xml:space="preserve"> culture—an issue particularly relevant in emerging economies. Building on this, the </w:t>
      </w:r>
      <w:r w:rsidR="00FA0C6A" w:rsidRPr="00D7266D">
        <w:rPr>
          <w:color w:val="000000"/>
        </w:rPr>
        <w:t>proposed</w:t>
      </w:r>
      <w:r w:rsidRPr="00D7266D">
        <w:rPr>
          <w:color w:val="000000"/>
        </w:rPr>
        <w:t xml:space="preserve"> study extends their work by focusing on how strategic risk governance specifically supports banking resilience in Bangladesh, addressing a key gap in the literature.</w:t>
      </w:r>
    </w:p>
    <w:p w14:paraId="18C6B5A8" w14:textId="0DABE3B3" w:rsidR="000B0330" w:rsidRPr="00D7266D" w:rsidRDefault="000B0330" w:rsidP="003A28AB">
      <w:pPr>
        <w:spacing w:before="100" w:beforeAutospacing="1" w:after="100" w:afterAutospacing="1" w:line="360" w:lineRule="auto"/>
        <w:jc w:val="both"/>
        <w:rPr>
          <w:color w:val="000000"/>
        </w:rPr>
      </w:pPr>
      <w:proofErr w:type="spellStart"/>
      <w:r w:rsidRPr="00D7266D">
        <w:rPr>
          <w:color w:val="000000"/>
        </w:rPr>
        <w:t>Alshehhi</w:t>
      </w:r>
      <w:proofErr w:type="spellEnd"/>
      <w:r w:rsidRPr="00D7266D">
        <w:rPr>
          <w:color w:val="000000"/>
        </w:rPr>
        <w:t xml:space="preserve"> (2023) argues that risk management governance is key to achieving sustainable financial performance, positioning it as a strategic tool rather than merely a compliance function. Strong governance enhances decision-making, accountability, and risk integration into strategic planning, supporting long-term stability. In contrast, weak governance leads to inefficiencies, poor risk awareness, and greater financial vulnerability. The study also highlights the importance of aligning board-level oversight with operational risk practices. These insights inform this </w:t>
      </w:r>
      <w:r w:rsidR="00FA0C6A" w:rsidRPr="00D7266D">
        <w:rPr>
          <w:color w:val="000000"/>
        </w:rPr>
        <w:t xml:space="preserve">proposed </w:t>
      </w:r>
      <w:r w:rsidRPr="00D7266D">
        <w:rPr>
          <w:color w:val="000000"/>
        </w:rPr>
        <w:t>research by showing how strategic risk governance can strengthen not only financial performance but also banking resilience, particularly in the volatile and institutionally complex context of Bangladesh.</w:t>
      </w:r>
    </w:p>
    <w:p w14:paraId="332F763B" w14:textId="771634BA" w:rsidR="00FA0C6A" w:rsidRPr="00D7266D" w:rsidRDefault="00FA0C6A" w:rsidP="003A28AB">
      <w:pPr>
        <w:spacing w:before="100" w:beforeAutospacing="1" w:after="100" w:afterAutospacing="1" w:line="360" w:lineRule="auto"/>
        <w:jc w:val="both"/>
        <w:rPr>
          <w:color w:val="000000"/>
        </w:rPr>
      </w:pPr>
      <w:r w:rsidRPr="00D7266D">
        <w:rPr>
          <w:color w:val="000000"/>
        </w:rPr>
        <w:t xml:space="preserve">Stein, Wiedemann, and Bouten (2019) argue that risk governance is shaped not only by structures but also by how risk is framed and interpreted within organizations. They show that differing perceptions of risk influence prioritization and decision-making and stress the need for consistent framing and clear communication across organizational levels. These insights highlight that strategic risk governance depends on both formal systems and </w:t>
      </w:r>
      <w:r w:rsidRPr="00D7266D">
        <w:rPr>
          <w:color w:val="000000"/>
        </w:rPr>
        <w:lastRenderedPageBreak/>
        <w:t>shared understanding, supporting this study’s focus on how risk interpretation influences banking resilience in Bangladesh.</w:t>
      </w:r>
    </w:p>
    <w:p w14:paraId="6D2EF676" w14:textId="0CB88F36" w:rsidR="000B0330" w:rsidRPr="00D7266D" w:rsidRDefault="000B0330" w:rsidP="003A28AB">
      <w:pPr>
        <w:spacing w:before="100" w:beforeAutospacing="1" w:after="100" w:afterAutospacing="1" w:line="360" w:lineRule="auto"/>
        <w:jc w:val="both"/>
        <w:rPr>
          <w:color w:val="000000"/>
        </w:rPr>
      </w:pPr>
      <w:proofErr w:type="spellStart"/>
      <w:r w:rsidRPr="00D7266D">
        <w:rPr>
          <w:color w:val="000000"/>
        </w:rPr>
        <w:t>Korableva</w:t>
      </w:r>
      <w:proofErr w:type="spellEnd"/>
      <w:r w:rsidRPr="00D7266D">
        <w:rPr>
          <w:color w:val="000000"/>
        </w:rPr>
        <w:t xml:space="preserve"> and </w:t>
      </w:r>
      <w:proofErr w:type="spellStart"/>
      <w:r w:rsidRPr="00D7266D">
        <w:rPr>
          <w:color w:val="000000"/>
        </w:rPr>
        <w:t>Kalimullina</w:t>
      </w:r>
      <w:proofErr w:type="spellEnd"/>
      <w:r w:rsidRPr="00D7266D">
        <w:rPr>
          <w:color w:val="000000"/>
        </w:rPr>
        <w:t xml:space="preserve"> (2016) highlight the shift from reactive, fragmented risk management to a more strategic and integrated approach in banking. Using Russian banks, they show that practices such as risk forecasting, integrated systems, and coordinated decision-making improve the early identification of risks and </w:t>
      </w:r>
      <w:r w:rsidR="00FA0C6A" w:rsidRPr="00D7266D">
        <w:rPr>
          <w:color w:val="000000"/>
        </w:rPr>
        <w:t>organizational</w:t>
      </w:r>
      <w:r w:rsidRPr="00D7266D">
        <w:rPr>
          <w:color w:val="000000"/>
        </w:rPr>
        <w:t xml:space="preserve"> stability. They also </w:t>
      </w:r>
      <w:r w:rsidR="00FA0C6A" w:rsidRPr="00D7266D">
        <w:rPr>
          <w:color w:val="000000"/>
        </w:rPr>
        <w:t>emphasize</w:t>
      </w:r>
      <w:r w:rsidRPr="00D7266D">
        <w:rPr>
          <w:color w:val="000000"/>
        </w:rPr>
        <w:t xml:space="preserve"> the role of culture and leadership in embedding risk awareness into strategy. These insights support this </w:t>
      </w:r>
      <w:r w:rsidR="00FA0C6A" w:rsidRPr="00D7266D">
        <w:rPr>
          <w:color w:val="000000"/>
        </w:rPr>
        <w:t xml:space="preserve">proposed </w:t>
      </w:r>
      <w:r w:rsidRPr="00D7266D">
        <w:rPr>
          <w:color w:val="000000"/>
        </w:rPr>
        <w:t>research by illustrating how proactive, integrated risk governance can enhance banking resilience, with relevance to the volatile context of Bangladesh</w:t>
      </w:r>
      <w:r w:rsidR="00FA0C6A" w:rsidRPr="00D7266D">
        <w:rPr>
          <w:color w:val="000000"/>
        </w:rPr>
        <w:t>.</w:t>
      </w:r>
    </w:p>
    <w:p w14:paraId="7734B3EF" w14:textId="77777777" w:rsidR="00FA0C6A" w:rsidRPr="00D7266D" w:rsidRDefault="00FA0C6A" w:rsidP="003A28AB">
      <w:pPr>
        <w:spacing w:before="100" w:beforeAutospacing="1" w:after="100" w:afterAutospacing="1" w:line="360" w:lineRule="auto"/>
        <w:jc w:val="both"/>
        <w:rPr>
          <w:color w:val="000000"/>
        </w:rPr>
      </w:pPr>
      <w:r w:rsidRPr="00D7266D">
        <w:rPr>
          <w:color w:val="000000"/>
        </w:rPr>
        <w:t>Nahar, Jubb, and Azim (2016) examine risk governance in a developing country context, finding that strong structures—such as board oversight, accountability, and systematic reporting—enhance organisational performance. However, they emphasise that effectiveness varies with institutional conditions, including regulatory quality and organisational maturity. These insights support this study by showing that while strategic risk governance can improve performance and resilience, its impact is shaped by the contextual challenges typical of emerging economies like Bangladesh.</w:t>
      </w:r>
    </w:p>
    <w:p w14:paraId="3BE7CE70" w14:textId="77777777" w:rsidR="00FA0C6A" w:rsidRPr="00D7266D" w:rsidRDefault="00FA0C6A" w:rsidP="003A28AB">
      <w:pPr>
        <w:spacing w:before="100" w:beforeAutospacing="1" w:after="100" w:afterAutospacing="1" w:line="360" w:lineRule="auto"/>
        <w:jc w:val="both"/>
        <w:rPr>
          <w:color w:val="000000"/>
        </w:rPr>
      </w:pPr>
      <w:r w:rsidRPr="00D7266D">
        <w:rPr>
          <w:color w:val="000000"/>
        </w:rPr>
        <w:t>Battaglia and Gallo (2015) show that strong risk governance—through effective board oversight, monitoring systems, and transparency—enhanced bank performance and resilience during the global financial crisis. Such governance enables early risk identification and more effective responses to shocks, though its impact varies across institutional and regulatory contexts. These findings support this study by providing empirical evidence that strategic risk governance is a key driver of banking resilience, particularly in emerging economies like Bangladesh.</w:t>
      </w:r>
    </w:p>
    <w:p w14:paraId="48476D30" w14:textId="29F1C606" w:rsidR="00FA0C6A" w:rsidRPr="00D7266D" w:rsidRDefault="00FA0C6A" w:rsidP="003A28AB">
      <w:pPr>
        <w:spacing w:before="100" w:beforeAutospacing="1" w:after="100" w:afterAutospacing="1" w:line="360" w:lineRule="auto"/>
        <w:jc w:val="both"/>
        <w:rPr>
          <w:color w:val="000000"/>
        </w:rPr>
      </w:pPr>
      <w:r w:rsidRPr="00D7266D">
        <w:rPr>
          <w:color w:val="000000"/>
        </w:rPr>
        <w:t xml:space="preserve">Basel Committee on Banking Supervision (2015) provides a foundational framework of corporate governance principles for banks, emphasising that effective governance is essential for ensuring financial stability, strengthening risk management, and supporting the long-term sustainability of banking institutions. The guidelines stress that strong </w:t>
      </w:r>
      <w:r w:rsidRPr="00D7266D">
        <w:rPr>
          <w:color w:val="000000"/>
        </w:rPr>
        <w:lastRenderedPageBreak/>
        <w:t xml:space="preserve">governance structures should include clearly defined board responsibilities, effective oversight of risk management functions, transparent accountability mechanisms, and well-established internal control systems. A key emphasis of the framework is the role of the board of directors in shaping the risk culture of a bank, ensuring that risk appetite is aligned with strategic objectives and that risk-taking activities are properly monitored and controlled at the highest level. The report also highlights the importance of independent risk management functions and robust internal governance systems in reducing excessive risk-taking and enhancing institutional stability, particularly in complex and systemically important financial </w:t>
      </w:r>
      <w:r w:rsidR="00A65E24" w:rsidRPr="00D7266D">
        <w:rPr>
          <w:color w:val="000000"/>
        </w:rPr>
        <w:t xml:space="preserve">organizations. </w:t>
      </w:r>
      <w:r w:rsidRPr="00D7266D">
        <w:rPr>
          <w:color w:val="000000"/>
        </w:rPr>
        <w:t>In relation to this research, the Basel governance principles provide a critical theoretical foundation for understanding strategic risk governance and its contribution to banking resilience. They reinforce the argument that strong governance structures are central to a bank’s ability to manage uncertainty and withstand financial shocks. This is especially relevant in the context of commercial banks in</w:t>
      </w:r>
      <w:r w:rsidRPr="00D7266D">
        <w:rPr>
          <w:rStyle w:val="apple-converted-space"/>
          <w:color w:val="000000"/>
        </w:rPr>
        <w:t> </w:t>
      </w:r>
      <w:r w:rsidRPr="00D7266D">
        <w:rPr>
          <w:rStyle w:val="whitespace-normal"/>
          <w:color w:val="000000"/>
        </w:rPr>
        <w:t>Bangladesh</w:t>
      </w:r>
      <w:r w:rsidRPr="00D7266D">
        <w:rPr>
          <w:color w:val="000000"/>
        </w:rPr>
        <w:t>, where differences in regulatory enforcement and governance maturity may influence the effectiveness of implementing such international standards. Therefore, the framework strongly supports the view that corporate governance and strategic risk oversight are key determinants of banking resilience in both developed and emerging financial systems.</w:t>
      </w:r>
    </w:p>
    <w:p w14:paraId="5447324A" w14:textId="697ABB31" w:rsidR="00733D1A" w:rsidRDefault="000B0330" w:rsidP="003A28AB">
      <w:pPr>
        <w:spacing w:before="100" w:beforeAutospacing="1" w:after="100" w:afterAutospacing="1" w:line="360" w:lineRule="auto"/>
        <w:jc w:val="both"/>
        <w:rPr>
          <w:color w:val="000000"/>
        </w:rPr>
      </w:pPr>
      <w:r w:rsidRPr="00D7266D">
        <w:rPr>
          <w:color w:val="000000"/>
        </w:rPr>
        <w:t xml:space="preserve">McConnell (2012) </w:t>
      </w:r>
      <w:r w:rsidR="00A65E24" w:rsidRPr="00D7266D">
        <w:rPr>
          <w:color w:val="000000"/>
        </w:rPr>
        <w:t>emphasizes</w:t>
      </w:r>
      <w:r w:rsidRPr="00D7266D">
        <w:rPr>
          <w:color w:val="000000"/>
        </w:rPr>
        <w:t xml:space="preserve"> the importance of governing strategic risks in systemically important banks, distinguishing them from operational risks as they stem from core decisions on business models and market positioning. The study highlights the need for strong board-level oversight and integration of risk governance into strategic planning. Weak governance in this area can increase institutional vulnerability and pose broader systemic risks. These insights support this research by underscoring the role of effective strategic risk governance in strengthening banking resilience, particularly in the context of Bangladesh.</w:t>
      </w:r>
    </w:p>
    <w:p w14:paraId="776FCE9D" w14:textId="77777777" w:rsidR="00A679AB" w:rsidRDefault="00A679AB" w:rsidP="003A28AB">
      <w:pPr>
        <w:spacing w:before="100" w:beforeAutospacing="1" w:after="100" w:afterAutospacing="1" w:line="360" w:lineRule="auto"/>
        <w:jc w:val="both"/>
        <w:rPr>
          <w:color w:val="000000"/>
        </w:rPr>
      </w:pPr>
    </w:p>
    <w:p w14:paraId="644A011A" w14:textId="77777777" w:rsidR="00A679AB" w:rsidRPr="00D7266D" w:rsidRDefault="00A679AB" w:rsidP="003A28AB">
      <w:pPr>
        <w:spacing w:before="100" w:beforeAutospacing="1" w:after="100" w:afterAutospacing="1" w:line="360" w:lineRule="auto"/>
        <w:jc w:val="both"/>
        <w:rPr>
          <w:color w:val="000000"/>
        </w:rPr>
      </w:pPr>
    </w:p>
    <w:p w14:paraId="6BCEA2AD" w14:textId="58F3BA1C" w:rsidR="00161D1F" w:rsidRPr="003A28AB" w:rsidRDefault="0030725F" w:rsidP="00D7266D">
      <w:pPr>
        <w:pStyle w:val="NormalWeb"/>
        <w:jc w:val="both"/>
        <w:rPr>
          <w:b/>
          <w:bCs/>
          <w:color w:val="000000"/>
        </w:rPr>
      </w:pPr>
      <w:r w:rsidRPr="003A28AB">
        <w:rPr>
          <w:b/>
          <w:bCs/>
          <w:color w:val="000000"/>
        </w:rPr>
        <w:lastRenderedPageBreak/>
        <w:t>2.1 Research</w:t>
      </w:r>
      <w:r w:rsidR="00161D1F" w:rsidRPr="003A28AB">
        <w:rPr>
          <w:b/>
          <w:bCs/>
          <w:color w:val="000000"/>
        </w:rPr>
        <w:t xml:space="preserve"> Gaps</w:t>
      </w:r>
      <w:r w:rsidR="003A28AB">
        <w:rPr>
          <w:b/>
          <w:bCs/>
          <w:color w:val="000000"/>
        </w:rPr>
        <w:t>:</w:t>
      </w:r>
    </w:p>
    <w:p w14:paraId="46C34155" w14:textId="5E869352" w:rsidR="00161D1F" w:rsidRPr="00D7266D" w:rsidRDefault="00161D1F" w:rsidP="003A28AB">
      <w:pPr>
        <w:pStyle w:val="NormalWeb"/>
        <w:spacing w:line="360" w:lineRule="auto"/>
        <w:jc w:val="both"/>
        <w:rPr>
          <w:color w:val="000000"/>
        </w:rPr>
      </w:pPr>
      <w:r w:rsidRPr="00D7266D">
        <w:rPr>
          <w:color w:val="000000"/>
        </w:rPr>
        <w:t>Despite the growing body of literature on risk governance and banking stability, several important gaps remain that justify further investigation, particularly in the context of Bangladesh commercial banks.</w:t>
      </w:r>
    </w:p>
    <w:p w14:paraId="4BAE42B4" w14:textId="77777777" w:rsidR="00161D1F" w:rsidRPr="00D7266D" w:rsidRDefault="00161D1F" w:rsidP="003A28AB">
      <w:pPr>
        <w:pStyle w:val="NormalWeb"/>
        <w:spacing w:line="360" w:lineRule="auto"/>
        <w:jc w:val="both"/>
        <w:rPr>
          <w:color w:val="000000"/>
        </w:rPr>
      </w:pPr>
      <w:r w:rsidRPr="00D7266D">
        <w:rPr>
          <w:color w:val="000000"/>
        </w:rPr>
        <w:t>First, existing studies have largely failed to establish a clear empirical linkage between</w:t>
      </w:r>
      <w:r w:rsidRPr="00D7266D">
        <w:rPr>
          <w:rStyle w:val="apple-converted-space"/>
          <w:color w:val="000000"/>
        </w:rPr>
        <w:t> </w:t>
      </w:r>
      <w:r w:rsidRPr="00D7266D">
        <w:rPr>
          <w:rStyle w:val="Strong"/>
          <w:b w:val="0"/>
          <w:bCs w:val="0"/>
          <w:color w:val="000000"/>
        </w:rPr>
        <w:t>Strategic Risk Governance (SRG)</w:t>
      </w:r>
      <w:r w:rsidRPr="00D7266D">
        <w:rPr>
          <w:rStyle w:val="apple-converted-space"/>
          <w:color w:val="000000"/>
        </w:rPr>
        <w:t> </w:t>
      </w:r>
      <w:r w:rsidRPr="00D7266D">
        <w:rPr>
          <w:color w:val="000000"/>
        </w:rPr>
        <w:t>and</w:t>
      </w:r>
      <w:r w:rsidRPr="00D7266D">
        <w:rPr>
          <w:rStyle w:val="apple-converted-space"/>
          <w:color w:val="000000"/>
        </w:rPr>
        <w:t> </w:t>
      </w:r>
      <w:r w:rsidRPr="00D7266D">
        <w:rPr>
          <w:rStyle w:val="Strong"/>
          <w:b w:val="0"/>
          <w:bCs w:val="0"/>
          <w:color w:val="000000"/>
        </w:rPr>
        <w:t>banking resilience</w:t>
      </w:r>
      <w:r w:rsidRPr="00D7266D">
        <w:rPr>
          <w:color w:val="000000"/>
        </w:rPr>
        <w:t>. Prior research tends to focus on isolated aspects such as risk-taking behaviour, profitability, or regulatory compliance, rather than examining resilience as a comprehensive outcome reflecting a bank’s ability to absorb shocks and sustain operations during periods of financial stress.</w:t>
      </w:r>
    </w:p>
    <w:p w14:paraId="7741D1A6" w14:textId="77777777" w:rsidR="00161D1F" w:rsidRPr="00D7266D" w:rsidRDefault="00161D1F" w:rsidP="003A28AB">
      <w:pPr>
        <w:pStyle w:val="NormalWeb"/>
        <w:spacing w:line="360" w:lineRule="auto"/>
        <w:jc w:val="both"/>
        <w:rPr>
          <w:color w:val="000000"/>
        </w:rPr>
      </w:pPr>
      <w:r w:rsidRPr="00D7266D">
        <w:rPr>
          <w:color w:val="000000"/>
        </w:rPr>
        <w:t>Second, there is a notable</w:t>
      </w:r>
      <w:r w:rsidRPr="00D7266D">
        <w:rPr>
          <w:rStyle w:val="apple-converted-space"/>
          <w:color w:val="000000"/>
        </w:rPr>
        <w:t> </w:t>
      </w:r>
      <w:r w:rsidRPr="00D7266D">
        <w:rPr>
          <w:rStyle w:val="Strong"/>
          <w:b w:val="0"/>
          <w:bCs w:val="0"/>
          <w:color w:val="000000"/>
        </w:rPr>
        <w:t>lack of Bangladesh-specific empirical studies</w:t>
      </w:r>
      <w:r w:rsidRPr="00D7266D">
        <w:rPr>
          <w:color w:val="000000"/>
        </w:rPr>
        <w:t>. Although Bangladesh’s banking sector is characterised by governance weaknesses, regulatory challenges, and financial vulnerability, most governance-resilience studies are conducted in developed or broader emerging market contexts. This limits the contextual applicability of existing findings to Bangladeshi commercial banks.</w:t>
      </w:r>
    </w:p>
    <w:p w14:paraId="3314BA7A" w14:textId="77777777" w:rsidR="00161D1F" w:rsidRPr="00D7266D" w:rsidRDefault="00161D1F" w:rsidP="003A28AB">
      <w:pPr>
        <w:pStyle w:val="NormalWeb"/>
        <w:spacing w:line="360" w:lineRule="auto"/>
        <w:jc w:val="both"/>
        <w:rPr>
          <w:color w:val="000000"/>
        </w:rPr>
      </w:pPr>
      <w:r w:rsidRPr="00D7266D">
        <w:rPr>
          <w:color w:val="000000"/>
        </w:rPr>
        <w:t>Third, the literature reflects a</w:t>
      </w:r>
      <w:r w:rsidRPr="00D7266D">
        <w:rPr>
          <w:rStyle w:val="apple-converted-space"/>
          <w:color w:val="000000"/>
        </w:rPr>
        <w:t> </w:t>
      </w:r>
      <w:r w:rsidRPr="00D7266D">
        <w:rPr>
          <w:rStyle w:val="Strong"/>
          <w:b w:val="0"/>
          <w:bCs w:val="0"/>
          <w:color w:val="000000"/>
        </w:rPr>
        <w:t>deficiency in robust governance quality measurement</w:t>
      </w:r>
      <w:r w:rsidRPr="00D7266D">
        <w:rPr>
          <w:color w:val="000000"/>
        </w:rPr>
        <w:t>. Many studies rely on basic structural proxies such as board composition or ownership concentration, which do not adequately capture strategic risk oversight, accountability mechanisms, or governance effectiveness. As a result, the nuanced role of governance quality in shaping resilience remains underexplored.</w:t>
      </w:r>
    </w:p>
    <w:p w14:paraId="3D42A6D3" w14:textId="77777777" w:rsidR="00161D1F" w:rsidRPr="00D7266D" w:rsidRDefault="00161D1F" w:rsidP="003A28AB">
      <w:pPr>
        <w:pStyle w:val="NormalWeb"/>
        <w:spacing w:line="360" w:lineRule="auto"/>
        <w:jc w:val="both"/>
        <w:rPr>
          <w:color w:val="000000"/>
        </w:rPr>
      </w:pPr>
      <w:r w:rsidRPr="00D7266D">
        <w:rPr>
          <w:color w:val="000000"/>
        </w:rPr>
        <w:t>Fourth, there is a</w:t>
      </w:r>
      <w:r w:rsidRPr="00D7266D">
        <w:rPr>
          <w:rStyle w:val="apple-converted-space"/>
          <w:color w:val="000000"/>
        </w:rPr>
        <w:t> </w:t>
      </w:r>
      <w:r w:rsidRPr="00D7266D">
        <w:rPr>
          <w:rStyle w:val="Strong"/>
          <w:b w:val="0"/>
          <w:bCs w:val="0"/>
          <w:color w:val="000000"/>
        </w:rPr>
        <w:t>lack of integrated analytical frameworks</w:t>
      </w:r>
      <w:r w:rsidRPr="00D7266D">
        <w:rPr>
          <w:rStyle w:val="apple-converted-space"/>
          <w:color w:val="000000"/>
        </w:rPr>
        <w:t> </w:t>
      </w:r>
      <w:r w:rsidRPr="00D7266D">
        <w:rPr>
          <w:color w:val="000000"/>
        </w:rPr>
        <w:t>combining strategic risk governance, institutional factors, and resilience outcomes. Existing research is often fragmented, examining governance, risk management, and resilience in isolation, thereby limiting a holistic understanding of their interrelationships.</w:t>
      </w:r>
    </w:p>
    <w:p w14:paraId="4106B196" w14:textId="77777777" w:rsidR="00161D1F" w:rsidRPr="00D7266D" w:rsidRDefault="00161D1F" w:rsidP="003A28AB">
      <w:pPr>
        <w:pStyle w:val="NormalWeb"/>
        <w:spacing w:line="360" w:lineRule="auto"/>
        <w:jc w:val="both"/>
        <w:rPr>
          <w:color w:val="000000"/>
        </w:rPr>
      </w:pPr>
      <w:r w:rsidRPr="00D7266D">
        <w:rPr>
          <w:color w:val="000000"/>
        </w:rPr>
        <w:t>Fifth, studies focusing on</w:t>
      </w:r>
      <w:r w:rsidRPr="00D7266D">
        <w:rPr>
          <w:rStyle w:val="apple-converted-space"/>
          <w:color w:val="000000"/>
        </w:rPr>
        <w:t> </w:t>
      </w:r>
      <w:r w:rsidRPr="00D7266D">
        <w:rPr>
          <w:rStyle w:val="Strong"/>
          <w:b w:val="0"/>
          <w:bCs w:val="0"/>
          <w:color w:val="000000"/>
        </w:rPr>
        <w:t>internal governance processes and risk culture</w:t>
      </w:r>
      <w:r w:rsidRPr="00D7266D">
        <w:rPr>
          <w:rStyle w:val="apple-converted-space"/>
          <w:color w:val="000000"/>
        </w:rPr>
        <w:t> </w:t>
      </w:r>
      <w:r w:rsidRPr="00D7266D">
        <w:rPr>
          <w:color w:val="000000"/>
        </w:rPr>
        <w:t>remain limited, particularly within South Asian banking systems. Risk culture, internal communication, and escalation mechanisms are critical determinants of how governance structures translate into actual resilience, yet these dimensions are rarely examined in depth.</w:t>
      </w:r>
    </w:p>
    <w:p w14:paraId="38D7A587" w14:textId="77777777" w:rsidR="00161D1F" w:rsidRPr="00D7266D" w:rsidRDefault="00161D1F" w:rsidP="003A28AB">
      <w:pPr>
        <w:pStyle w:val="NormalWeb"/>
        <w:spacing w:line="360" w:lineRule="auto"/>
        <w:jc w:val="both"/>
        <w:rPr>
          <w:color w:val="000000"/>
        </w:rPr>
      </w:pPr>
      <w:r w:rsidRPr="00D7266D">
        <w:rPr>
          <w:color w:val="000000"/>
        </w:rPr>
        <w:lastRenderedPageBreak/>
        <w:t>Sixth, there is insufficient incorporation of</w:t>
      </w:r>
      <w:r w:rsidRPr="00D7266D">
        <w:rPr>
          <w:rStyle w:val="apple-converted-space"/>
          <w:color w:val="000000"/>
        </w:rPr>
        <w:t> </w:t>
      </w:r>
      <w:r w:rsidRPr="00D7266D">
        <w:rPr>
          <w:rStyle w:val="Strong"/>
          <w:b w:val="0"/>
          <w:bCs w:val="0"/>
          <w:color w:val="000000"/>
        </w:rPr>
        <w:t>micro-level governance variables</w:t>
      </w:r>
      <w:r w:rsidRPr="00D7266D">
        <w:rPr>
          <w:color w:val="000000"/>
        </w:rPr>
        <w:t>, such as managerial decision-making processes, internal monitoring systems, and operational risk practices. This restricts understanding of how governance functions at the organisational and behavioural levels within banks.</w:t>
      </w:r>
    </w:p>
    <w:p w14:paraId="5010237D" w14:textId="77777777" w:rsidR="00161D1F" w:rsidRPr="00D7266D" w:rsidRDefault="00161D1F" w:rsidP="003A28AB">
      <w:pPr>
        <w:pStyle w:val="NormalWeb"/>
        <w:spacing w:line="360" w:lineRule="auto"/>
        <w:jc w:val="both"/>
        <w:rPr>
          <w:color w:val="000000"/>
        </w:rPr>
      </w:pPr>
      <w:r w:rsidRPr="00D7266D">
        <w:rPr>
          <w:color w:val="000000"/>
        </w:rPr>
        <w:t>Finally, there is a</w:t>
      </w:r>
      <w:r w:rsidRPr="00D7266D">
        <w:rPr>
          <w:rStyle w:val="apple-converted-space"/>
          <w:color w:val="000000"/>
        </w:rPr>
        <w:t> </w:t>
      </w:r>
      <w:r w:rsidRPr="00D7266D">
        <w:rPr>
          <w:rStyle w:val="Strong"/>
          <w:b w:val="0"/>
          <w:bCs w:val="0"/>
          <w:color w:val="000000"/>
        </w:rPr>
        <w:t>weak empirical linkage between regulatory frameworks and actual resilience outcomes</w:t>
      </w:r>
      <w:r w:rsidRPr="00D7266D">
        <w:rPr>
          <w:color w:val="000000"/>
        </w:rPr>
        <w:t>. While regulatory compliance (e.g., Basel requirements) is widely studied, its effectiveness in translating into genuine banking resilience remains insufficiently tested, particularly in emerging economies.</w:t>
      </w:r>
    </w:p>
    <w:p w14:paraId="162E559E" w14:textId="77777777" w:rsidR="00161D1F" w:rsidRPr="00D7266D" w:rsidRDefault="00161D1F" w:rsidP="003A28AB">
      <w:pPr>
        <w:pStyle w:val="NormalWeb"/>
        <w:spacing w:line="360" w:lineRule="auto"/>
        <w:jc w:val="both"/>
        <w:rPr>
          <w:color w:val="000000"/>
        </w:rPr>
      </w:pPr>
      <w:r w:rsidRPr="00D7266D">
        <w:rPr>
          <w:color w:val="000000"/>
        </w:rPr>
        <w:t>In summary, these gaps highlight the need for a comprehensive, context-specific, and methodologically robust investigation into the relationship between Strategic Risk Governance and banking resilience, with particular emphasis on the commercial banking sector of Bangladesh.</w:t>
      </w:r>
    </w:p>
    <w:p w14:paraId="55CDE521" w14:textId="294753D2" w:rsidR="00040ABE" w:rsidRDefault="00040ABE" w:rsidP="003A28AB">
      <w:pPr>
        <w:spacing w:before="100" w:beforeAutospacing="1" w:after="100" w:afterAutospacing="1" w:line="360" w:lineRule="auto"/>
        <w:jc w:val="both"/>
      </w:pPr>
    </w:p>
    <w:p w14:paraId="0EFCB010" w14:textId="77777777" w:rsidR="00A679AB" w:rsidRDefault="00A679AB" w:rsidP="003A28AB">
      <w:pPr>
        <w:spacing w:before="100" w:beforeAutospacing="1" w:after="100" w:afterAutospacing="1" w:line="360" w:lineRule="auto"/>
        <w:jc w:val="both"/>
      </w:pPr>
    </w:p>
    <w:p w14:paraId="4F63D045" w14:textId="77777777" w:rsidR="00A679AB" w:rsidRDefault="00A679AB" w:rsidP="003A28AB">
      <w:pPr>
        <w:spacing w:before="100" w:beforeAutospacing="1" w:after="100" w:afterAutospacing="1" w:line="360" w:lineRule="auto"/>
        <w:jc w:val="both"/>
      </w:pPr>
    </w:p>
    <w:p w14:paraId="1B11A5CA" w14:textId="77777777" w:rsidR="00A679AB" w:rsidRDefault="00A679AB" w:rsidP="003A28AB">
      <w:pPr>
        <w:spacing w:before="100" w:beforeAutospacing="1" w:after="100" w:afterAutospacing="1" w:line="360" w:lineRule="auto"/>
        <w:jc w:val="both"/>
      </w:pPr>
    </w:p>
    <w:p w14:paraId="407E697A" w14:textId="77777777" w:rsidR="00A679AB" w:rsidRDefault="00A679AB" w:rsidP="003A28AB">
      <w:pPr>
        <w:spacing w:before="100" w:beforeAutospacing="1" w:after="100" w:afterAutospacing="1" w:line="360" w:lineRule="auto"/>
        <w:jc w:val="both"/>
      </w:pPr>
    </w:p>
    <w:p w14:paraId="631C9717" w14:textId="77777777" w:rsidR="00A679AB" w:rsidRDefault="00A679AB" w:rsidP="003A28AB">
      <w:pPr>
        <w:spacing w:before="100" w:beforeAutospacing="1" w:after="100" w:afterAutospacing="1" w:line="360" w:lineRule="auto"/>
        <w:jc w:val="both"/>
      </w:pPr>
    </w:p>
    <w:p w14:paraId="72DC07D2" w14:textId="77777777" w:rsidR="00A679AB" w:rsidRDefault="00A679AB" w:rsidP="003A28AB">
      <w:pPr>
        <w:spacing w:before="100" w:beforeAutospacing="1" w:after="100" w:afterAutospacing="1" w:line="360" w:lineRule="auto"/>
        <w:jc w:val="both"/>
      </w:pPr>
    </w:p>
    <w:p w14:paraId="6E261D62" w14:textId="77777777" w:rsidR="00A679AB" w:rsidRDefault="00A679AB" w:rsidP="003A28AB">
      <w:pPr>
        <w:spacing w:before="100" w:beforeAutospacing="1" w:after="100" w:afterAutospacing="1" w:line="360" w:lineRule="auto"/>
        <w:jc w:val="both"/>
      </w:pPr>
    </w:p>
    <w:p w14:paraId="4D99417C" w14:textId="77777777" w:rsidR="00A679AB" w:rsidRDefault="00A679AB" w:rsidP="003A28AB">
      <w:pPr>
        <w:spacing w:before="100" w:beforeAutospacing="1" w:after="100" w:afterAutospacing="1" w:line="360" w:lineRule="auto"/>
        <w:jc w:val="both"/>
      </w:pPr>
    </w:p>
    <w:p w14:paraId="33BFD84C" w14:textId="77777777" w:rsidR="00A679AB" w:rsidRPr="00D7266D" w:rsidRDefault="00A679AB" w:rsidP="003A28AB">
      <w:pPr>
        <w:spacing w:before="100" w:beforeAutospacing="1" w:after="100" w:afterAutospacing="1" w:line="360" w:lineRule="auto"/>
        <w:jc w:val="both"/>
      </w:pPr>
    </w:p>
    <w:p w14:paraId="151C62F1" w14:textId="73F7B8B0" w:rsidR="00040ABE" w:rsidRPr="003A28AB" w:rsidRDefault="00F11DBB" w:rsidP="003A28AB">
      <w:pPr>
        <w:pStyle w:val="NormalWeb"/>
        <w:numPr>
          <w:ilvl w:val="0"/>
          <w:numId w:val="34"/>
        </w:numPr>
        <w:spacing w:line="360" w:lineRule="auto"/>
        <w:jc w:val="both"/>
        <w:rPr>
          <w:b/>
          <w:bCs/>
          <w:color w:val="000000"/>
        </w:rPr>
      </w:pPr>
      <w:r w:rsidRPr="003A28AB">
        <w:rPr>
          <w:b/>
          <w:bCs/>
          <w:color w:val="000000"/>
        </w:rPr>
        <w:lastRenderedPageBreak/>
        <w:t xml:space="preserve">Theoretical </w:t>
      </w:r>
      <w:proofErr w:type="gramStart"/>
      <w:r w:rsidRPr="003A28AB">
        <w:rPr>
          <w:b/>
          <w:bCs/>
          <w:color w:val="000000"/>
        </w:rPr>
        <w:t>Perspectives :</w:t>
      </w:r>
      <w:proofErr w:type="gramEnd"/>
      <w:r w:rsidRPr="003A28AB">
        <w:rPr>
          <w:b/>
          <w:bCs/>
          <w:color w:val="000000"/>
        </w:rPr>
        <w:t xml:space="preserve"> </w:t>
      </w:r>
    </w:p>
    <w:p w14:paraId="5FA5DBFC" w14:textId="64B82082" w:rsidR="0030725F" w:rsidRPr="00D7266D" w:rsidRDefault="0030725F" w:rsidP="003A28AB">
      <w:pPr>
        <w:pStyle w:val="NormalWeb"/>
        <w:spacing w:line="360" w:lineRule="auto"/>
        <w:ind w:left="720"/>
        <w:jc w:val="both"/>
        <w:rPr>
          <w:color w:val="000000"/>
        </w:rPr>
      </w:pPr>
      <w:r>
        <w:rPr>
          <w:color w:val="000000"/>
        </w:rPr>
        <w:t xml:space="preserve">3.1 </w:t>
      </w:r>
      <w:r w:rsidRPr="003A28AB">
        <w:rPr>
          <w:b/>
          <w:bCs/>
          <w:color w:val="000000"/>
        </w:rPr>
        <w:t>Enterprise Management Theory:</w:t>
      </w:r>
      <w:r>
        <w:rPr>
          <w:color w:val="000000"/>
        </w:rPr>
        <w:t xml:space="preserve"> </w:t>
      </w:r>
    </w:p>
    <w:p w14:paraId="424CF168" w14:textId="30550889" w:rsidR="00F11DBB" w:rsidRPr="00D7266D" w:rsidRDefault="00F11DBB" w:rsidP="003A28AB">
      <w:pPr>
        <w:pStyle w:val="NormalWeb"/>
        <w:spacing w:line="360" w:lineRule="auto"/>
        <w:jc w:val="both"/>
        <w:rPr>
          <w:color w:val="000000"/>
        </w:rPr>
      </w:pPr>
      <w:r w:rsidRPr="00D7266D">
        <w:rPr>
          <w:color w:val="000000"/>
        </w:rPr>
        <w:t>This study is grounded in</w:t>
      </w:r>
      <w:r w:rsidRPr="00D7266D">
        <w:rPr>
          <w:rStyle w:val="apple-converted-space"/>
          <w:color w:val="000000"/>
        </w:rPr>
        <w:t> </w:t>
      </w:r>
      <w:r w:rsidRPr="00D7266D">
        <w:rPr>
          <w:rStyle w:val="Strong"/>
          <w:b w:val="0"/>
          <w:bCs w:val="0"/>
          <w:color w:val="000000"/>
        </w:rPr>
        <w:t>Enterprise Management Theory (EMT)</w:t>
      </w:r>
      <w:r w:rsidRPr="00D7266D">
        <w:rPr>
          <w:color w:val="000000"/>
        </w:rPr>
        <w:t>, developed through the works of</w:t>
      </w:r>
      <w:r w:rsidRPr="00D7266D">
        <w:rPr>
          <w:rStyle w:val="apple-converted-space"/>
          <w:color w:val="000000"/>
        </w:rPr>
        <w:t> </w:t>
      </w:r>
      <w:r w:rsidRPr="00D7266D">
        <w:rPr>
          <w:rStyle w:val="Strong"/>
          <w:b w:val="0"/>
          <w:bCs w:val="0"/>
          <w:color w:val="000000"/>
        </w:rPr>
        <w:t>Drucker (1954)</w:t>
      </w:r>
      <w:r w:rsidRPr="00D7266D">
        <w:rPr>
          <w:color w:val="000000"/>
        </w:rPr>
        <w:t xml:space="preserve">, who </w:t>
      </w:r>
      <w:r w:rsidR="00A679AB">
        <w:rPr>
          <w:color w:val="000000"/>
        </w:rPr>
        <w:t>emphasized</w:t>
      </w:r>
      <w:r w:rsidRPr="00D7266D">
        <w:rPr>
          <w:color w:val="000000"/>
        </w:rPr>
        <w:t xml:space="preserve"> management as a system for integrating </w:t>
      </w:r>
      <w:r w:rsidR="00A679AB">
        <w:rPr>
          <w:color w:val="000000"/>
        </w:rPr>
        <w:t>organizational</w:t>
      </w:r>
      <w:r w:rsidRPr="00D7266D">
        <w:rPr>
          <w:color w:val="000000"/>
        </w:rPr>
        <w:t xml:space="preserve"> resources, and further advanced by</w:t>
      </w:r>
      <w:r w:rsidRPr="00D7266D">
        <w:rPr>
          <w:rStyle w:val="apple-converted-space"/>
          <w:color w:val="000000"/>
        </w:rPr>
        <w:t> </w:t>
      </w:r>
      <w:r w:rsidRPr="00D7266D">
        <w:rPr>
          <w:rStyle w:val="Strong"/>
          <w:b w:val="0"/>
          <w:bCs w:val="0"/>
          <w:color w:val="000000"/>
        </w:rPr>
        <w:t>Chandler (1962)</w:t>
      </w:r>
      <w:r w:rsidRPr="00D7266D">
        <w:rPr>
          <w:rStyle w:val="apple-converted-space"/>
          <w:color w:val="000000"/>
        </w:rPr>
        <w:t> </w:t>
      </w:r>
      <w:r w:rsidRPr="00D7266D">
        <w:rPr>
          <w:color w:val="000000"/>
        </w:rPr>
        <w:t>and</w:t>
      </w:r>
      <w:r w:rsidRPr="00D7266D">
        <w:rPr>
          <w:rStyle w:val="apple-converted-space"/>
          <w:color w:val="000000"/>
        </w:rPr>
        <w:t> </w:t>
      </w:r>
      <w:r w:rsidRPr="00D7266D">
        <w:rPr>
          <w:rStyle w:val="Strong"/>
          <w:b w:val="0"/>
          <w:bCs w:val="0"/>
          <w:color w:val="000000"/>
        </w:rPr>
        <w:t>Mintzberg (1979)</w:t>
      </w:r>
      <w:r w:rsidRPr="00D7266D">
        <w:rPr>
          <w:color w:val="000000"/>
        </w:rPr>
        <w:t xml:space="preserve">, who highlighted the importance of </w:t>
      </w:r>
      <w:r w:rsidR="00A679AB">
        <w:rPr>
          <w:color w:val="000000"/>
        </w:rPr>
        <w:t>organizational</w:t>
      </w:r>
      <w:r w:rsidRPr="00D7266D">
        <w:rPr>
          <w:color w:val="000000"/>
        </w:rPr>
        <w:t xml:space="preserve"> structure, strategic coordination, and managerial control in achieving long-term effectiveness. EMT explains how </w:t>
      </w:r>
      <w:r w:rsidR="00A679AB">
        <w:rPr>
          <w:color w:val="000000"/>
        </w:rPr>
        <w:t>organizations</w:t>
      </w:r>
      <w:r w:rsidRPr="00D7266D">
        <w:rPr>
          <w:color w:val="000000"/>
        </w:rPr>
        <w:t xml:space="preserve"> achieve stability and performance through the integration of internal systems such as governance structures, control mechanisms, and decision-making processes. This theory is particularly relevant to banking institutions, where complex risks and strict regulatory requirements demand strong internal coordination to ensure resilience.</w:t>
      </w:r>
    </w:p>
    <w:p w14:paraId="1CD5F248" w14:textId="77777777" w:rsidR="00F11DBB" w:rsidRPr="00D7266D" w:rsidRDefault="00F11DBB" w:rsidP="003A28AB">
      <w:pPr>
        <w:pStyle w:val="NormalWeb"/>
        <w:spacing w:line="360" w:lineRule="auto"/>
        <w:jc w:val="both"/>
        <w:rPr>
          <w:color w:val="000000"/>
        </w:rPr>
      </w:pPr>
      <w:r w:rsidRPr="00D7266D">
        <w:rPr>
          <w:color w:val="000000"/>
        </w:rPr>
        <w:t>Within this framework,</w:t>
      </w:r>
      <w:r w:rsidRPr="00D7266D">
        <w:rPr>
          <w:rStyle w:val="apple-converted-space"/>
          <w:color w:val="000000"/>
        </w:rPr>
        <w:t> </w:t>
      </w:r>
      <w:r w:rsidRPr="00D7266D">
        <w:rPr>
          <w:rStyle w:val="Strong"/>
          <w:b w:val="0"/>
          <w:bCs w:val="0"/>
          <w:color w:val="000000"/>
        </w:rPr>
        <w:t>Strategic Risk Governance (SRG)</w:t>
      </w:r>
      <w:r w:rsidRPr="00D7266D">
        <w:rPr>
          <w:rStyle w:val="apple-converted-space"/>
          <w:color w:val="000000"/>
        </w:rPr>
        <w:t> </w:t>
      </w:r>
      <w:r w:rsidRPr="00D7266D">
        <w:rPr>
          <w:color w:val="000000"/>
        </w:rPr>
        <w:t xml:space="preserve">is conceptualised as a key enterprise management mechanism. It reflects how </w:t>
      </w:r>
      <w:proofErr w:type="gramStart"/>
      <w:r w:rsidRPr="00D7266D">
        <w:rPr>
          <w:color w:val="000000"/>
        </w:rPr>
        <w:t>banks</w:t>
      </w:r>
      <w:proofErr w:type="gramEnd"/>
      <w:r w:rsidRPr="00D7266D">
        <w:rPr>
          <w:color w:val="000000"/>
        </w:rPr>
        <w:t xml:space="preserve"> structure and coordinate risk oversight through</w:t>
      </w:r>
      <w:r w:rsidRPr="00D7266D">
        <w:rPr>
          <w:rStyle w:val="apple-converted-space"/>
          <w:color w:val="000000"/>
        </w:rPr>
        <w:t> </w:t>
      </w:r>
      <w:r w:rsidRPr="00D7266D">
        <w:rPr>
          <w:rStyle w:val="Strong"/>
          <w:b w:val="0"/>
          <w:bCs w:val="0"/>
          <w:color w:val="000000"/>
        </w:rPr>
        <w:t>board oversight, risk committees, and Enterprise Risk Management (ERM) systems</w:t>
      </w:r>
      <w:r w:rsidRPr="00D7266D">
        <w:rPr>
          <w:color w:val="000000"/>
        </w:rPr>
        <w:t>. Consistent with EMT, these governance elements are most effective when they are integrated and aligned with strategic objectives, ensuring that risk considerations are embedded in decision-making and operational processes.</w:t>
      </w:r>
    </w:p>
    <w:p w14:paraId="56BC8348" w14:textId="77777777" w:rsidR="00F11DBB" w:rsidRPr="00D7266D" w:rsidRDefault="00F11DBB" w:rsidP="003A28AB">
      <w:pPr>
        <w:pStyle w:val="NormalWeb"/>
        <w:spacing w:line="360" w:lineRule="auto"/>
        <w:jc w:val="both"/>
        <w:rPr>
          <w:color w:val="000000"/>
        </w:rPr>
      </w:pPr>
      <w:r w:rsidRPr="00D7266D">
        <w:rPr>
          <w:color w:val="000000"/>
        </w:rPr>
        <w:t>From an EMT perspective,</w:t>
      </w:r>
      <w:r w:rsidRPr="00D7266D">
        <w:rPr>
          <w:rStyle w:val="apple-converted-space"/>
          <w:color w:val="000000"/>
        </w:rPr>
        <w:t> </w:t>
      </w:r>
      <w:r w:rsidRPr="00D7266D">
        <w:rPr>
          <w:rStyle w:val="Strong"/>
          <w:b w:val="0"/>
          <w:bCs w:val="0"/>
          <w:color w:val="000000"/>
        </w:rPr>
        <w:t>banking resilience</w:t>
      </w:r>
      <w:r w:rsidRPr="00D7266D">
        <w:rPr>
          <w:rStyle w:val="apple-converted-space"/>
          <w:color w:val="000000"/>
        </w:rPr>
        <w:t> </w:t>
      </w:r>
      <w:r w:rsidRPr="00D7266D">
        <w:rPr>
          <w:color w:val="000000"/>
        </w:rPr>
        <w:t>is an outcome of effective enterprise management. It refers to a bank’s ability to withstand financial shocks, maintain core operations, and recover from disruptions. Strong SRG enhances resilience by improving coordination, strengthening risk identification, and aligning strategic decisions with risk exposure, thereby reinforcing organisational stability.</w:t>
      </w:r>
    </w:p>
    <w:p w14:paraId="190533CE" w14:textId="77777777" w:rsidR="00F11DBB" w:rsidRPr="00D7266D" w:rsidRDefault="00F11DBB" w:rsidP="003A28AB">
      <w:pPr>
        <w:pStyle w:val="NormalWeb"/>
        <w:spacing w:line="360" w:lineRule="auto"/>
        <w:jc w:val="both"/>
        <w:rPr>
          <w:color w:val="000000"/>
        </w:rPr>
      </w:pPr>
      <w:r w:rsidRPr="00D7266D">
        <w:rPr>
          <w:color w:val="000000"/>
        </w:rPr>
        <w:t>The theory further emphasises the role of</w:t>
      </w:r>
      <w:r w:rsidRPr="00D7266D">
        <w:rPr>
          <w:rStyle w:val="apple-converted-space"/>
          <w:color w:val="000000"/>
        </w:rPr>
        <w:t> </w:t>
      </w:r>
      <w:r w:rsidRPr="00D7266D">
        <w:rPr>
          <w:rStyle w:val="Strong"/>
          <w:b w:val="0"/>
          <w:bCs w:val="0"/>
          <w:color w:val="000000"/>
        </w:rPr>
        <w:t>internal organisational mechanisms</w:t>
      </w:r>
      <w:r w:rsidRPr="00D7266D">
        <w:rPr>
          <w:rStyle w:val="apple-converted-space"/>
          <w:color w:val="000000"/>
        </w:rPr>
        <w:t> </w:t>
      </w:r>
      <w:r w:rsidRPr="00D7266D">
        <w:rPr>
          <w:color w:val="000000"/>
        </w:rPr>
        <w:t>in translating governance structures into outcomes. In this study, these include</w:t>
      </w:r>
      <w:r w:rsidRPr="00D7266D">
        <w:rPr>
          <w:rStyle w:val="apple-converted-space"/>
          <w:color w:val="000000"/>
        </w:rPr>
        <w:t> </w:t>
      </w:r>
      <w:r w:rsidRPr="00D7266D">
        <w:rPr>
          <w:rStyle w:val="Strong"/>
          <w:b w:val="0"/>
          <w:bCs w:val="0"/>
          <w:color w:val="000000"/>
        </w:rPr>
        <w:t>risk culture, decision-making quality, and risk monitoring systems</w:t>
      </w:r>
      <w:r w:rsidRPr="00D7266D">
        <w:rPr>
          <w:color w:val="000000"/>
        </w:rPr>
        <w:t>. A strong risk culture promotes accountability and awareness, effective decision-making enhances responsiveness to risk, and robust monitoring systems support early detection and mitigation of vulnerabilities.</w:t>
      </w:r>
    </w:p>
    <w:p w14:paraId="77A126B9" w14:textId="77777777" w:rsidR="00F11DBB" w:rsidRPr="00D7266D" w:rsidRDefault="00F11DBB" w:rsidP="003A28AB">
      <w:pPr>
        <w:pStyle w:val="NormalWeb"/>
        <w:spacing w:line="360" w:lineRule="auto"/>
        <w:jc w:val="both"/>
        <w:rPr>
          <w:color w:val="000000"/>
        </w:rPr>
      </w:pPr>
      <w:r w:rsidRPr="00D7266D">
        <w:rPr>
          <w:color w:val="000000"/>
        </w:rPr>
        <w:lastRenderedPageBreak/>
        <w:t>In addition, EMT recognises the influence of the external environment, particularly</w:t>
      </w:r>
      <w:r w:rsidRPr="00D7266D">
        <w:rPr>
          <w:rStyle w:val="apple-converted-space"/>
          <w:color w:val="000000"/>
        </w:rPr>
        <w:t> </w:t>
      </w:r>
      <w:r w:rsidRPr="00D7266D">
        <w:rPr>
          <w:rStyle w:val="Strong"/>
          <w:b w:val="0"/>
          <w:bCs w:val="0"/>
          <w:color w:val="000000"/>
        </w:rPr>
        <w:t>regulatory frameworks</w:t>
      </w:r>
      <w:r w:rsidRPr="00D7266D">
        <w:rPr>
          <w:color w:val="000000"/>
        </w:rPr>
        <w:t>, in shaping organisational systems. In banking, regulations provide formal risk management standards; however, resilience depends not only on compliance but also on how effectively banks integrate these requirements into internal governance practices. This study therefore examines the alignment between regulatory expectations and actual resilience outcomes in Bangladesh’s banking sector.</w:t>
      </w:r>
    </w:p>
    <w:p w14:paraId="7C576C95" w14:textId="77777777" w:rsidR="00F11DBB" w:rsidRPr="00D7266D" w:rsidRDefault="00F11DBB" w:rsidP="003A28AB">
      <w:pPr>
        <w:pStyle w:val="NormalWeb"/>
        <w:spacing w:line="360" w:lineRule="auto"/>
        <w:jc w:val="both"/>
        <w:rPr>
          <w:color w:val="000000"/>
        </w:rPr>
      </w:pPr>
      <w:r w:rsidRPr="00D7266D">
        <w:rPr>
          <w:color w:val="000000"/>
        </w:rPr>
        <w:t>Overall, EMT provides a strong explanatory foundation for this study by demonstrating how</w:t>
      </w:r>
      <w:r w:rsidRPr="00D7266D">
        <w:rPr>
          <w:rStyle w:val="apple-converted-space"/>
          <w:color w:val="000000"/>
        </w:rPr>
        <w:t> </w:t>
      </w:r>
      <w:r w:rsidRPr="00D7266D">
        <w:rPr>
          <w:rStyle w:val="Strong"/>
          <w:b w:val="0"/>
          <w:bCs w:val="0"/>
          <w:color w:val="000000"/>
        </w:rPr>
        <w:t>integrated enterprise systems drive banking resilience through structured governance mechanisms and internal organisational processes</w:t>
      </w:r>
      <w:r w:rsidRPr="00D7266D">
        <w:rPr>
          <w:color w:val="000000"/>
        </w:rPr>
        <w:t>. It supports the central argument that effective strategic risk governance significantly enhances the resilience of commercial banks (Drucker, 1954; Chandler, 1962; Mintzberg, 1979).</w:t>
      </w:r>
    </w:p>
    <w:p w14:paraId="7F332FB3" w14:textId="1A445854" w:rsidR="00F11DBB" w:rsidRPr="003A28AB" w:rsidRDefault="0030725F" w:rsidP="003A28AB">
      <w:pPr>
        <w:pStyle w:val="NormalWeb"/>
        <w:spacing w:line="360" w:lineRule="auto"/>
        <w:jc w:val="both"/>
        <w:rPr>
          <w:b/>
          <w:bCs/>
          <w:color w:val="000000"/>
        </w:rPr>
      </w:pPr>
      <w:r w:rsidRPr="003A28AB">
        <w:rPr>
          <w:b/>
          <w:bCs/>
          <w:color w:val="000000"/>
        </w:rPr>
        <w:t xml:space="preserve">3.2 </w:t>
      </w:r>
      <w:r w:rsidR="00F11DBB" w:rsidRPr="003A28AB">
        <w:rPr>
          <w:b/>
          <w:bCs/>
          <w:color w:val="000000"/>
        </w:rPr>
        <w:t>Dynamic Capabilities Theory</w:t>
      </w:r>
      <w:r w:rsidR="00F11DBB" w:rsidRPr="003A28AB">
        <w:rPr>
          <w:rStyle w:val="apple-converted-space"/>
          <w:b/>
          <w:bCs/>
          <w:color w:val="000000"/>
        </w:rPr>
        <w:t> </w:t>
      </w:r>
    </w:p>
    <w:p w14:paraId="0014BC93" w14:textId="77777777" w:rsidR="00F11DBB" w:rsidRPr="00D7266D" w:rsidRDefault="00F11DBB" w:rsidP="003A28AB">
      <w:pPr>
        <w:pStyle w:val="NormalWeb"/>
        <w:spacing w:line="360" w:lineRule="auto"/>
        <w:jc w:val="both"/>
        <w:rPr>
          <w:color w:val="000000"/>
        </w:rPr>
      </w:pPr>
      <w:r w:rsidRPr="00D7266D">
        <w:rPr>
          <w:color w:val="000000"/>
        </w:rPr>
        <w:t>This study is also informed by</w:t>
      </w:r>
      <w:r w:rsidRPr="00D7266D">
        <w:rPr>
          <w:rStyle w:val="apple-converted-space"/>
          <w:color w:val="000000"/>
        </w:rPr>
        <w:t> </w:t>
      </w:r>
      <w:r w:rsidRPr="00D7266D">
        <w:rPr>
          <w:rStyle w:val="Strong"/>
          <w:b w:val="0"/>
          <w:bCs w:val="0"/>
          <w:color w:val="000000"/>
        </w:rPr>
        <w:t>Dynamic Capabilities Theory</w:t>
      </w:r>
      <w:r w:rsidRPr="00D7266D">
        <w:rPr>
          <w:color w:val="000000"/>
        </w:rPr>
        <w:t>, developed by</w:t>
      </w:r>
      <w:r w:rsidRPr="00D7266D">
        <w:rPr>
          <w:rStyle w:val="apple-converted-space"/>
          <w:color w:val="000000"/>
        </w:rPr>
        <w:t> </w:t>
      </w:r>
      <w:r w:rsidRPr="00D7266D">
        <w:rPr>
          <w:rStyle w:val="Strong"/>
          <w:b w:val="0"/>
          <w:bCs w:val="0"/>
          <w:color w:val="000000"/>
        </w:rPr>
        <w:t xml:space="preserve">Teece, Pisano and </w:t>
      </w:r>
      <w:proofErr w:type="spellStart"/>
      <w:r w:rsidRPr="00D7266D">
        <w:rPr>
          <w:rStyle w:val="Strong"/>
          <w:b w:val="0"/>
          <w:bCs w:val="0"/>
          <w:color w:val="000000"/>
        </w:rPr>
        <w:t>Shuen</w:t>
      </w:r>
      <w:proofErr w:type="spellEnd"/>
      <w:r w:rsidRPr="00D7266D">
        <w:rPr>
          <w:rStyle w:val="Strong"/>
          <w:b w:val="0"/>
          <w:bCs w:val="0"/>
          <w:color w:val="000000"/>
        </w:rPr>
        <w:t xml:space="preserve"> (1997)</w:t>
      </w:r>
      <w:r w:rsidRPr="00D7266D">
        <w:rPr>
          <w:color w:val="000000"/>
        </w:rPr>
        <w:t>, which explains how organisations achieve sustained performance by continuously</w:t>
      </w:r>
      <w:r w:rsidRPr="00D7266D">
        <w:rPr>
          <w:rStyle w:val="apple-converted-space"/>
          <w:color w:val="000000"/>
        </w:rPr>
        <w:t> </w:t>
      </w:r>
      <w:r w:rsidRPr="00D7266D">
        <w:rPr>
          <w:rStyle w:val="Strong"/>
          <w:b w:val="0"/>
          <w:bCs w:val="0"/>
          <w:color w:val="000000"/>
        </w:rPr>
        <w:t>sensing opportunities and threats, seizing them through appropriate responses, and transforming internal structures and processes</w:t>
      </w:r>
      <w:r w:rsidRPr="00D7266D">
        <w:rPr>
          <w:rStyle w:val="apple-converted-space"/>
          <w:color w:val="000000"/>
        </w:rPr>
        <w:t> </w:t>
      </w:r>
      <w:r w:rsidRPr="00D7266D">
        <w:rPr>
          <w:color w:val="000000"/>
        </w:rPr>
        <w:t>to maintain competitiveness in changing environments. The theory extends the resource-based view by emphasising adaptability and organisational learning in dynamic and uncertain contexts.</w:t>
      </w:r>
    </w:p>
    <w:p w14:paraId="3692F6D8" w14:textId="77777777" w:rsidR="00F11DBB" w:rsidRPr="00D7266D" w:rsidRDefault="00F11DBB" w:rsidP="003A28AB">
      <w:pPr>
        <w:pStyle w:val="NormalWeb"/>
        <w:spacing w:line="360" w:lineRule="auto"/>
        <w:jc w:val="both"/>
        <w:rPr>
          <w:color w:val="000000"/>
        </w:rPr>
      </w:pPr>
      <w:r w:rsidRPr="00D7266D">
        <w:rPr>
          <w:color w:val="000000"/>
        </w:rPr>
        <w:t>In the banking sector, this theory is particularly relevant due to continuous exposure to financial shocks, regulatory changes, and systemic risks. Commercial banks must therefore develop capabilities that allow them to adapt governance and risk management systems in response to evolving conditions.</w:t>
      </w:r>
    </w:p>
    <w:p w14:paraId="3F149316" w14:textId="77777777" w:rsidR="00F11DBB" w:rsidRPr="00D7266D" w:rsidRDefault="00F11DBB" w:rsidP="003A28AB">
      <w:pPr>
        <w:pStyle w:val="NormalWeb"/>
        <w:spacing w:line="360" w:lineRule="auto"/>
        <w:jc w:val="both"/>
        <w:rPr>
          <w:color w:val="000000"/>
        </w:rPr>
      </w:pPr>
      <w:r w:rsidRPr="00D7266D">
        <w:rPr>
          <w:color w:val="000000"/>
        </w:rPr>
        <w:t>Within this framework,</w:t>
      </w:r>
      <w:r w:rsidRPr="00D7266D">
        <w:rPr>
          <w:rStyle w:val="apple-converted-space"/>
          <w:color w:val="000000"/>
        </w:rPr>
        <w:t> </w:t>
      </w:r>
      <w:r w:rsidRPr="00D7266D">
        <w:rPr>
          <w:rStyle w:val="Strong"/>
          <w:b w:val="0"/>
          <w:bCs w:val="0"/>
          <w:color w:val="000000"/>
        </w:rPr>
        <w:t>Strategic Risk Governance (SRG)</w:t>
      </w:r>
      <w:r w:rsidRPr="00D7266D">
        <w:rPr>
          <w:rStyle w:val="apple-converted-space"/>
          <w:color w:val="000000"/>
        </w:rPr>
        <w:t> </w:t>
      </w:r>
      <w:r w:rsidRPr="00D7266D">
        <w:rPr>
          <w:color w:val="000000"/>
        </w:rPr>
        <w:t>represents a key dynamic capability. Mechanisms such as</w:t>
      </w:r>
      <w:r w:rsidRPr="00D7266D">
        <w:rPr>
          <w:rStyle w:val="apple-converted-space"/>
          <w:color w:val="000000"/>
        </w:rPr>
        <w:t> </w:t>
      </w:r>
      <w:r w:rsidRPr="00D7266D">
        <w:rPr>
          <w:rStyle w:val="Strong"/>
          <w:b w:val="0"/>
          <w:bCs w:val="0"/>
          <w:color w:val="000000"/>
        </w:rPr>
        <w:t>board oversight, risk committees, and Enterprise Risk Management (ERM) systems</w:t>
      </w:r>
      <w:r w:rsidRPr="00D7266D">
        <w:rPr>
          <w:rStyle w:val="apple-converted-space"/>
          <w:color w:val="000000"/>
        </w:rPr>
        <w:t> </w:t>
      </w:r>
      <w:r w:rsidRPr="00D7266D">
        <w:rPr>
          <w:color w:val="000000"/>
        </w:rPr>
        <w:t>enable banks to</w:t>
      </w:r>
      <w:r w:rsidRPr="00D7266D">
        <w:rPr>
          <w:rStyle w:val="apple-converted-space"/>
          <w:color w:val="000000"/>
        </w:rPr>
        <w:t> </w:t>
      </w:r>
      <w:r w:rsidRPr="00D7266D">
        <w:rPr>
          <w:rStyle w:val="Strong"/>
          <w:b w:val="0"/>
          <w:bCs w:val="0"/>
          <w:color w:val="000000"/>
        </w:rPr>
        <w:t>sense emerging risks</w:t>
      </w:r>
      <w:r w:rsidRPr="00D7266D">
        <w:rPr>
          <w:color w:val="000000"/>
        </w:rPr>
        <w:t>,</w:t>
      </w:r>
      <w:r w:rsidRPr="00D7266D">
        <w:rPr>
          <w:rStyle w:val="apple-converted-space"/>
          <w:color w:val="000000"/>
        </w:rPr>
        <w:t> </w:t>
      </w:r>
      <w:r w:rsidRPr="00D7266D">
        <w:rPr>
          <w:rStyle w:val="Strong"/>
          <w:b w:val="0"/>
          <w:bCs w:val="0"/>
          <w:color w:val="000000"/>
        </w:rPr>
        <w:t>seize appropriate strategic responses</w:t>
      </w:r>
      <w:r w:rsidRPr="00D7266D">
        <w:rPr>
          <w:color w:val="000000"/>
        </w:rPr>
        <w:t>, and</w:t>
      </w:r>
      <w:r w:rsidRPr="00D7266D">
        <w:rPr>
          <w:rStyle w:val="apple-converted-space"/>
          <w:color w:val="000000"/>
        </w:rPr>
        <w:t> </w:t>
      </w:r>
      <w:r w:rsidRPr="00D7266D">
        <w:rPr>
          <w:rStyle w:val="Strong"/>
          <w:b w:val="0"/>
          <w:bCs w:val="0"/>
          <w:color w:val="000000"/>
        </w:rPr>
        <w:t>transform governance structures</w:t>
      </w:r>
      <w:r w:rsidRPr="00D7266D">
        <w:rPr>
          <w:rStyle w:val="apple-converted-space"/>
          <w:color w:val="000000"/>
        </w:rPr>
        <w:t> </w:t>
      </w:r>
      <w:r w:rsidRPr="00D7266D">
        <w:rPr>
          <w:color w:val="000000"/>
        </w:rPr>
        <w:t>to improve resilience over time (Teece, 2007; Eisenhardt and Martin, 2000).</w:t>
      </w:r>
    </w:p>
    <w:p w14:paraId="135B9992" w14:textId="77777777" w:rsidR="00F11DBB" w:rsidRPr="00D7266D" w:rsidRDefault="00F11DBB" w:rsidP="003A28AB">
      <w:pPr>
        <w:pStyle w:val="NormalWeb"/>
        <w:spacing w:line="360" w:lineRule="auto"/>
        <w:jc w:val="both"/>
        <w:rPr>
          <w:color w:val="000000"/>
        </w:rPr>
      </w:pPr>
      <w:r w:rsidRPr="00D7266D">
        <w:rPr>
          <w:color w:val="000000"/>
        </w:rPr>
        <w:lastRenderedPageBreak/>
        <w:t>From a Dynamic Capabilities perspective,</w:t>
      </w:r>
      <w:r w:rsidRPr="00D7266D">
        <w:rPr>
          <w:rStyle w:val="apple-converted-space"/>
          <w:color w:val="000000"/>
        </w:rPr>
        <w:t> </w:t>
      </w:r>
      <w:r w:rsidRPr="00D7266D">
        <w:rPr>
          <w:rStyle w:val="Strong"/>
          <w:b w:val="0"/>
          <w:bCs w:val="0"/>
          <w:color w:val="000000"/>
        </w:rPr>
        <w:t>banking resilience</w:t>
      </w:r>
      <w:r w:rsidRPr="00D7266D">
        <w:rPr>
          <w:rStyle w:val="apple-converted-space"/>
          <w:color w:val="000000"/>
        </w:rPr>
        <w:t> </w:t>
      </w:r>
      <w:r w:rsidRPr="00D7266D">
        <w:rPr>
          <w:color w:val="000000"/>
        </w:rPr>
        <w:t>is not only the result of strong static governance structures but also the outcome of a bank’s ability to continuously adapt its risk governance practices in response to environmental changes. Banks with stronger dynamic capabilities are therefore better able to manage uncertainty, recover from disruptions, and maintain operational stability.</w:t>
      </w:r>
    </w:p>
    <w:p w14:paraId="3C1F4311" w14:textId="77777777" w:rsidR="00F11DBB" w:rsidRPr="00D7266D" w:rsidRDefault="00F11DBB" w:rsidP="003A28AB">
      <w:pPr>
        <w:pStyle w:val="NormalWeb"/>
        <w:spacing w:line="360" w:lineRule="auto"/>
        <w:jc w:val="both"/>
        <w:rPr>
          <w:color w:val="000000"/>
        </w:rPr>
      </w:pPr>
      <w:r w:rsidRPr="00D7266D">
        <w:rPr>
          <w:color w:val="000000"/>
        </w:rPr>
        <w:t>The theory further supports the importance of internal mechanisms such as</w:t>
      </w:r>
      <w:r w:rsidRPr="00D7266D">
        <w:rPr>
          <w:rStyle w:val="apple-converted-space"/>
          <w:color w:val="000000"/>
        </w:rPr>
        <w:t> </w:t>
      </w:r>
      <w:r w:rsidRPr="00D7266D">
        <w:rPr>
          <w:rStyle w:val="Strong"/>
          <w:b w:val="0"/>
          <w:bCs w:val="0"/>
          <w:color w:val="000000"/>
        </w:rPr>
        <w:t>risk culture, decision-making quality, and risk monitoring systems</w:t>
      </w:r>
      <w:r w:rsidRPr="00D7266D">
        <w:rPr>
          <w:color w:val="000000"/>
        </w:rPr>
        <w:t>, which enhance organisational learning and responsiveness. These mechanisms allow banks to interpret risk signals quickly and adjust governance actions effectively, thereby strengthening resilience.</w:t>
      </w:r>
    </w:p>
    <w:p w14:paraId="165CB287" w14:textId="77777777" w:rsidR="00F11DBB" w:rsidRDefault="00F11DBB" w:rsidP="003A28AB">
      <w:pPr>
        <w:pStyle w:val="NormalWeb"/>
        <w:spacing w:line="360" w:lineRule="auto"/>
        <w:jc w:val="both"/>
        <w:rPr>
          <w:color w:val="000000"/>
        </w:rPr>
      </w:pPr>
      <w:r w:rsidRPr="00D7266D">
        <w:rPr>
          <w:color w:val="000000"/>
        </w:rPr>
        <w:t>Finally, Dynamic Capabilities Theory aligns with the regulatory dimension of this study by explaining how banks respond to changing</w:t>
      </w:r>
      <w:r w:rsidRPr="00D7266D">
        <w:rPr>
          <w:rStyle w:val="apple-converted-space"/>
          <w:color w:val="000000"/>
        </w:rPr>
        <w:t> </w:t>
      </w:r>
      <w:r w:rsidRPr="00D7266D">
        <w:rPr>
          <w:rStyle w:val="Strong"/>
          <w:b w:val="0"/>
          <w:bCs w:val="0"/>
          <w:color w:val="000000"/>
        </w:rPr>
        <w:t>regulatory frameworks</w:t>
      </w:r>
      <w:r w:rsidRPr="00D7266D">
        <w:rPr>
          <w:color w:val="000000"/>
        </w:rPr>
        <w:t>. Rather than passive compliance, banks with strong capabilities actively integrate regulatory requirements into their governance systems, improving alignment between regulation and actual resilience outcomes.</w:t>
      </w:r>
    </w:p>
    <w:p w14:paraId="17F1C9EA" w14:textId="77777777" w:rsidR="00A679AB" w:rsidRDefault="00A679AB" w:rsidP="003A28AB">
      <w:pPr>
        <w:pStyle w:val="NormalWeb"/>
        <w:spacing w:line="360" w:lineRule="auto"/>
        <w:jc w:val="both"/>
        <w:rPr>
          <w:color w:val="000000"/>
        </w:rPr>
      </w:pPr>
    </w:p>
    <w:p w14:paraId="57BF0C5D" w14:textId="77777777" w:rsidR="00A679AB" w:rsidRDefault="00A679AB" w:rsidP="003A28AB">
      <w:pPr>
        <w:pStyle w:val="NormalWeb"/>
        <w:spacing w:line="360" w:lineRule="auto"/>
        <w:jc w:val="both"/>
        <w:rPr>
          <w:color w:val="000000"/>
        </w:rPr>
      </w:pPr>
    </w:p>
    <w:p w14:paraId="55977A02" w14:textId="77777777" w:rsidR="00A679AB" w:rsidRDefault="00A679AB" w:rsidP="003A28AB">
      <w:pPr>
        <w:pStyle w:val="NormalWeb"/>
        <w:spacing w:line="360" w:lineRule="auto"/>
        <w:jc w:val="both"/>
        <w:rPr>
          <w:color w:val="000000"/>
        </w:rPr>
      </w:pPr>
    </w:p>
    <w:p w14:paraId="72153E44" w14:textId="77777777" w:rsidR="00A679AB" w:rsidRDefault="00A679AB" w:rsidP="003A28AB">
      <w:pPr>
        <w:pStyle w:val="NormalWeb"/>
        <w:spacing w:line="360" w:lineRule="auto"/>
        <w:jc w:val="both"/>
        <w:rPr>
          <w:color w:val="000000"/>
        </w:rPr>
      </w:pPr>
    </w:p>
    <w:p w14:paraId="66D697F6" w14:textId="77777777" w:rsidR="00A679AB" w:rsidRDefault="00A679AB" w:rsidP="003A28AB">
      <w:pPr>
        <w:pStyle w:val="NormalWeb"/>
        <w:spacing w:line="360" w:lineRule="auto"/>
        <w:jc w:val="both"/>
        <w:rPr>
          <w:color w:val="000000"/>
        </w:rPr>
      </w:pPr>
    </w:p>
    <w:p w14:paraId="341A57D9" w14:textId="77777777" w:rsidR="00A679AB" w:rsidRDefault="00A679AB" w:rsidP="003A28AB">
      <w:pPr>
        <w:pStyle w:val="NormalWeb"/>
        <w:spacing w:line="360" w:lineRule="auto"/>
        <w:jc w:val="both"/>
        <w:rPr>
          <w:color w:val="000000"/>
        </w:rPr>
      </w:pPr>
    </w:p>
    <w:p w14:paraId="777F8FAF" w14:textId="77777777" w:rsidR="00A679AB" w:rsidRDefault="00A679AB" w:rsidP="003A28AB">
      <w:pPr>
        <w:pStyle w:val="NormalWeb"/>
        <w:spacing w:line="360" w:lineRule="auto"/>
        <w:jc w:val="both"/>
        <w:rPr>
          <w:color w:val="000000"/>
        </w:rPr>
      </w:pPr>
    </w:p>
    <w:p w14:paraId="79B7B5C3" w14:textId="77777777" w:rsidR="00A679AB" w:rsidRDefault="00A679AB" w:rsidP="003A28AB">
      <w:pPr>
        <w:pStyle w:val="NormalWeb"/>
        <w:spacing w:line="360" w:lineRule="auto"/>
        <w:jc w:val="both"/>
        <w:rPr>
          <w:color w:val="000000"/>
        </w:rPr>
      </w:pPr>
    </w:p>
    <w:p w14:paraId="7BFB3B41" w14:textId="77777777" w:rsidR="00A679AB" w:rsidRPr="00D7266D" w:rsidRDefault="00A679AB" w:rsidP="003A28AB">
      <w:pPr>
        <w:pStyle w:val="NormalWeb"/>
        <w:spacing w:line="360" w:lineRule="auto"/>
        <w:jc w:val="both"/>
        <w:rPr>
          <w:color w:val="000000"/>
        </w:rPr>
      </w:pPr>
    </w:p>
    <w:p w14:paraId="5BB68F99" w14:textId="77777777" w:rsidR="003A28AB" w:rsidRDefault="0030725F" w:rsidP="003A28AB">
      <w:pPr>
        <w:pStyle w:val="NormalWeb"/>
        <w:numPr>
          <w:ilvl w:val="0"/>
          <w:numId w:val="34"/>
        </w:numPr>
        <w:spacing w:line="360" w:lineRule="auto"/>
        <w:jc w:val="both"/>
        <w:rPr>
          <w:b/>
          <w:bCs/>
          <w:color w:val="000000"/>
        </w:rPr>
      </w:pPr>
      <w:r w:rsidRPr="003A28AB">
        <w:rPr>
          <w:b/>
          <w:bCs/>
          <w:color w:val="000000"/>
        </w:rPr>
        <w:lastRenderedPageBreak/>
        <w:t>Research Philosophy:</w:t>
      </w:r>
    </w:p>
    <w:p w14:paraId="0BAA4E67" w14:textId="039B21B6" w:rsidR="0030725F" w:rsidRPr="003A28AB" w:rsidRDefault="0030725F" w:rsidP="003A28AB">
      <w:pPr>
        <w:pStyle w:val="NormalWeb"/>
        <w:spacing w:line="360" w:lineRule="auto"/>
        <w:jc w:val="both"/>
        <w:rPr>
          <w:b/>
          <w:bCs/>
          <w:color w:val="000000"/>
        </w:rPr>
      </w:pPr>
      <w:r w:rsidRPr="003A28AB">
        <w:rPr>
          <w:color w:val="000000"/>
        </w:rPr>
        <w:t xml:space="preserve">Research philosophy refers to the set of beliefs about how knowledge is developed and understood in a study. It guides how data are collected, </w:t>
      </w:r>
      <w:r w:rsidR="003A28AB" w:rsidRPr="003A28AB">
        <w:rPr>
          <w:color w:val="000000"/>
        </w:rPr>
        <w:t>analysed</w:t>
      </w:r>
      <w:r w:rsidRPr="003A28AB">
        <w:rPr>
          <w:color w:val="000000"/>
        </w:rPr>
        <w:t>, and interpreted (</w:t>
      </w:r>
      <w:r w:rsidRPr="003A28AB">
        <w:rPr>
          <w:rStyle w:val="whitespace-normal"/>
          <w:color w:val="000000"/>
        </w:rPr>
        <w:t>Mark Saunders</w:t>
      </w:r>
      <w:r w:rsidRPr="003A28AB">
        <w:rPr>
          <w:rStyle w:val="apple-converted-space"/>
          <w:color w:val="000000"/>
        </w:rPr>
        <w:t> </w:t>
      </w:r>
      <w:r w:rsidRPr="003A28AB">
        <w:rPr>
          <w:color w:val="000000"/>
        </w:rPr>
        <w:t>et al., 2019).</w:t>
      </w:r>
    </w:p>
    <w:p w14:paraId="1F8E8961" w14:textId="77777777" w:rsidR="0030725F" w:rsidRPr="00D7266D" w:rsidRDefault="0030725F" w:rsidP="003A28AB">
      <w:pPr>
        <w:pStyle w:val="NormalWeb"/>
        <w:spacing w:line="360" w:lineRule="auto"/>
        <w:jc w:val="both"/>
        <w:rPr>
          <w:color w:val="000000"/>
        </w:rPr>
      </w:pPr>
      <w:r w:rsidRPr="00D7266D">
        <w:rPr>
          <w:color w:val="000000"/>
        </w:rPr>
        <w:t>In this research on strategic risk governance and banking resilience, three main philosophies are relevant:</w:t>
      </w:r>
    </w:p>
    <w:p w14:paraId="3A391E6A" w14:textId="77777777" w:rsidR="0030725F" w:rsidRPr="00D7266D" w:rsidRDefault="0030725F" w:rsidP="003A28AB">
      <w:pPr>
        <w:pStyle w:val="NormalWeb"/>
        <w:spacing w:line="360" w:lineRule="auto"/>
        <w:jc w:val="both"/>
        <w:rPr>
          <w:color w:val="000000"/>
        </w:rPr>
      </w:pPr>
      <w:r w:rsidRPr="00D7266D">
        <w:rPr>
          <w:rStyle w:val="Strong"/>
          <w:b w:val="0"/>
          <w:bCs w:val="0"/>
          <w:color w:val="000000"/>
        </w:rPr>
        <w:t>Positivism</w:t>
      </w:r>
      <w:r w:rsidRPr="00D7266D">
        <w:rPr>
          <w:rStyle w:val="apple-converted-space"/>
          <w:color w:val="000000"/>
        </w:rPr>
        <w:t> </w:t>
      </w:r>
      <w:r w:rsidRPr="00D7266D">
        <w:rPr>
          <w:color w:val="000000"/>
        </w:rPr>
        <w:t>assumes that reality is objective and can be measured using quantitative data. It emphasizes hypothesis testing, statistical analysis, and generalizable findings. This approach is useful for examining measurable relationships—such as the impact of governance structures on financial stability indicators (</w:t>
      </w:r>
      <w:r w:rsidRPr="00D7266D">
        <w:rPr>
          <w:rStyle w:val="whitespace-normal"/>
          <w:color w:val="000000"/>
        </w:rPr>
        <w:t>Auguste Comte</w:t>
      </w:r>
      <w:r w:rsidRPr="00D7266D">
        <w:rPr>
          <w:color w:val="000000"/>
        </w:rPr>
        <w:t>, 1853/modern application).</w:t>
      </w:r>
    </w:p>
    <w:p w14:paraId="3C50899F" w14:textId="77777777" w:rsidR="0030725F" w:rsidRPr="00D7266D" w:rsidRDefault="0030725F" w:rsidP="003A28AB">
      <w:pPr>
        <w:pStyle w:val="NormalWeb"/>
        <w:spacing w:line="360" w:lineRule="auto"/>
        <w:jc w:val="both"/>
        <w:rPr>
          <w:color w:val="000000"/>
        </w:rPr>
      </w:pPr>
      <w:r w:rsidRPr="00D7266D">
        <w:rPr>
          <w:rStyle w:val="Strong"/>
          <w:b w:val="0"/>
          <w:bCs w:val="0"/>
          <w:color w:val="000000"/>
        </w:rPr>
        <w:t>Interpretivism</w:t>
      </w:r>
      <w:r w:rsidRPr="00D7266D">
        <w:rPr>
          <w:color w:val="000000"/>
        </w:rPr>
        <w:t>, in contrast, focuses on understanding subjective meanings and social contexts. It is concerned with how individuals (e.g., bank managers, regulators) perceive and implement risk governance practices. This approach is valuable for gaining in-depth insights into governance processes and institutional realities (</w:t>
      </w:r>
      <w:r w:rsidRPr="00D7266D">
        <w:rPr>
          <w:rStyle w:val="whitespace-normal"/>
          <w:color w:val="000000"/>
        </w:rPr>
        <w:t>Max Weber</w:t>
      </w:r>
      <w:r w:rsidRPr="00D7266D">
        <w:rPr>
          <w:color w:val="000000"/>
        </w:rPr>
        <w:t>, 1922/modern application).</w:t>
      </w:r>
    </w:p>
    <w:p w14:paraId="78BC6CAE" w14:textId="77777777" w:rsidR="0030725F" w:rsidRPr="00D7266D" w:rsidRDefault="0030725F" w:rsidP="003A28AB">
      <w:pPr>
        <w:pStyle w:val="NormalWeb"/>
        <w:spacing w:line="360" w:lineRule="auto"/>
        <w:jc w:val="both"/>
        <w:rPr>
          <w:color w:val="000000"/>
        </w:rPr>
      </w:pPr>
      <w:r w:rsidRPr="00D7266D">
        <w:rPr>
          <w:rStyle w:val="Strong"/>
          <w:b w:val="0"/>
          <w:bCs w:val="0"/>
          <w:color w:val="000000"/>
        </w:rPr>
        <w:t>Pragmatism</w:t>
      </w:r>
      <w:r w:rsidRPr="00D7266D">
        <w:rPr>
          <w:rStyle w:val="apple-converted-space"/>
          <w:color w:val="000000"/>
        </w:rPr>
        <w:t> </w:t>
      </w:r>
      <w:r w:rsidRPr="00D7266D">
        <w:rPr>
          <w:color w:val="000000"/>
        </w:rPr>
        <w:t>combines both approaches, arguing that the research question should determine the methods used. It allows the integration of quantitative data (e.g., financial indicators) and qualitative insights (e.g., expert opinions), making it particularly suitable for complex, real-world problems like banking resilience (</w:t>
      </w:r>
      <w:r w:rsidRPr="00D7266D">
        <w:rPr>
          <w:rStyle w:val="whitespace-normal"/>
          <w:color w:val="000000"/>
        </w:rPr>
        <w:t>John Dewey</w:t>
      </w:r>
      <w:r w:rsidRPr="00D7266D">
        <w:rPr>
          <w:color w:val="000000"/>
        </w:rPr>
        <w:t>, 1938/modern application).</w:t>
      </w:r>
    </w:p>
    <w:p w14:paraId="6FA239D5" w14:textId="77777777" w:rsidR="0030725F" w:rsidRPr="00D7266D" w:rsidRDefault="0030725F" w:rsidP="003A28AB">
      <w:pPr>
        <w:pStyle w:val="NormalWeb"/>
        <w:spacing w:line="360" w:lineRule="auto"/>
        <w:jc w:val="both"/>
        <w:rPr>
          <w:color w:val="000000"/>
        </w:rPr>
      </w:pPr>
      <w:r w:rsidRPr="00D7266D">
        <w:rPr>
          <w:color w:val="000000"/>
        </w:rPr>
        <w:t>Given the nature of this study,</w:t>
      </w:r>
      <w:r w:rsidRPr="00D7266D">
        <w:rPr>
          <w:rStyle w:val="apple-converted-space"/>
          <w:color w:val="000000"/>
        </w:rPr>
        <w:t> </w:t>
      </w:r>
      <w:r w:rsidRPr="00D7266D">
        <w:rPr>
          <w:rStyle w:val="Strong"/>
          <w:b w:val="0"/>
          <w:bCs w:val="0"/>
          <w:color w:val="000000"/>
        </w:rPr>
        <w:t>pragmatism is the most appropriate philosophy</w:t>
      </w:r>
      <w:r w:rsidRPr="00D7266D">
        <w:rPr>
          <w:color w:val="000000"/>
        </w:rPr>
        <w:t>, as it supports a mixed-methods approach to fully capture both measurable outcomes and contextual governance practices.</w:t>
      </w:r>
    </w:p>
    <w:p w14:paraId="132521D3" w14:textId="62495717" w:rsidR="0030725F" w:rsidRPr="003A28AB" w:rsidRDefault="0030725F" w:rsidP="00104E34">
      <w:pPr>
        <w:pStyle w:val="Heading1"/>
        <w:numPr>
          <w:ilvl w:val="0"/>
          <w:numId w:val="34"/>
        </w:numPr>
        <w:spacing w:before="100" w:beforeAutospacing="1" w:after="100" w:afterAutospacing="1"/>
        <w:jc w:val="both"/>
        <w:rPr>
          <w:rFonts w:ascii="Times New Roman" w:hAnsi="Times New Roman" w:cs="Times New Roman"/>
          <w:color w:val="auto"/>
          <w:sz w:val="24"/>
          <w:szCs w:val="24"/>
        </w:rPr>
      </w:pPr>
      <w:r w:rsidRPr="003A28AB">
        <w:rPr>
          <w:rFonts w:ascii="Times New Roman" w:hAnsi="Times New Roman" w:cs="Times New Roman"/>
          <w:color w:val="auto"/>
          <w:sz w:val="24"/>
          <w:szCs w:val="24"/>
        </w:rPr>
        <w:lastRenderedPageBreak/>
        <w:t>Research Paradigm</w:t>
      </w:r>
    </w:p>
    <w:p w14:paraId="128F4910" w14:textId="461D5044" w:rsidR="0030725F" w:rsidRPr="003A28AB" w:rsidRDefault="00104E34"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3A28AB">
        <w:rPr>
          <w:rStyle w:val="Strong"/>
          <w:rFonts w:ascii="Times New Roman" w:hAnsi="Times New Roman" w:cs="Times New Roman"/>
          <w:b/>
          <w:bCs/>
          <w:color w:val="000000"/>
        </w:rPr>
        <w:t xml:space="preserve">5.1 </w:t>
      </w:r>
      <w:r w:rsidR="0030725F" w:rsidRPr="003A28AB">
        <w:rPr>
          <w:rStyle w:val="Strong"/>
          <w:rFonts w:ascii="Times New Roman" w:hAnsi="Times New Roman" w:cs="Times New Roman"/>
          <w:b/>
          <w:bCs/>
          <w:color w:val="000000"/>
        </w:rPr>
        <w:t>Kuhn’s Research Paradigm and Philosophical Position</w:t>
      </w:r>
    </w:p>
    <w:p w14:paraId="001C89A5" w14:textId="701D3222" w:rsidR="0030725F" w:rsidRPr="00A679AB" w:rsidRDefault="0030725F" w:rsidP="00A679AB">
      <w:pPr>
        <w:pStyle w:val="NormalWeb"/>
        <w:spacing w:line="360" w:lineRule="auto"/>
        <w:jc w:val="both"/>
        <w:rPr>
          <w:color w:val="000000"/>
        </w:rPr>
      </w:pPr>
      <w:r w:rsidRPr="00D7266D">
        <w:rPr>
          <w:color w:val="000000"/>
        </w:rPr>
        <w:t>The concept of a research paradigm originates from</w:t>
      </w:r>
      <w:r w:rsidRPr="00D7266D">
        <w:rPr>
          <w:rStyle w:val="apple-converted-space"/>
          <w:color w:val="000000"/>
        </w:rPr>
        <w:t> </w:t>
      </w:r>
      <w:r w:rsidRPr="00D7266D">
        <w:rPr>
          <w:rStyle w:val="whitespace-normal"/>
          <w:color w:val="000000"/>
        </w:rPr>
        <w:t>Thomas Kuhn</w:t>
      </w:r>
      <w:r w:rsidRPr="00D7266D">
        <w:rPr>
          <w:color w:val="000000"/>
        </w:rPr>
        <w:t>, who described paradigms as shared worldviews that guide how research is conducted, including assumptions about reality, knowledge, and methods (Kuhn, 1962). In research, a paradigm integrates</w:t>
      </w:r>
      <w:r w:rsidRPr="00D7266D">
        <w:rPr>
          <w:rStyle w:val="apple-converted-space"/>
          <w:color w:val="000000"/>
        </w:rPr>
        <w:t> </w:t>
      </w:r>
      <w:r w:rsidRPr="00D7266D">
        <w:rPr>
          <w:rStyle w:val="Strong"/>
          <w:b w:val="0"/>
          <w:bCs w:val="0"/>
          <w:color w:val="000000"/>
        </w:rPr>
        <w:t>ontology, epistemology, axiology, and methodology</w:t>
      </w:r>
      <w:r w:rsidRPr="00D7266D">
        <w:rPr>
          <w:rStyle w:val="apple-converted-space"/>
          <w:color w:val="000000"/>
        </w:rPr>
        <w:t> </w:t>
      </w:r>
      <w:r w:rsidRPr="00D7266D">
        <w:rPr>
          <w:color w:val="000000"/>
        </w:rPr>
        <w:t>into a coherent approach.</w:t>
      </w:r>
    </w:p>
    <w:p w14:paraId="61D92ED2" w14:textId="54E41C45" w:rsidR="0030725F" w:rsidRPr="003A28AB" w:rsidRDefault="00104E34"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3A28AB">
        <w:rPr>
          <w:rStyle w:val="Strong"/>
          <w:rFonts w:ascii="Times New Roman" w:hAnsi="Times New Roman" w:cs="Times New Roman"/>
          <w:b/>
          <w:bCs/>
          <w:color w:val="000000"/>
        </w:rPr>
        <w:t xml:space="preserve">5.1.1 </w:t>
      </w:r>
      <w:r w:rsidR="0030725F" w:rsidRPr="003A28AB">
        <w:rPr>
          <w:rStyle w:val="Strong"/>
          <w:rFonts w:ascii="Times New Roman" w:hAnsi="Times New Roman" w:cs="Times New Roman"/>
          <w:b/>
          <w:bCs/>
          <w:color w:val="000000"/>
        </w:rPr>
        <w:t>Pragmatic Research Paradigm</w:t>
      </w:r>
    </w:p>
    <w:p w14:paraId="0B375586" w14:textId="2B19366B" w:rsidR="0030725F" w:rsidRPr="00A679AB" w:rsidRDefault="0030725F" w:rsidP="00A679AB">
      <w:pPr>
        <w:pStyle w:val="NormalWeb"/>
        <w:spacing w:line="360" w:lineRule="auto"/>
        <w:jc w:val="both"/>
        <w:rPr>
          <w:color w:val="000000"/>
        </w:rPr>
      </w:pPr>
      <w:r w:rsidRPr="00D7266D">
        <w:rPr>
          <w:color w:val="000000"/>
        </w:rPr>
        <w:t>For this study on strategic risk governance and banking resilience, the</w:t>
      </w:r>
      <w:r w:rsidRPr="00D7266D">
        <w:rPr>
          <w:rStyle w:val="apple-converted-space"/>
          <w:color w:val="000000"/>
        </w:rPr>
        <w:t> </w:t>
      </w:r>
      <w:r w:rsidRPr="00D7266D">
        <w:rPr>
          <w:rStyle w:val="Strong"/>
          <w:b w:val="0"/>
          <w:bCs w:val="0"/>
          <w:color w:val="000000"/>
        </w:rPr>
        <w:t>pragmatic paradigm</w:t>
      </w:r>
      <w:r w:rsidRPr="00D7266D">
        <w:rPr>
          <w:rStyle w:val="apple-converted-space"/>
          <w:color w:val="000000"/>
        </w:rPr>
        <w:t> </w:t>
      </w:r>
      <w:r w:rsidRPr="00D7266D">
        <w:rPr>
          <w:color w:val="000000"/>
        </w:rPr>
        <w:t>is most appropriate. Pragmatism focuses on solving real-world problems and allows the use of multiple methods to answer research questions (</w:t>
      </w:r>
      <w:r w:rsidRPr="00D7266D">
        <w:rPr>
          <w:rStyle w:val="whitespace-normal"/>
          <w:color w:val="000000"/>
        </w:rPr>
        <w:t>John Dewey</w:t>
      </w:r>
      <w:r w:rsidRPr="00D7266D">
        <w:rPr>
          <w:color w:val="000000"/>
        </w:rPr>
        <w:t xml:space="preserve">, 1938). It does not commit strictly to either positivism or interpretivism but combines both </w:t>
      </w:r>
      <w:proofErr w:type="gramStart"/>
      <w:r w:rsidRPr="00D7266D">
        <w:rPr>
          <w:color w:val="000000"/>
        </w:rPr>
        <w:t>where</w:t>
      </w:r>
      <w:proofErr w:type="gramEnd"/>
      <w:r w:rsidRPr="00D7266D">
        <w:rPr>
          <w:color w:val="000000"/>
        </w:rPr>
        <w:t xml:space="preserve"> useful.</w:t>
      </w:r>
    </w:p>
    <w:p w14:paraId="64D8AD20" w14:textId="36BC68A4" w:rsidR="0030725F" w:rsidRPr="00D7266D" w:rsidRDefault="00104E34" w:rsidP="0030725F">
      <w:pPr>
        <w:pStyle w:val="Heading3"/>
        <w:spacing w:before="100" w:beforeAutospacing="1" w:after="100" w:afterAutospacing="1"/>
        <w:jc w:val="both"/>
        <w:rPr>
          <w:rFonts w:ascii="Times New Roman" w:hAnsi="Times New Roman" w:cs="Times New Roman"/>
          <w:b w:val="0"/>
          <w:bCs w:val="0"/>
          <w:color w:val="000000"/>
        </w:rPr>
      </w:pPr>
      <w:r>
        <w:rPr>
          <w:rStyle w:val="Strong"/>
          <w:rFonts w:ascii="Times New Roman" w:hAnsi="Times New Roman" w:cs="Times New Roman"/>
          <w:color w:val="000000"/>
        </w:rPr>
        <w:t xml:space="preserve">5.1.2 </w:t>
      </w:r>
      <w:r w:rsidR="0030725F" w:rsidRPr="003A28AB">
        <w:rPr>
          <w:rStyle w:val="Strong"/>
          <w:rFonts w:ascii="Times New Roman" w:hAnsi="Times New Roman" w:cs="Times New Roman"/>
          <w:b/>
          <w:bCs/>
          <w:color w:val="000000"/>
        </w:rPr>
        <w:t>Philosophical Components of the Study</w:t>
      </w:r>
    </w:p>
    <w:p w14:paraId="67768E59" w14:textId="40A11468" w:rsidR="0030725F" w:rsidRPr="00D7266D" w:rsidRDefault="00104E34" w:rsidP="003A28AB">
      <w:pPr>
        <w:pStyle w:val="NormalWeb"/>
        <w:spacing w:line="360" w:lineRule="auto"/>
        <w:rPr>
          <w:color w:val="000000"/>
        </w:rPr>
      </w:pPr>
      <w:r>
        <w:rPr>
          <w:rStyle w:val="Strong"/>
          <w:b w:val="0"/>
          <w:bCs w:val="0"/>
          <w:color w:val="000000"/>
        </w:rPr>
        <w:t>5.1.2.1</w:t>
      </w:r>
      <w:r w:rsidR="0030725F" w:rsidRPr="00D7266D">
        <w:rPr>
          <w:rStyle w:val="Strong"/>
          <w:b w:val="0"/>
          <w:bCs w:val="0"/>
          <w:color w:val="000000"/>
        </w:rPr>
        <w:t xml:space="preserve"> </w:t>
      </w:r>
      <w:r w:rsidR="0030725F" w:rsidRPr="003A28AB">
        <w:rPr>
          <w:rStyle w:val="Strong"/>
          <w:color w:val="000000"/>
        </w:rPr>
        <w:t>Ontology (Nature of Reality)</w:t>
      </w:r>
      <w:r w:rsidR="0030725F" w:rsidRPr="00D7266D">
        <w:rPr>
          <w:color w:val="000000"/>
        </w:rPr>
        <w:br/>
        <w:t>Ontology concerns what is considered reality. Under pragmatism, reality is viewed as</w:t>
      </w:r>
      <w:r w:rsidR="0030725F" w:rsidRPr="00D7266D">
        <w:rPr>
          <w:rStyle w:val="apple-converted-space"/>
          <w:color w:val="000000"/>
        </w:rPr>
        <w:t> </w:t>
      </w:r>
      <w:r w:rsidR="0030725F" w:rsidRPr="00D7266D">
        <w:rPr>
          <w:rStyle w:val="Strong"/>
          <w:b w:val="0"/>
          <w:bCs w:val="0"/>
          <w:color w:val="000000"/>
        </w:rPr>
        <w:t>multiple and practical</w:t>
      </w:r>
      <w:r w:rsidR="0030725F" w:rsidRPr="00D7266D">
        <w:rPr>
          <w:color w:val="000000"/>
        </w:rPr>
        <w:t>, depending on context. In this study, banking resilience is both:</w:t>
      </w:r>
    </w:p>
    <w:p w14:paraId="4A3FD17C" w14:textId="77777777" w:rsidR="0030725F" w:rsidRPr="00D7266D" w:rsidRDefault="0030725F" w:rsidP="003A28AB">
      <w:pPr>
        <w:numPr>
          <w:ilvl w:val="0"/>
          <w:numId w:val="10"/>
        </w:numPr>
        <w:spacing w:before="100" w:beforeAutospacing="1" w:after="100" w:afterAutospacing="1" w:line="360" w:lineRule="auto"/>
        <w:jc w:val="both"/>
        <w:rPr>
          <w:color w:val="000000"/>
        </w:rPr>
      </w:pPr>
      <w:r w:rsidRPr="00D7266D">
        <w:rPr>
          <w:color w:val="000000"/>
        </w:rPr>
        <w:t>Objective (e.g., financial indicators like capital adequacy), and</w:t>
      </w:r>
    </w:p>
    <w:p w14:paraId="0D546422" w14:textId="77777777" w:rsidR="0030725F" w:rsidRPr="00D7266D" w:rsidRDefault="0030725F" w:rsidP="003A28AB">
      <w:pPr>
        <w:numPr>
          <w:ilvl w:val="0"/>
          <w:numId w:val="10"/>
        </w:numPr>
        <w:spacing w:before="100" w:beforeAutospacing="1" w:after="100" w:afterAutospacing="1" w:line="360" w:lineRule="auto"/>
        <w:jc w:val="both"/>
        <w:rPr>
          <w:color w:val="000000"/>
        </w:rPr>
      </w:pPr>
      <w:r w:rsidRPr="00D7266D">
        <w:rPr>
          <w:color w:val="000000"/>
        </w:rPr>
        <w:t>Subjective (e.g., managerial perceptions of risk governance).</w:t>
      </w:r>
    </w:p>
    <w:p w14:paraId="7485C913" w14:textId="6E60214F" w:rsidR="0030725F" w:rsidRDefault="0030725F" w:rsidP="003A28AB">
      <w:pPr>
        <w:pStyle w:val="NormalWeb"/>
        <w:spacing w:line="360" w:lineRule="auto"/>
        <w:jc w:val="both"/>
        <w:rPr>
          <w:color w:val="000000"/>
        </w:rPr>
      </w:pPr>
      <w:r w:rsidRPr="00D7266D">
        <w:rPr>
          <w:color w:val="000000"/>
        </w:rPr>
        <w:t>Thus, the study adopts a</w:t>
      </w:r>
      <w:r w:rsidRPr="00D7266D">
        <w:rPr>
          <w:rStyle w:val="apple-converted-space"/>
          <w:color w:val="000000"/>
        </w:rPr>
        <w:t> </w:t>
      </w:r>
      <w:r w:rsidRPr="00D7266D">
        <w:rPr>
          <w:rStyle w:val="Strong"/>
          <w:b w:val="0"/>
          <w:bCs w:val="0"/>
          <w:color w:val="000000"/>
        </w:rPr>
        <w:t>pluralistic ontology</w:t>
      </w:r>
      <w:r w:rsidRPr="00D7266D">
        <w:rPr>
          <w:color w:val="000000"/>
        </w:rPr>
        <w:t>, acknowledging both measurable and socially constructed realities.</w:t>
      </w:r>
    </w:p>
    <w:p w14:paraId="783281F2" w14:textId="77777777" w:rsidR="00A679AB" w:rsidRDefault="00A679AB" w:rsidP="003A28AB">
      <w:pPr>
        <w:pStyle w:val="NormalWeb"/>
        <w:spacing w:line="360" w:lineRule="auto"/>
        <w:jc w:val="both"/>
        <w:rPr>
          <w:color w:val="000000"/>
        </w:rPr>
      </w:pPr>
    </w:p>
    <w:p w14:paraId="33FED885" w14:textId="77777777" w:rsidR="00A679AB" w:rsidRDefault="00A679AB" w:rsidP="003A28AB">
      <w:pPr>
        <w:pStyle w:val="NormalWeb"/>
        <w:spacing w:line="360" w:lineRule="auto"/>
        <w:jc w:val="both"/>
        <w:rPr>
          <w:color w:val="000000"/>
        </w:rPr>
      </w:pPr>
    </w:p>
    <w:p w14:paraId="707DDB44" w14:textId="77777777" w:rsidR="00A679AB" w:rsidRPr="003A28AB" w:rsidRDefault="00A679AB" w:rsidP="003A28AB">
      <w:pPr>
        <w:pStyle w:val="NormalWeb"/>
        <w:spacing w:line="360" w:lineRule="auto"/>
        <w:jc w:val="both"/>
        <w:rPr>
          <w:color w:val="000000"/>
        </w:rPr>
      </w:pPr>
    </w:p>
    <w:p w14:paraId="4B7FD56A" w14:textId="66AF9B06" w:rsidR="0030725F" w:rsidRPr="00D7266D" w:rsidRDefault="00104E34" w:rsidP="003A28AB">
      <w:pPr>
        <w:pStyle w:val="NormalWeb"/>
        <w:spacing w:line="360" w:lineRule="auto"/>
        <w:rPr>
          <w:color w:val="000000"/>
        </w:rPr>
      </w:pPr>
      <w:r>
        <w:rPr>
          <w:rStyle w:val="Strong"/>
          <w:b w:val="0"/>
          <w:bCs w:val="0"/>
          <w:color w:val="000000"/>
        </w:rPr>
        <w:lastRenderedPageBreak/>
        <w:t>5.1.2.</w:t>
      </w:r>
      <w:r>
        <w:rPr>
          <w:rStyle w:val="Strong"/>
          <w:b w:val="0"/>
          <w:bCs w:val="0"/>
          <w:color w:val="000000"/>
        </w:rPr>
        <w:t>2</w:t>
      </w:r>
      <w:r w:rsidRPr="00D7266D">
        <w:rPr>
          <w:rStyle w:val="Strong"/>
          <w:b w:val="0"/>
          <w:bCs w:val="0"/>
          <w:color w:val="000000"/>
        </w:rPr>
        <w:t xml:space="preserve"> </w:t>
      </w:r>
      <w:r w:rsidR="0030725F" w:rsidRPr="003A28AB">
        <w:rPr>
          <w:rStyle w:val="Strong"/>
          <w:color w:val="000000"/>
        </w:rPr>
        <w:t>Epistemology (Nature of Knowledge)</w:t>
      </w:r>
      <w:r w:rsidR="0030725F" w:rsidRPr="00D7266D">
        <w:rPr>
          <w:color w:val="000000"/>
        </w:rPr>
        <w:br/>
        <w:t>Epistemology addresses how knowledge is generated. Pragmatism supports</w:t>
      </w:r>
      <w:r w:rsidR="0030725F" w:rsidRPr="00D7266D">
        <w:rPr>
          <w:rStyle w:val="apple-converted-space"/>
          <w:color w:val="000000"/>
        </w:rPr>
        <w:t> </w:t>
      </w:r>
      <w:r w:rsidR="0030725F" w:rsidRPr="00D7266D">
        <w:rPr>
          <w:rStyle w:val="Strong"/>
          <w:b w:val="0"/>
          <w:bCs w:val="0"/>
          <w:color w:val="000000"/>
        </w:rPr>
        <w:t>both objective and subjective knowledge</w:t>
      </w:r>
      <w:r w:rsidR="0030725F" w:rsidRPr="00D7266D">
        <w:rPr>
          <w:color w:val="000000"/>
        </w:rPr>
        <w:t>. This means:</w:t>
      </w:r>
    </w:p>
    <w:p w14:paraId="022B1290" w14:textId="77777777" w:rsidR="0030725F" w:rsidRPr="00D7266D" w:rsidRDefault="0030725F" w:rsidP="003A28AB">
      <w:pPr>
        <w:numPr>
          <w:ilvl w:val="0"/>
          <w:numId w:val="11"/>
        </w:numPr>
        <w:spacing w:before="100" w:beforeAutospacing="1" w:after="100" w:afterAutospacing="1" w:line="360" w:lineRule="auto"/>
        <w:jc w:val="both"/>
        <w:rPr>
          <w:color w:val="000000"/>
        </w:rPr>
      </w:pPr>
      <w:r w:rsidRPr="00D7266D">
        <w:rPr>
          <w:color w:val="000000"/>
        </w:rPr>
        <w:t>Quantitative data (financial ratios) provide objective insights, and</w:t>
      </w:r>
    </w:p>
    <w:p w14:paraId="4973C3A0" w14:textId="77777777" w:rsidR="0030725F" w:rsidRPr="00D7266D" w:rsidRDefault="0030725F" w:rsidP="003A28AB">
      <w:pPr>
        <w:numPr>
          <w:ilvl w:val="0"/>
          <w:numId w:val="11"/>
        </w:numPr>
        <w:spacing w:before="100" w:beforeAutospacing="1" w:after="100" w:afterAutospacing="1" w:line="360" w:lineRule="auto"/>
        <w:jc w:val="both"/>
        <w:rPr>
          <w:color w:val="000000"/>
        </w:rPr>
      </w:pPr>
      <w:r w:rsidRPr="00D7266D">
        <w:rPr>
          <w:color w:val="000000"/>
        </w:rPr>
        <w:t xml:space="preserve">Qualitative data (interviews with bank managers/regulators) </w:t>
      </w:r>
      <w:proofErr w:type="gramStart"/>
      <w:r w:rsidRPr="00D7266D">
        <w:rPr>
          <w:color w:val="000000"/>
        </w:rPr>
        <w:t>provide</w:t>
      </w:r>
      <w:proofErr w:type="gramEnd"/>
      <w:r w:rsidRPr="00D7266D">
        <w:rPr>
          <w:color w:val="000000"/>
        </w:rPr>
        <w:t xml:space="preserve"> contextual understanding.</w:t>
      </w:r>
    </w:p>
    <w:p w14:paraId="11605025" w14:textId="42B153D9" w:rsidR="0030725F" w:rsidRPr="003A28AB" w:rsidRDefault="0030725F" w:rsidP="003A28AB">
      <w:pPr>
        <w:pStyle w:val="NormalWeb"/>
        <w:spacing w:line="360" w:lineRule="auto"/>
        <w:jc w:val="both"/>
        <w:rPr>
          <w:color w:val="000000"/>
        </w:rPr>
      </w:pPr>
      <w:r w:rsidRPr="00D7266D">
        <w:rPr>
          <w:color w:val="000000"/>
        </w:rPr>
        <w:t>This aligns with mixed knowledge generation approaches (</w:t>
      </w:r>
      <w:r w:rsidRPr="00D7266D">
        <w:rPr>
          <w:rStyle w:val="whitespace-normal"/>
          <w:color w:val="000000"/>
        </w:rPr>
        <w:t>William James</w:t>
      </w:r>
      <w:r w:rsidRPr="00D7266D">
        <w:rPr>
          <w:color w:val="000000"/>
        </w:rPr>
        <w:t>, 1907).</w:t>
      </w:r>
    </w:p>
    <w:p w14:paraId="36EF6698" w14:textId="4328A124" w:rsidR="0030725F" w:rsidRPr="00D7266D" w:rsidRDefault="00104E34" w:rsidP="003A28AB">
      <w:pPr>
        <w:pStyle w:val="NormalWeb"/>
        <w:spacing w:line="360" w:lineRule="auto"/>
        <w:rPr>
          <w:color w:val="000000"/>
        </w:rPr>
      </w:pPr>
      <w:r>
        <w:rPr>
          <w:rStyle w:val="Strong"/>
          <w:b w:val="0"/>
          <w:bCs w:val="0"/>
          <w:color w:val="000000"/>
        </w:rPr>
        <w:t>5.</w:t>
      </w:r>
      <w:r>
        <w:rPr>
          <w:rStyle w:val="Strong"/>
          <w:b w:val="0"/>
          <w:bCs w:val="0"/>
          <w:color w:val="000000"/>
        </w:rPr>
        <w:t>1.2.</w:t>
      </w:r>
      <w:r>
        <w:rPr>
          <w:rStyle w:val="Strong"/>
          <w:b w:val="0"/>
          <w:bCs w:val="0"/>
          <w:color w:val="000000"/>
        </w:rPr>
        <w:t xml:space="preserve">3 </w:t>
      </w:r>
      <w:r w:rsidR="0030725F" w:rsidRPr="003A28AB">
        <w:rPr>
          <w:rStyle w:val="Strong"/>
          <w:color w:val="000000"/>
        </w:rPr>
        <w:t>Axiology (Role of Values)</w:t>
      </w:r>
      <w:r w:rsidR="0030725F" w:rsidRPr="00D7266D">
        <w:rPr>
          <w:color w:val="000000"/>
        </w:rPr>
        <w:br/>
        <w:t>Axiology considers the role of values in research. In pragmatism, research is</w:t>
      </w:r>
      <w:r w:rsidR="0030725F" w:rsidRPr="00D7266D">
        <w:rPr>
          <w:rStyle w:val="apple-converted-space"/>
          <w:color w:val="000000"/>
        </w:rPr>
        <w:t> </w:t>
      </w:r>
      <w:r w:rsidR="0030725F" w:rsidRPr="00D7266D">
        <w:rPr>
          <w:rStyle w:val="Strong"/>
          <w:b w:val="0"/>
          <w:bCs w:val="0"/>
          <w:color w:val="000000"/>
        </w:rPr>
        <w:t>value-driven and problem-oriented</w:t>
      </w:r>
      <w:r w:rsidR="0030725F" w:rsidRPr="00D7266D">
        <w:rPr>
          <w:color w:val="000000"/>
        </w:rPr>
        <w:t>.</w:t>
      </w:r>
      <w:r w:rsidR="0030725F" w:rsidRPr="00D7266D">
        <w:rPr>
          <w:color w:val="000000"/>
        </w:rPr>
        <w:br/>
        <w:t>In this study:</w:t>
      </w:r>
    </w:p>
    <w:p w14:paraId="193FB62E" w14:textId="77777777" w:rsidR="0030725F" w:rsidRPr="00D7266D" w:rsidRDefault="0030725F" w:rsidP="003A28AB">
      <w:pPr>
        <w:numPr>
          <w:ilvl w:val="0"/>
          <w:numId w:val="12"/>
        </w:numPr>
        <w:spacing w:before="100" w:beforeAutospacing="1" w:after="100" w:afterAutospacing="1" w:line="360" w:lineRule="auto"/>
        <w:jc w:val="both"/>
        <w:rPr>
          <w:color w:val="000000"/>
        </w:rPr>
      </w:pPr>
      <w:r w:rsidRPr="00D7266D">
        <w:rPr>
          <w:color w:val="000000"/>
        </w:rPr>
        <w:t>acknowledges the importance of improving financial stability in Bangladesh.</w:t>
      </w:r>
    </w:p>
    <w:p w14:paraId="3C3CB7D6" w14:textId="77777777" w:rsidR="0030725F" w:rsidRPr="00D7266D" w:rsidRDefault="0030725F" w:rsidP="003A28AB">
      <w:pPr>
        <w:numPr>
          <w:ilvl w:val="0"/>
          <w:numId w:val="12"/>
        </w:numPr>
        <w:spacing w:before="100" w:beforeAutospacing="1" w:after="100" w:afterAutospacing="1" w:line="360" w:lineRule="auto"/>
        <w:jc w:val="both"/>
        <w:rPr>
          <w:color w:val="000000"/>
        </w:rPr>
      </w:pPr>
      <w:r w:rsidRPr="00D7266D">
        <w:rPr>
          <w:color w:val="000000"/>
        </w:rPr>
        <w:t>Ethical considerations and practical relevance guide the research.</w:t>
      </w:r>
    </w:p>
    <w:p w14:paraId="4BDE2228" w14:textId="2751B6B1" w:rsidR="0030725F" w:rsidRPr="00A679AB" w:rsidRDefault="0030725F" w:rsidP="00A679AB">
      <w:pPr>
        <w:pStyle w:val="NormalWeb"/>
        <w:spacing w:line="360" w:lineRule="auto"/>
        <w:jc w:val="both"/>
        <w:rPr>
          <w:color w:val="000000"/>
        </w:rPr>
      </w:pPr>
      <w:r w:rsidRPr="00D7266D">
        <w:rPr>
          <w:color w:val="000000"/>
        </w:rPr>
        <w:t>Thus, the study adopts a</w:t>
      </w:r>
      <w:r w:rsidRPr="00D7266D">
        <w:rPr>
          <w:rStyle w:val="apple-converted-space"/>
          <w:color w:val="000000"/>
        </w:rPr>
        <w:t> </w:t>
      </w:r>
      <w:r w:rsidRPr="00D7266D">
        <w:rPr>
          <w:rStyle w:val="Strong"/>
          <w:b w:val="0"/>
          <w:bCs w:val="0"/>
          <w:color w:val="000000"/>
        </w:rPr>
        <w:t>value-informed but balanced stance</w:t>
      </w:r>
      <w:r w:rsidRPr="00D7266D">
        <w:rPr>
          <w:color w:val="000000"/>
        </w:rPr>
        <w:t>.</w:t>
      </w:r>
    </w:p>
    <w:p w14:paraId="23D12F01" w14:textId="5E59B03C" w:rsidR="0030725F" w:rsidRPr="00D7266D" w:rsidRDefault="00104E34" w:rsidP="003A28AB">
      <w:pPr>
        <w:pStyle w:val="NormalWeb"/>
        <w:spacing w:line="360" w:lineRule="auto"/>
        <w:rPr>
          <w:color w:val="000000"/>
        </w:rPr>
      </w:pPr>
      <w:proofErr w:type="gramStart"/>
      <w:r>
        <w:rPr>
          <w:rStyle w:val="Strong"/>
          <w:b w:val="0"/>
          <w:bCs w:val="0"/>
          <w:color w:val="000000"/>
        </w:rPr>
        <w:t xml:space="preserve">5.1.2.4  </w:t>
      </w:r>
      <w:r w:rsidRPr="003A28AB">
        <w:rPr>
          <w:rStyle w:val="Strong"/>
          <w:color w:val="000000"/>
        </w:rPr>
        <w:t>Methodology</w:t>
      </w:r>
      <w:proofErr w:type="gramEnd"/>
      <w:r w:rsidR="0030725F" w:rsidRPr="003A28AB">
        <w:rPr>
          <w:rStyle w:val="Strong"/>
          <w:color w:val="000000"/>
        </w:rPr>
        <w:t xml:space="preserve"> (Approach to Research)</w:t>
      </w:r>
      <w:r w:rsidR="0030725F" w:rsidRPr="00D7266D">
        <w:rPr>
          <w:color w:val="000000"/>
        </w:rPr>
        <w:br/>
        <w:t>Methodology refers to the overall research strategy. Pragmatism supports a</w:t>
      </w:r>
      <w:r w:rsidR="0030725F" w:rsidRPr="00D7266D">
        <w:rPr>
          <w:rStyle w:val="apple-converted-space"/>
          <w:color w:val="000000"/>
        </w:rPr>
        <w:t> </w:t>
      </w:r>
      <w:r w:rsidR="0030725F" w:rsidRPr="00D7266D">
        <w:rPr>
          <w:rStyle w:val="Strong"/>
          <w:b w:val="0"/>
          <w:bCs w:val="0"/>
          <w:color w:val="000000"/>
        </w:rPr>
        <w:t>mixed-methods approach</w:t>
      </w:r>
      <w:r w:rsidR="0030725F" w:rsidRPr="00D7266D">
        <w:rPr>
          <w:color w:val="000000"/>
        </w:rPr>
        <w:t>, combining:</w:t>
      </w:r>
    </w:p>
    <w:p w14:paraId="2B04EC64" w14:textId="77777777" w:rsidR="0030725F" w:rsidRPr="00D7266D" w:rsidRDefault="0030725F" w:rsidP="003A28AB">
      <w:pPr>
        <w:numPr>
          <w:ilvl w:val="0"/>
          <w:numId w:val="13"/>
        </w:numPr>
        <w:spacing w:before="100" w:beforeAutospacing="1" w:after="100" w:afterAutospacing="1" w:line="360" w:lineRule="auto"/>
        <w:jc w:val="both"/>
        <w:rPr>
          <w:color w:val="000000"/>
        </w:rPr>
      </w:pPr>
      <w:r w:rsidRPr="00D7266D">
        <w:rPr>
          <w:color w:val="000000"/>
        </w:rPr>
        <w:t>Quantitative analysis (e.g., regression on financial data), and</w:t>
      </w:r>
    </w:p>
    <w:p w14:paraId="76ED868D" w14:textId="77777777" w:rsidR="0030725F" w:rsidRPr="00D7266D" w:rsidRDefault="0030725F" w:rsidP="003A28AB">
      <w:pPr>
        <w:numPr>
          <w:ilvl w:val="0"/>
          <w:numId w:val="13"/>
        </w:numPr>
        <w:spacing w:before="100" w:beforeAutospacing="1" w:after="100" w:afterAutospacing="1" w:line="360" w:lineRule="auto"/>
        <w:jc w:val="both"/>
        <w:rPr>
          <w:color w:val="000000"/>
        </w:rPr>
      </w:pPr>
      <w:r w:rsidRPr="00D7266D">
        <w:rPr>
          <w:color w:val="000000"/>
        </w:rPr>
        <w:t>Qualitative insights (e.g., interviews or policy analysis).</w:t>
      </w:r>
    </w:p>
    <w:p w14:paraId="114FC157" w14:textId="77777777" w:rsidR="0030725F" w:rsidRDefault="0030725F" w:rsidP="003A28AB">
      <w:pPr>
        <w:pStyle w:val="NormalWeb"/>
        <w:spacing w:line="360" w:lineRule="auto"/>
        <w:jc w:val="both"/>
        <w:rPr>
          <w:color w:val="000000"/>
        </w:rPr>
      </w:pPr>
      <w:r w:rsidRPr="00D7266D">
        <w:rPr>
          <w:color w:val="000000"/>
        </w:rPr>
        <w:t>This allows a comprehensive understanding of both relationships and underlying mechanisms.</w:t>
      </w:r>
    </w:p>
    <w:p w14:paraId="49F5A17A" w14:textId="77777777" w:rsidR="00A679AB" w:rsidRDefault="00A679AB" w:rsidP="003A28AB">
      <w:pPr>
        <w:pStyle w:val="NormalWeb"/>
        <w:spacing w:line="360" w:lineRule="auto"/>
        <w:jc w:val="both"/>
        <w:rPr>
          <w:color w:val="000000"/>
        </w:rPr>
      </w:pPr>
    </w:p>
    <w:p w14:paraId="2000D8B8" w14:textId="77777777" w:rsidR="00A679AB" w:rsidRDefault="00A679AB" w:rsidP="003A28AB">
      <w:pPr>
        <w:pStyle w:val="NormalWeb"/>
        <w:spacing w:line="360" w:lineRule="auto"/>
        <w:jc w:val="both"/>
        <w:rPr>
          <w:color w:val="000000"/>
        </w:rPr>
      </w:pPr>
    </w:p>
    <w:p w14:paraId="5F4AF2E7" w14:textId="77777777" w:rsidR="00A679AB" w:rsidRPr="00D7266D" w:rsidRDefault="00A679AB" w:rsidP="003A28AB">
      <w:pPr>
        <w:pStyle w:val="NormalWeb"/>
        <w:spacing w:line="360" w:lineRule="auto"/>
        <w:jc w:val="both"/>
        <w:rPr>
          <w:color w:val="000000"/>
        </w:rPr>
      </w:pPr>
    </w:p>
    <w:p w14:paraId="3BB8F2A9" w14:textId="6BF57693" w:rsidR="0030725F" w:rsidRPr="003A28AB" w:rsidRDefault="00104E34" w:rsidP="003A28AB">
      <w:pPr>
        <w:spacing w:before="100" w:beforeAutospacing="1" w:after="100" w:afterAutospacing="1" w:line="360" w:lineRule="auto"/>
        <w:jc w:val="both"/>
        <w:rPr>
          <w:b/>
          <w:bCs/>
          <w:color w:val="000000"/>
        </w:rPr>
      </w:pPr>
      <w:r w:rsidRPr="003A28AB">
        <w:rPr>
          <w:b/>
          <w:bCs/>
          <w:color w:val="000000"/>
        </w:rPr>
        <w:lastRenderedPageBreak/>
        <w:t xml:space="preserve">5.2 </w:t>
      </w:r>
      <w:r w:rsidR="0030725F" w:rsidRPr="003A28AB">
        <w:rPr>
          <w:b/>
          <w:bCs/>
          <w:color w:val="000000"/>
        </w:rPr>
        <w:t>Kuhn’s Paradigm Cycle</w:t>
      </w:r>
    </w:p>
    <w:p w14:paraId="1BDBF481" w14:textId="59556DE5" w:rsidR="0030725F" w:rsidRPr="00A679AB" w:rsidRDefault="0030725F" w:rsidP="00A679AB">
      <w:pPr>
        <w:pStyle w:val="NormalWeb"/>
        <w:spacing w:line="360" w:lineRule="auto"/>
        <w:jc w:val="both"/>
        <w:rPr>
          <w:color w:val="000000"/>
        </w:rPr>
      </w:pPr>
      <w:r w:rsidRPr="00D7266D">
        <w:rPr>
          <w:rStyle w:val="whitespace-normal"/>
          <w:color w:val="000000"/>
        </w:rPr>
        <w:t>Thomas Kuhn</w:t>
      </w:r>
      <w:r w:rsidRPr="00D7266D">
        <w:rPr>
          <w:rStyle w:val="apple-converted-space"/>
          <w:color w:val="000000"/>
        </w:rPr>
        <w:t> </w:t>
      </w:r>
      <w:r w:rsidRPr="00D7266D">
        <w:rPr>
          <w:color w:val="000000"/>
        </w:rPr>
        <w:t>(1962) introduced the idea that scientific knowledge develops through a</w:t>
      </w:r>
      <w:r w:rsidRPr="00D7266D">
        <w:rPr>
          <w:rStyle w:val="apple-converted-space"/>
          <w:color w:val="000000"/>
        </w:rPr>
        <w:t> </w:t>
      </w:r>
      <w:r w:rsidRPr="00D7266D">
        <w:rPr>
          <w:rStyle w:val="Strong"/>
          <w:b w:val="0"/>
          <w:bCs w:val="0"/>
          <w:color w:val="000000"/>
        </w:rPr>
        <w:t>cyclical process of paradigms</w:t>
      </w:r>
      <w:r w:rsidRPr="00D7266D">
        <w:rPr>
          <w:color w:val="000000"/>
        </w:rPr>
        <w:t>, rather than a simple linear progression. A</w:t>
      </w:r>
      <w:r w:rsidRPr="00D7266D">
        <w:rPr>
          <w:rStyle w:val="apple-converted-space"/>
          <w:color w:val="000000"/>
        </w:rPr>
        <w:t> </w:t>
      </w:r>
      <w:r w:rsidRPr="00D7266D">
        <w:rPr>
          <w:rStyle w:val="Emphasis"/>
          <w:i w:val="0"/>
          <w:iCs w:val="0"/>
          <w:color w:val="000000"/>
        </w:rPr>
        <w:t>paradigm</w:t>
      </w:r>
      <w:r w:rsidRPr="00D7266D">
        <w:rPr>
          <w:rStyle w:val="apple-converted-space"/>
          <w:color w:val="000000"/>
        </w:rPr>
        <w:t> </w:t>
      </w:r>
      <w:r w:rsidRPr="00D7266D">
        <w:rPr>
          <w:color w:val="000000"/>
        </w:rPr>
        <w:t>represents the shared assumptions, theories, and methods that guide research within a discipline.</w:t>
      </w:r>
    </w:p>
    <w:p w14:paraId="603FA884" w14:textId="155E1A47" w:rsidR="0030725F" w:rsidRPr="003A28AB" w:rsidRDefault="00104E34" w:rsidP="003A28AB">
      <w:pPr>
        <w:pStyle w:val="Heading3"/>
        <w:spacing w:before="100" w:beforeAutospacing="1" w:after="100" w:afterAutospacing="1" w:line="360" w:lineRule="auto"/>
        <w:jc w:val="both"/>
        <w:rPr>
          <w:rFonts w:ascii="Times New Roman" w:hAnsi="Times New Roman" w:cs="Times New Roman"/>
          <w:b w:val="0"/>
          <w:bCs w:val="0"/>
          <w:color w:val="000000"/>
        </w:rPr>
      </w:pPr>
      <w:r w:rsidRPr="003A28AB">
        <w:rPr>
          <w:rStyle w:val="Strong"/>
          <w:rFonts w:ascii="Times New Roman" w:hAnsi="Times New Roman" w:cs="Times New Roman"/>
          <w:b/>
          <w:bCs/>
          <w:color w:val="000000"/>
        </w:rPr>
        <w:t xml:space="preserve">5.2.1 </w:t>
      </w:r>
      <w:r w:rsidR="0030725F" w:rsidRPr="003A28AB">
        <w:rPr>
          <w:rStyle w:val="Strong"/>
          <w:rFonts w:ascii="Times New Roman" w:hAnsi="Times New Roman" w:cs="Times New Roman"/>
          <w:b/>
          <w:bCs/>
          <w:color w:val="000000"/>
        </w:rPr>
        <w:t>Kuhn’s Paradigm Cycle (Stages)</w:t>
      </w:r>
    </w:p>
    <w:p w14:paraId="39F0FFC2" w14:textId="3D65CC33" w:rsidR="0030725F" w:rsidRPr="00A679AB" w:rsidRDefault="0030725F" w:rsidP="00A679AB">
      <w:pPr>
        <w:pStyle w:val="HTMLPreformatted"/>
        <w:spacing w:before="100" w:beforeAutospacing="1" w:after="100" w:afterAutospacing="1" w:line="360" w:lineRule="auto"/>
        <w:jc w:val="both"/>
        <w:rPr>
          <w:rFonts w:ascii="Times New Roman" w:hAnsi="Times New Roman" w:cs="Times New Roman"/>
          <w:color w:val="000000"/>
          <w:sz w:val="24"/>
          <w:szCs w:val="24"/>
        </w:rPr>
      </w:pPr>
      <w:r w:rsidRPr="00D7266D">
        <w:rPr>
          <w:rFonts w:ascii="Times New Roman" w:hAnsi="Times New Roman" w:cs="Times New Roman"/>
          <w:color w:val="000000"/>
          <w:sz w:val="24"/>
          <w:szCs w:val="24"/>
        </w:rPr>
        <w:t>Normal Science → Anomalies → Crisis → Scientific Revolution → New Paradigm → Normal Science</w:t>
      </w:r>
    </w:p>
    <w:p w14:paraId="6D9096F5" w14:textId="77777777" w:rsidR="0030725F" w:rsidRPr="003A28AB" w:rsidRDefault="0030725F" w:rsidP="0030725F">
      <w:pPr>
        <w:pStyle w:val="Heading3"/>
        <w:spacing w:before="100" w:beforeAutospacing="1" w:after="100" w:afterAutospacing="1"/>
        <w:jc w:val="both"/>
        <w:rPr>
          <w:rFonts w:ascii="Times New Roman" w:hAnsi="Times New Roman" w:cs="Times New Roman"/>
          <w:b w:val="0"/>
          <w:bCs w:val="0"/>
          <w:color w:val="000000"/>
        </w:rPr>
      </w:pPr>
      <w:r w:rsidRPr="003A28AB">
        <w:rPr>
          <w:rStyle w:val="Strong"/>
          <w:rFonts w:ascii="Times New Roman" w:hAnsi="Times New Roman" w:cs="Times New Roman"/>
          <w:b/>
          <w:bCs/>
          <w:color w:val="000000"/>
        </w:rPr>
        <w:t>Explanation of the Cycle</w:t>
      </w:r>
    </w:p>
    <w:p w14:paraId="5EFC1AE8" w14:textId="56013A9C" w:rsidR="0030725F" w:rsidRPr="003A28AB" w:rsidRDefault="0030725F" w:rsidP="003A28AB">
      <w:pPr>
        <w:pStyle w:val="NormalWeb"/>
        <w:spacing w:line="360" w:lineRule="auto"/>
        <w:rPr>
          <w:b/>
          <w:bCs/>
          <w:color w:val="000000"/>
        </w:rPr>
      </w:pPr>
      <w:r w:rsidRPr="00D7266D">
        <w:rPr>
          <w:rStyle w:val="Strong"/>
          <w:b w:val="0"/>
          <w:bCs w:val="0"/>
          <w:color w:val="000000"/>
        </w:rPr>
        <w:t xml:space="preserve">1. </w:t>
      </w:r>
      <w:r w:rsidRPr="003A28AB">
        <w:rPr>
          <w:rStyle w:val="Strong"/>
          <w:color w:val="000000"/>
        </w:rPr>
        <w:t>Normal Science</w:t>
      </w:r>
      <w:r w:rsidRPr="00D7266D">
        <w:rPr>
          <w:color w:val="000000"/>
        </w:rPr>
        <w:br/>
        <w:t>This is the stable phase where researchers work within an accepted paradigm, applying established theories and methods to solve problems.</w:t>
      </w:r>
      <w:r w:rsidR="003A28AB">
        <w:rPr>
          <w:color w:val="000000"/>
        </w:rPr>
        <w:t xml:space="preserve"> </w:t>
      </w:r>
      <w:r w:rsidRPr="00D7266D">
        <w:rPr>
          <w:color w:val="000000"/>
        </w:rPr>
        <w:t xml:space="preserve">In my study, this reflects existing </w:t>
      </w:r>
      <w:r w:rsidRPr="003A28AB">
        <w:rPr>
          <w:color w:val="000000"/>
        </w:rPr>
        <w:t>frameworks of</w:t>
      </w:r>
      <w:r w:rsidRPr="003A28AB">
        <w:rPr>
          <w:rStyle w:val="apple-converted-space"/>
          <w:color w:val="000000"/>
        </w:rPr>
        <w:t> </w:t>
      </w:r>
      <w:r w:rsidRPr="003A28AB">
        <w:rPr>
          <w:rStyle w:val="Strong"/>
          <w:b w:val="0"/>
          <w:bCs w:val="0"/>
          <w:color w:val="000000"/>
        </w:rPr>
        <w:t>risk governance and banking stability</w:t>
      </w:r>
      <w:r w:rsidRPr="003A28AB">
        <w:rPr>
          <w:b/>
          <w:bCs/>
          <w:color w:val="000000"/>
        </w:rPr>
        <w:t>.</w:t>
      </w:r>
    </w:p>
    <w:p w14:paraId="20F45E27" w14:textId="77777777" w:rsidR="00104E34" w:rsidRPr="003A28AB" w:rsidRDefault="0030725F" w:rsidP="0030725F">
      <w:pPr>
        <w:pStyle w:val="NormalWeb"/>
        <w:jc w:val="both"/>
        <w:rPr>
          <w:b/>
          <w:bCs/>
          <w:color w:val="000000"/>
        </w:rPr>
      </w:pPr>
      <w:r w:rsidRPr="003A28AB">
        <w:rPr>
          <w:rStyle w:val="Strong"/>
          <w:color w:val="000000"/>
        </w:rPr>
        <w:t>2. Anomalies</w:t>
      </w:r>
      <w:r w:rsidR="00104E34" w:rsidRPr="003A28AB">
        <w:rPr>
          <w:b/>
          <w:bCs/>
          <w:color w:val="000000"/>
        </w:rPr>
        <w:t xml:space="preserve"> </w:t>
      </w:r>
    </w:p>
    <w:p w14:paraId="08A11153" w14:textId="60F6DE92" w:rsidR="0030725F" w:rsidRPr="00D7266D" w:rsidRDefault="0030725F" w:rsidP="003A28AB">
      <w:pPr>
        <w:pStyle w:val="NormalWeb"/>
        <w:spacing w:line="360" w:lineRule="auto"/>
        <w:jc w:val="both"/>
        <w:rPr>
          <w:color w:val="000000"/>
        </w:rPr>
      </w:pPr>
      <w:r w:rsidRPr="00D7266D">
        <w:rPr>
          <w:color w:val="000000"/>
        </w:rPr>
        <w:t>Over time, inconsistencies or unexplained findings emerge that cannot be addressed by the current paradigm.</w:t>
      </w:r>
      <w:r w:rsidR="003A28AB">
        <w:rPr>
          <w:color w:val="000000"/>
        </w:rPr>
        <w:t xml:space="preserve"> </w:t>
      </w:r>
      <w:proofErr w:type="gramStart"/>
      <w:r w:rsidRPr="00D7266D">
        <w:rPr>
          <w:color w:val="000000"/>
        </w:rPr>
        <w:t>For</w:t>
      </w:r>
      <w:proofErr w:type="gramEnd"/>
      <w:r w:rsidRPr="00D7266D">
        <w:rPr>
          <w:color w:val="000000"/>
        </w:rPr>
        <w:t xml:space="preserve"> example, traditional governance models may fail to explain banking instability in emerging economies like Bangladesh.</w:t>
      </w:r>
    </w:p>
    <w:p w14:paraId="262244DE" w14:textId="6455514F" w:rsidR="0030725F" w:rsidRPr="00D7266D" w:rsidRDefault="0030725F" w:rsidP="003A28AB">
      <w:pPr>
        <w:pStyle w:val="NormalWeb"/>
        <w:spacing w:line="360" w:lineRule="auto"/>
        <w:rPr>
          <w:color w:val="000000"/>
        </w:rPr>
      </w:pPr>
      <w:r w:rsidRPr="00D7266D">
        <w:rPr>
          <w:rStyle w:val="Strong"/>
          <w:b w:val="0"/>
          <w:bCs w:val="0"/>
          <w:color w:val="000000"/>
        </w:rPr>
        <w:t xml:space="preserve">3. </w:t>
      </w:r>
      <w:r w:rsidRPr="003A28AB">
        <w:rPr>
          <w:rStyle w:val="Strong"/>
          <w:color w:val="000000"/>
        </w:rPr>
        <w:t>Crisis</w:t>
      </w:r>
      <w:r w:rsidRPr="00D7266D">
        <w:rPr>
          <w:color w:val="000000"/>
        </w:rPr>
        <w:br/>
        <w:t>When anomalies accumulate, confidence in the existing paradigm declines, leading to a crisis in the field.</w:t>
      </w:r>
      <w:r w:rsidR="003A28AB">
        <w:rPr>
          <w:color w:val="000000"/>
        </w:rPr>
        <w:t xml:space="preserve"> </w:t>
      </w:r>
      <w:proofErr w:type="gramStart"/>
      <w:r w:rsidRPr="00D7266D">
        <w:rPr>
          <w:color w:val="000000"/>
        </w:rPr>
        <w:t>This</w:t>
      </w:r>
      <w:proofErr w:type="gramEnd"/>
      <w:r w:rsidRPr="00D7266D">
        <w:rPr>
          <w:color w:val="000000"/>
        </w:rPr>
        <w:t xml:space="preserve"> may occur when repeated bank failures challenge existing risk governance theories.</w:t>
      </w:r>
    </w:p>
    <w:p w14:paraId="0BB8B678" w14:textId="4086F2A7" w:rsidR="0030725F" w:rsidRPr="00D7266D" w:rsidRDefault="0030725F" w:rsidP="003A28AB">
      <w:pPr>
        <w:pStyle w:val="NormalWeb"/>
        <w:spacing w:line="360" w:lineRule="auto"/>
        <w:rPr>
          <w:color w:val="000000"/>
        </w:rPr>
      </w:pPr>
      <w:r w:rsidRPr="00D7266D">
        <w:rPr>
          <w:rStyle w:val="Strong"/>
          <w:b w:val="0"/>
          <w:bCs w:val="0"/>
          <w:color w:val="000000"/>
        </w:rPr>
        <w:t xml:space="preserve">4. </w:t>
      </w:r>
      <w:r w:rsidRPr="003A28AB">
        <w:rPr>
          <w:rStyle w:val="Strong"/>
          <w:color w:val="000000"/>
        </w:rPr>
        <w:t>Scientific Revolution</w:t>
      </w:r>
      <w:r w:rsidRPr="00D7266D">
        <w:rPr>
          <w:color w:val="000000"/>
        </w:rPr>
        <w:br/>
        <w:t>A new way of thinking emerges to address the limitations of the old paradigm.</w:t>
      </w:r>
      <w:r w:rsidR="003A28AB">
        <w:rPr>
          <w:color w:val="000000"/>
        </w:rPr>
        <w:t xml:space="preserve"> </w:t>
      </w:r>
      <w:proofErr w:type="gramStart"/>
      <w:r w:rsidRPr="00D7266D">
        <w:rPr>
          <w:color w:val="000000"/>
        </w:rPr>
        <w:t>New</w:t>
      </w:r>
      <w:proofErr w:type="gramEnd"/>
      <w:r w:rsidRPr="00D7266D">
        <w:rPr>
          <w:color w:val="000000"/>
        </w:rPr>
        <w:t xml:space="preserve"> approaches (e.g., integrated governance–resilience frameworks) are proposed.</w:t>
      </w:r>
    </w:p>
    <w:p w14:paraId="483CC773" w14:textId="77777777" w:rsidR="0030725F" w:rsidRPr="00D7266D" w:rsidRDefault="0030725F" w:rsidP="003A28AB">
      <w:pPr>
        <w:pStyle w:val="NormalWeb"/>
        <w:spacing w:line="360" w:lineRule="auto"/>
        <w:rPr>
          <w:color w:val="000000"/>
        </w:rPr>
      </w:pPr>
      <w:r w:rsidRPr="003A28AB">
        <w:rPr>
          <w:rStyle w:val="Strong"/>
          <w:color w:val="000000"/>
        </w:rPr>
        <w:lastRenderedPageBreak/>
        <w:t>5. New Paradigm</w:t>
      </w:r>
      <w:r w:rsidRPr="00D7266D">
        <w:rPr>
          <w:color w:val="000000"/>
        </w:rPr>
        <w:br/>
        <w:t>The new paradigm replaces the old one and becomes widely accepted. In my proposed research, this could involve a</w:t>
      </w:r>
      <w:r w:rsidRPr="00D7266D">
        <w:rPr>
          <w:rStyle w:val="apple-converted-space"/>
          <w:color w:val="000000"/>
        </w:rPr>
        <w:t> </w:t>
      </w:r>
      <w:r w:rsidRPr="00D7266D">
        <w:rPr>
          <w:rStyle w:val="Strong"/>
          <w:b w:val="0"/>
          <w:bCs w:val="0"/>
          <w:color w:val="000000"/>
        </w:rPr>
        <w:t>pragmatic, mixed-methods perspective on strategic risk governance and resilience</w:t>
      </w:r>
      <w:r w:rsidRPr="00D7266D">
        <w:rPr>
          <w:color w:val="000000"/>
        </w:rPr>
        <w:t>.</w:t>
      </w:r>
    </w:p>
    <w:p w14:paraId="7CC4D434" w14:textId="4FC5B18A" w:rsidR="0030725F" w:rsidRPr="00A679AB" w:rsidRDefault="0030725F" w:rsidP="00A679AB">
      <w:pPr>
        <w:pStyle w:val="NormalWeb"/>
        <w:spacing w:line="360" w:lineRule="auto"/>
        <w:rPr>
          <w:color w:val="000000"/>
        </w:rPr>
      </w:pPr>
      <w:r w:rsidRPr="00D7266D">
        <w:rPr>
          <w:rStyle w:val="Strong"/>
          <w:b w:val="0"/>
          <w:bCs w:val="0"/>
          <w:color w:val="000000"/>
        </w:rPr>
        <w:t xml:space="preserve">6. </w:t>
      </w:r>
      <w:r w:rsidRPr="003A28AB">
        <w:rPr>
          <w:rStyle w:val="Strong"/>
          <w:color w:val="000000"/>
        </w:rPr>
        <w:t>Return to Normal Science</w:t>
      </w:r>
      <w:r w:rsidRPr="00D7266D">
        <w:rPr>
          <w:color w:val="000000"/>
        </w:rPr>
        <w:br/>
        <w:t>Research continues under the new paradigm until new anomalies arise, and the cycle repeats.</w:t>
      </w:r>
    </w:p>
    <w:p w14:paraId="260DCDBF" w14:textId="647EB301" w:rsidR="0030725F" w:rsidRPr="00D7266D" w:rsidRDefault="00104E34" w:rsidP="003A28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 xml:space="preserve">5.2.2 </w:t>
      </w:r>
      <w:r w:rsidR="0030725F" w:rsidRPr="003A28AB">
        <w:rPr>
          <w:rStyle w:val="Strong"/>
          <w:rFonts w:ascii="Times New Roman" w:hAnsi="Times New Roman" w:cs="Times New Roman"/>
          <w:b/>
          <w:bCs/>
          <w:color w:val="000000"/>
        </w:rPr>
        <w:t>Relevance to my proposed Research</w:t>
      </w:r>
    </w:p>
    <w:p w14:paraId="7A9ADFCA" w14:textId="77777777" w:rsidR="0030725F" w:rsidRPr="00D7266D" w:rsidRDefault="0030725F" w:rsidP="003A28AB">
      <w:pPr>
        <w:pStyle w:val="NormalWeb"/>
        <w:spacing w:line="360" w:lineRule="auto"/>
        <w:jc w:val="both"/>
        <w:rPr>
          <w:color w:val="000000"/>
        </w:rPr>
      </w:pPr>
      <w:r w:rsidRPr="00D7266D">
        <w:rPr>
          <w:color w:val="000000"/>
        </w:rPr>
        <w:t>This study contributes to the</w:t>
      </w:r>
      <w:r w:rsidRPr="00D7266D">
        <w:rPr>
          <w:rStyle w:val="apple-converted-space"/>
          <w:color w:val="000000"/>
        </w:rPr>
        <w:t> </w:t>
      </w:r>
      <w:r w:rsidRPr="00D7266D">
        <w:rPr>
          <w:rStyle w:val="Strong"/>
          <w:b w:val="0"/>
          <w:bCs w:val="0"/>
          <w:color w:val="000000"/>
        </w:rPr>
        <w:t>paradigm development in banking research</w:t>
      </w:r>
      <w:r w:rsidRPr="00D7266D">
        <w:rPr>
          <w:rStyle w:val="apple-converted-space"/>
          <w:color w:val="000000"/>
        </w:rPr>
        <w:t> </w:t>
      </w:r>
      <w:r w:rsidRPr="00D7266D">
        <w:rPr>
          <w:color w:val="000000"/>
        </w:rPr>
        <w:t>by:</w:t>
      </w:r>
    </w:p>
    <w:p w14:paraId="22884C8F" w14:textId="77777777" w:rsidR="0030725F" w:rsidRPr="00D7266D" w:rsidRDefault="0030725F" w:rsidP="003A28AB">
      <w:pPr>
        <w:numPr>
          <w:ilvl w:val="0"/>
          <w:numId w:val="15"/>
        </w:numPr>
        <w:spacing w:before="100" w:beforeAutospacing="1" w:after="100" w:afterAutospacing="1" w:line="360" w:lineRule="auto"/>
        <w:jc w:val="both"/>
        <w:rPr>
          <w:color w:val="000000"/>
        </w:rPr>
      </w:pPr>
      <w:r w:rsidRPr="00D7266D">
        <w:rPr>
          <w:color w:val="000000"/>
        </w:rPr>
        <w:t>Identifying gaps (anomalies) in traditional risk governance models</w:t>
      </w:r>
    </w:p>
    <w:p w14:paraId="61EDCD4F" w14:textId="77777777" w:rsidR="0030725F" w:rsidRPr="00D7266D" w:rsidRDefault="0030725F" w:rsidP="003A28AB">
      <w:pPr>
        <w:numPr>
          <w:ilvl w:val="0"/>
          <w:numId w:val="15"/>
        </w:numPr>
        <w:spacing w:before="100" w:beforeAutospacing="1" w:after="100" w:afterAutospacing="1" w:line="360" w:lineRule="auto"/>
        <w:jc w:val="both"/>
        <w:rPr>
          <w:color w:val="000000"/>
        </w:rPr>
      </w:pPr>
      <w:r w:rsidRPr="00D7266D">
        <w:rPr>
          <w:color w:val="000000"/>
        </w:rPr>
        <w:t>Proposing a more</w:t>
      </w:r>
      <w:r w:rsidRPr="00D7266D">
        <w:rPr>
          <w:rStyle w:val="apple-converted-space"/>
          <w:color w:val="000000"/>
        </w:rPr>
        <w:t> </w:t>
      </w:r>
      <w:r w:rsidRPr="00D7266D">
        <w:rPr>
          <w:rStyle w:val="Strong"/>
          <w:b w:val="0"/>
          <w:bCs w:val="0"/>
          <w:color w:val="000000"/>
        </w:rPr>
        <w:t>context-sensitive and pragmatic framework</w:t>
      </w:r>
    </w:p>
    <w:p w14:paraId="7AEA34D9" w14:textId="77777777" w:rsidR="0030725F" w:rsidRPr="00D7266D" w:rsidRDefault="0030725F" w:rsidP="003A28AB">
      <w:pPr>
        <w:numPr>
          <w:ilvl w:val="0"/>
          <w:numId w:val="15"/>
        </w:numPr>
        <w:spacing w:before="100" w:beforeAutospacing="1" w:after="100" w:afterAutospacing="1" w:line="360" w:lineRule="auto"/>
        <w:jc w:val="both"/>
        <w:rPr>
          <w:color w:val="000000"/>
        </w:rPr>
      </w:pPr>
      <w:r w:rsidRPr="00D7266D">
        <w:rPr>
          <w:color w:val="000000"/>
        </w:rPr>
        <w:t>Integrating both quantitative and qualitative insights to better explain banking resilience</w:t>
      </w:r>
    </w:p>
    <w:p w14:paraId="73D881CA" w14:textId="6A74D2E3" w:rsidR="0030725F" w:rsidRPr="00D7266D" w:rsidRDefault="0030725F" w:rsidP="00A679AB">
      <w:pPr>
        <w:pStyle w:val="NormalWeb"/>
        <w:spacing w:line="360" w:lineRule="auto"/>
        <w:jc w:val="both"/>
        <w:rPr>
          <w:rStyle w:val="Strong"/>
          <w:b w:val="0"/>
          <w:bCs w:val="0"/>
          <w:color w:val="000000"/>
        </w:rPr>
      </w:pPr>
      <w:r w:rsidRPr="00D7266D">
        <w:rPr>
          <w:color w:val="000000"/>
        </w:rPr>
        <w:t>Thus, my research aligns with Kuhn’s idea of</w:t>
      </w:r>
      <w:r w:rsidRPr="00D7266D">
        <w:rPr>
          <w:rStyle w:val="apple-converted-space"/>
          <w:color w:val="000000"/>
        </w:rPr>
        <w:t> </w:t>
      </w:r>
      <w:r w:rsidRPr="00D7266D">
        <w:rPr>
          <w:rStyle w:val="Strong"/>
          <w:b w:val="0"/>
          <w:bCs w:val="0"/>
          <w:color w:val="000000"/>
        </w:rPr>
        <w:t>advancing knowledge through paradigm refinement and potential shift</w:t>
      </w:r>
      <w:r w:rsidRPr="00D7266D">
        <w:rPr>
          <w:color w:val="000000"/>
        </w:rPr>
        <w:t>.</w:t>
      </w:r>
    </w:p>
    <w:p w14:paraId="6D9C30F8" w14:textId="6E38C862" w:rsidR="0030725F" w:rsidRPr="00D7266D" w:rsidRDefault="0030725F" w:rsidP="00A679AB">
      <w:pPr>
        <w:spacing w:before="100" w:beforeAutospacing="1" w:after="100" w:afterAutospacing="1" w:line="360" w:lineRule="auto"/>
        <w:jc w:val="both"/>
        <w:rPr>
          <w:color w:val="000000"/>
        </w:rPr>
      </w:pPr>
      <w:r w:rsidRPr="00D7266D">
        <w:rPr>
          <w:color w:val="000000"/>
        </w:rPr>
        <w:t>Normal Science → Anomalies → Crisis → Scientific Revolution → New Paradigm → Normal Science</w:t>
      </w:r>
    </w:p>
    <w:p w14:paraId="1C0F88D7" w14:textId="1CF85678" w:rsidR="0030725F" w:rsidRPr="00A679AB" w:rsidRDefault="00104E34" w:rsidP="00104E34">
      <w:pPr>
        <w:spacing w:before="100" w:beforeAutospacing="1" w:after="100" w:afterAutospacing="1"/>
        <w:jc w:val="both"/>
        <w:rPr>
          <w:b/>
          <w:bCs/>
          <w:color w:val="000000"/>
        </w:rPr>
      </w:pPr>
      <w:r w:rsidRPr="00A679AB">
        <w:rPr>
          <w:b/>
          <w:bCs/>
          <w:color w:val="000000"/>
        </w:rPr>
        <w:t xml:space="preserve">5.3 </w:t>
      </w:r>
      <w:r w:rsidR="0030725F" w:rsidRPr="00A679AB">
        <w:rPr>
          <w:b/>
          <w:bCs/>
          <w:color w:val="000000"/>
        </w:rPr>
        <w:t>Criticisms of Kuhn’s Paradigm (Worldview)</w:t>
      </w:r>
    </w:p>
    <w:p w14:paraId="1F9C6E06" w14:textId="214429AC" w:rsidR="0030725F" w:rsidRPr="00A679AB" w:rsidRDefault="0030725F" w:rsidP="00A679AB">
      <w:pPr>
        <w:spacing w:before="100" w:beforeAutospacing="1" w:after="100" w:afterAutospacing="1" w:line="360" w:lineRule="auto"/>
        <w:jc w:val="both"/>
        <w:rPr>
          <w:color w:val="000000"/>
        </w:rPr>
      </w:pPr>
      <w:r w:rsidRPr="00D7266D">
        <w:rPr>
          <w:color w:val="000000"/>
        </w:rPr>
        <w:t>While Thomas Kuhn’s paradigm theory has been highly influential, it has also attracted several criticisms in research and philosophy of science.</w:t>
      </w:r>
    </w:p>
    <w:p w14:paraId="5741D5C5" w14:textId="4EFF6E65" w:rsidR="0030725F" w:rsidRPr="00A679AB" w:rsidRDefault="0030725F" w:rsidP="00A679AB">
      <w:pPr>
        <w:spacing w:before="100" w:beforeAutospacing="1" w:after="100" w:afterAutospacing="1" w:line="360" w:lineRule="auto"/>
        <w:rPr>
          <w:color w:val="000000"/>
        </w:rPr>
      </w:pPr>
      <w:r w:rsidRPr="00D7266D">
        <w:rPr>
          <w:color w:val="000000"/>
        </w:rPr>
        <w:t>1</w:t>
      </w:r>
      <w:r w:rsidRPr="00A679AB">
        <w:rPr>
          <w:b/>
          <w:bCs/>
          <w:color w:val="000000"/>
        </w:rPr>
        <w:t>. Lack of Objectivity and Relativism</w:t>
      </w:r>
      <w:r w:rsidRPr="00D7266D">
        <w:rPr>
          <w:color w:val="000000"/>
        </w:rPr>
        <w:br/>
        <w:t xml:space="preserve">Critics argue that Kuhn’s idea of paradigm shifts suggests that scientific progress is not entirely objective but influenced by social and historical contexts. This has been seen as promoting relativism, where no single paradigm is considered </w:t>
      </w:r>
      <w:proofErr w:type="gramStart"/>
      <w:r w:rsidRPr="00D7266D">
        <w:rPr>
          <w:color w:val="000000"/>
        </w:rPr>
        <w:t>absolutely true</w:t>
      </w:r>
      <w:proofErr w:type="gramEnd"/>
      <w:r w:rsidRPr="00D7266D">
        <w:rPr>
          <w:color w:val="000000"/>
        </w:rPr>
        <w:t xml:space="preserve"> (Karl </w:t>
      </w:r>
      <w:r w:rsidRPr="00D7266D">
        <w:rPr>
          <w:color w:val="000000"/>
        </w:rPr>
        <w:lastRenderedPageBreak/>
        <w:t>Popper, 1970). Popper contended that science should progress through falsification rather than shifts in belief systems.</w:t>
      </w:r>
    </w:p>
    <w:p w14:paraId="4A4FF5AE" w14:textId="757D56DA" w:rsidR="0030725F" w:rsidRPr="00A679AB" w:rsidRDefault="0030725F" w:rsidP="00A679AB">
      <w:pPr>
        <w:spacing w:before="100" w:beforeAutospacing="1" w:after="100" w:afterAutospacing="1" w:line="360" w:lineRule="auto"/>
        <w:rPr>
          <w:color w:val="000000"/>
        </w:rPr>
      </w:pPr>
      <w:r w:rsidRPr="00D7266D">
        <w:rPr>
          <w:color w:val="000000"/>
        </w:rPr>
        <w:t xml:space="preserve">2. </w:t>
      </w:r>
      <w:r w:rsidRPr="00A679AB">
        <w:rPr>
          <w:b/>
          <w:bCs/>
          <w:color w:val="000000"/>
        </w:rPr>
        <w:t>Vagueness of the Paradigm Concept</w:t>
      </w:r>
      <w:r w:rsidRPr="00D7266D">
        <w:rPr>
          <w:color w:val="000000"/>
        </w:rPr>
        <w:br/>
        <w:t>Kuhn has been criticized for using the term “paradigm” in multiple ways, making it somewhat unclear and difficult to apply consistently in research (Margaret Masterman, 1970). This ambiguity can create challenges when researchers try to operationalize the concept.</w:t>
      </w:r>
    </w:p>
    <w:p w14:paraId="69E9C753" w14:textId="6479CE1F" w:rsidR="0030725F" w:rsidRPr="00A679AB" w:rsidRDefault="0030725F" w:rsidP="00A679AB">
      <w:pPr>
        <w:spacing w:before="100" w:beforeAutospacing="1" w:after="100" w:afterAutospacing="1" w:line="360" w:lineRule="auto"/>
        <w:rPr>
          <w:color w:val="000000"/>
        </w:rPr>
      </w:pPr>
      <w:r w:rsidRPr="00D7266D">
        <w:rPr>
          <w:color w:val="000000"/>
        </w:rPr>
        <w:t xml:space="preserve">3. </w:t>
      </w:r>
      <w:r w:rsidRPr="00A679AB">
        <w:rPr>
          <w:b/>
          <w:bCs/>
          <w:color w:val="000000"/>
        </w:rPr>
        <w:t>Discontinuous View of Scientific Progress</w:t>
      </w:r>
      <w:r w:rsidRPr="00D7266D">
        <w:rPr>
          <w:color w:val="000000"/>
        </w:rPr>
        <w:br/>
        <w:t>Kuhn’s model suggests that science advances through revolutions rather than gradual accumulation of knowledge. Critics argue that this overlooks the continuous and incremental nature of many scientific developments (Imre Lakatos, 1978), who proposed a more structured and progressive research programme approach.</w:t>
      </w:r>
    </w:p>
    <w:p w14:paraId="71E3B593" w14:textId="1923C6AE" w:rsidR="0030725F" w:rsidRPr="00A679AB" w:rsidRDefault="0030725F" w:rsidP="00A679AB">
      <w:pPr>
        <w:spacing w:before="100" w:beforeAutospacing="1" w:after="100" w:afterAutospacing="1" w:line="360" w:lineRule="auto"/>
        <w:rPr>
          <w:color w:val="000000"/>
        </w:rPr>
      </w:pPr>
      <w:r w:rsidRPr="00D7266D">
        <w:rPr>
          <w:color w:val="000000"/>
        </w:rPr>
        <w:t xml:space="preserve">4. </w:t>
      </w:r>
      <w:r w:rsidRPr="00A679AB">
        <w:rPr>
          <w:b/>
          <w:bCs/>
          <w:color w:val="000000"/>
        </w:rPr>
        <w:t>Limited Role of Rational Evaluation</w:t>
      </w:r>
      <w:r w:rsidRPr="00D7266D">
        <w:rPr>
          <w:color w:val="000000"/>
        </w:rPr>
        <w:br/>
        <w:t>Another criticism is that Kuhn underestimates the role of rational judgment in theory selection. Paradigm shifts, according to critics, may appear to rely too heavily on consensus rather than empirical superiority (Larry Laudan, 1977).</w:t>
      </w:r>
    </w:p>
    <w:p w14:paraId="47B9C169" w14:textId="2121D873" w:rsidR="0030725F" w:rsidRPr="00D7266D" w:rsidRDefault="0030725F" w:rsidP="00A679AB">
      <w:pPr>
        <w:spacing w:before="100" w:beforeAutospacing="1" w:after="100" w:afterAutospacing="1" w:line="360" w:lineRule="auto"/>
        <w:rPr>
          <w:color w:val="000000"/>
        </w:rPr>
      </w:pPr>
      <w:r w:rsidRPr="00D7266D">
        <w:rPr>
          <w:color w:val="000000"/>
        </w:rPr>
        <w:t xml:space="preserve">5. </w:t>
      </w:r>
      <w:r w:rsidRPr="00A679AB">
        <w:rPr>
          <w:b/>
          <w:bCs/>
          <w:color w:val="000000"/>
        </w:rPr>
        <w:t>Inapplicability to Social Sciences</w:t>
      </w:r>
      <w:r w:rsidRPr="00D7266D">
        <w:rPr>
          <w:color w:val="000000"/>
        </w:rPr>
        <w:br/>
        <w:t>Some scholars argue that Kuhn’s model fits natural sciences better than social sciences, where multiple paradigms often coexist rather than being replaced (Mattei Dogan, 2001). This is relevant to your research, as fields like banking and governance often integrate diverse perspectives simultaneously.</w:t>
      </w:r>
    </w:p>
    <w:p w14:paraId="3C3DC079" w14:textId="11BD2D38" w:rsidR="0030725F" w:rsidRPr="00D7266D" w:rsidRDefault="00104E34"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 xml:space="preserve">5.4 </w:t>
      </w:r>
      <w:r w:rsidR="0030725F" w:rsidRPr="00A679AB">
        <w:rPr>
          <w:rStyle w:val="Strong"/>
          <w:rFonts w:ascii="Times New Roman" w:hAnsi="Times New Roman" w:cs="Times New Roman"/>
          <w:b/>
          <w:bCs/>
          <w:color w:val="000000"/>
        </w:rPr>
        <w:t>Linking Criticisms of Kuhn’s Paradigm to my Research Justification</w:t>
      </w:r>
    </w:p>
    <w:p w14:paraId="2EF0950E" w14:textId="217C79F7" w:rsidR="0030725F" w:rsidRPr="00104E34" w:rsidRDefault="0030725F" w:rsidP="00A679AB">
      <w:pPr>
        <w:pStyle w:val="NormalWeb"/>
        <w:spacing w:line="360" w:lineRule="auto"/>
        <w:jc w:val="both"/>
        <w:rPr>
          <w:color w:val="000000"/>
        </w:rPr>
      </w:pPr>
      <w:r w:rsidRPr="00D7266D">
        <w:rPr>
          <w:color w:val="000000"/>
        </w:rPr>
        <w:t>The criticisms of</w:t>
      </w:r>
      <w:r w:rsidRPr="00D7266D">
        <w:rPr>
          <w:rStyle w:val="apple-converted-space"/>
          <w:color w:val="000000"/>
        </w:rPr>
        <w:t> </w:t>
      </w:r>
      <w:r w:rsidRPr="00D7266D">
        <w:rPr>
          <w:rStyle w:val="whitespace-normal"/>
          <w:color w:val="000000"/>
        </w:rPr>
        <w:t>Thomas Kuhn</w:t>
      </w:r>
      <w:r w:rsidRPr="00D7266D">
        <w:rPr>
          <w:color w:val="000000"/>
        </w:rPr>
        <w:t>’s paradigm concept help</w:t>
      </w:r>
      <w:r w:rsidRPr="00D7266D">
        <w:rPr>
          <w:rStyle w:val="apple-converted-space"/>
          <w:color w:val="000000"/>
        </w:rPr>
        <w:t> </w:t>
      </w:r>
      <w:r w:rsidRPr="00D7266D">
        <w:rPr>
          <w:rStyle w:val="Strong"/>
          <w:b w:val="0"/>
          <w:bCs w:val="0"/>
          <w:color w:val="000000"/>
        </w:rPr>
        <w:t>justify your choice of a pragmatic research approach</w:t>
      </w:r>
      <w:r w:rsidRPr="00D7266D">
        <w:rPr>
          <w:rStyle w:val="apple-converted-space"/>
          <w:color w:val="000000"/>
        </w:rPr>
        <w:t> </w:t>
      </w:r>
      <w:r w:rsidRPr="00D7266D">
        <w:rPr>
          <w:color w:val="000000"/>
        </w:rPr>
        <w:t>for studying strategic risk governance and banking resilience.</w:t>
      </w:r>
    </w:p>
    <w:p w14:paraId="484E40DA" w14:textId="2ED63097" w:rsidR="0030725F" w:rsidRPr="00104E34" w:rsidRDefault="0030725F" w:rsidP="00A679AB">
      <w:pPr>
        <w:pStyle w:val="NormalWeb"/>
        <w:spacing w:line="360" w:lineRule="auto"/>
        <w:jc w:val="both"/>
        <w:rPr>
          <w:color w:val="000000"/>
        </w:rPr>
      </w:pPr>
      <w:r w:rsidRPr="00D7266D">
        <w:rPr>
          <w:color w:val="000000"/>
        </w:rPr>
        <w:t>First, the criticism of</w:t>
      </w:r>
      <w:r w:rsidRPr="00D7266D">
        <w:rPr>
          <w:rStyle w:val="apple-converted-space"/>
          <w:color w:val="000000"/>
        </w:rPr>
        <w:t> </w:t>
      </w:r>
      <w:r w:rsidRPr="00D7266D">
        <w:rPr>
          <w:rStyle w:val="Strong"/>
          <w:b w:val="0"/>
          <w:bCs w:val="0"/>
          <w:color w:val="000000"/>
        </w:rPr>
        <w:t>relativism</w:t>
      </w:r>
      <w:r w:rsidRPr="00D7266D">
        <w:rPr>
          <w:color w:val="000000"/>
        </w:rPr>
        <w:t>—raised by</w:t>
      </w:r>
      <w:r w:rsidRPr="00D7266D">
        <w:rPr>
          <w:rStyle w:val="apple-converted-space"/>
          <w:color w:val="000000"/>
        </w:rPr>
        <w:t> </w:t>
      </w:r>
      <w:r w:rsidRPr="00D7266D">
        <w:rPr>
          <w:rStyle w:val="whitespace-normal"/>
          <w:color w:val="000000"/>
        </w:rPr>
        <w:t>Karl Popper</w:t>
      </w:r>
      <w:r w:rsidRPr="00D7266D">
        <w:rPr>
          <w:rStyle w:val="apple-converted-space"/>
          <w:color w:val="000000"/>
        </w:rPr>
        <w:t> </w:t>
      </w:r>
      <w:r w:rsidRPr="00D7266D">
        <w:rPr>
          <w:color w:val="000000"/>
        </w:rPr>
        <w:t xml:space="preserve">(1970)—argues that Kuhn overemphasizes subjective shifts in scientific thinking. This supports my research </w:t>
      </w:r>
      <w:r w:rsidRPr="00D7266D">
        <w:rPr>
          <w:color w:val="000000"/>
        </w:rPr>
        <w:lastRenderedPageBreak/>
        <w:t>justification by highlighting the need for</w:t>
      </w:r>
      <w:r w:rsidRPr="00D7266D">
        <w:rPr>
          <w:rStyle w:val="apple-converted-space"/>
          <w:color w:val="000000"/>
        </w:rPr>
        <w:t> </w:t>
      </w:r>
      <w:r w:rsidRPr="00D7266D">
        <w:rPr>
          <w:rStyle w:val="Strong"/>
          <w:b w:val="0"/>
          <w:bCs w:val="0"/>
          <w:color w:val="000000"/>
        </w:rPr>
        <w:t>objective, empirical evidence (e.g.,</w:t>
      </w:r>
      <w:r w:rsidRPr="00D7266D">
        <w:rPr>
          <w:color w:val="000000"/>
        </w:rPr>
        <w:t xml:space="preserve"> financial indicators of resilience) alongside contextual understanding. Therefore, my study adopts a</w:t>
      </w:r>
      <w:r w:rsidRPr="00D7266D">
        <w:rPr>
          <w:rStyle w:val="apple-converted-space"/>
          <w:color w:val="000000"/>
        </w:rPr>
        <w:t> </w:t>
      </w:r>
      <w:r w:rsidRPr="00D7266D">
        <w:rPr>
          <w:rStyle w:val="Strong"/>
          <w:b w:val="0"/>
          <w:bCs w:val="0"/>
          <w:color w:val="000000"/>
        </w:rPr>
        <w:t>balanced approach</w:t>
      </w:r>
      <w:r w:rsidRPr="00D7266D">
        <w:rPr>
          <w:color w:val="000000"/>
        </w:rPr>
        <w:t>, combining measurable data with practical insights.</w:t>
      </w:r>
    </w:p>
    <w:p w14:paraId="06C95EA9" w14:textId="6A12E958" w:rsidR="0030725F" w:rsidRPr="00104E34" w:rsidRDefault="0030725F" w:rsidP="00A679AB">
      <w:pPr>
        <w:pStyle w:val="NormalWeb"/>
        <w:spacing w:line="360" w:lineRule="auto"/>
        <w:jc w:val="both"/>
        <w:rPr>
          <w:color w:val="000000"/>
        </w:rPr>
      </w:pPr>
      <w:r w:rsidRPr="00D7266D">
        <w:rPr>
          <w:color w:val="000000"/>
        </w:rPr>
        <w:t>Second, the</w:t>
      </w:r>
      <w:r w:rsidRPr="00D7266D">
        <w:rPr>
          <w:rStyle w:val="apple-converted-space"/>
          <w:color w:val="000000"/>
        </w:rPr>
        <w:t> </w:t>
      </w:r>
      <w:r w:rsidRPr="00D7266D">
        <w:rPr>
          <w:rStyle w:val="Strong"/>
          <w:b w:val="0"/>
          <w:bCs w:val="0"/>
          <w:color w:val="000000"/>
        </w:rPr>
        <w:t>vagueness of the paradigm concept</w:t>
      </w:r>
      <w:r w:rsidRPr="00D7266D">
        <w:rPr>
          <w:color w:val="000000"/>
        </w:rPr>
        <w:t>, identified by</w:t>
      </w:r>
      <w:r w:rsidRPr="00D7266D">
        <w:rPr>
          <w:rStyle w:val="apple-converted-space"/>
          <w:color w:val="000000"/>
        </w:rPr>
        <w:t> </w:t>
      </w:r>
      <w:r w:rsidRPr="00D7266D">
        <w:rPr>
          <w:rStyle w:val="whitespace-normal"/>
          <w:color w:val="000000"/>
        </w:rPr>
        <w:t>Margaret Masterman</w:t>
      </w:r>
      <w:r w:rsidRPr="00D7266D">
        <w:rPr>
          <w:rStyle w:val="apple-converted-space"/>
          <w:color w:val="000000"/>
        </w:rPr>
        <w:t> </w:t>
      </w:r>
      <w:r w:rsidRPr="00D7266D">
        <w:rPr>
          <w:color w:val="000000"/>
        </w:rPr>
        <w:t>(1970), suggests that relying solely on abstract philosophical positions may weaken research clarity. In response, my study justifies using</w:t>
      </w:r>
      <w:r w:rsidRPr="00D7266D">
        <w:rPr>
          <w:rStyle w:val="apple-converted-space"/>
          <w:color w:val="000000"/>
        </w:rPr>
        <w:t> </w:t>
      </w:r>
      <w:r w:rsidRPr="00D7266D">
        <w:rPr>
          <w:rStyle w:val="Strong"/>
          <w:b w:val="0"/>
          <w:bCs w:val="0"/>
          <w:color w:val="000000"/>
        </w:rPr>
        <w:t>clearly defined variables</w:t>
      </w:r>
      <w:r w:rsidRPr="00D7266D">
        <w:rPr>
          <w:rStyle w:val="apple-converted-space"/>
          <w:color w:val="000000"/>
        </w:rPr>
        <w:t> </w:t>
      </w:r>
      <w:r w:rsidRPr="00D7266D">
        <w:rPr>
          <w:color w:val="000000"/>
        </w:rPr>
        <w:t>(e.g., governance structures, risk indicators), ensuring that the research remains structured and operationalizable.</w:t>
      </w:r>
    </w:p>
    <w:p w14:paraId="3ECD6864" w14:textId="728EC2A9" w:rsidR="0030725F" w:rsidRPr="00104E34" w:rsidRDefault="0030725F" w:rsidP="00A679AB">
      <w:pPr>
        <w:pStyle w:val="NormalWeb"/>
        <w:spacing w:line="360" w:lineRule="auto"/>
        <w:jc w:val="both"/>
        <w:rPr>
          <w:color w:val="000000"/>
        </w:rPr>
      </w:pPr>
      <w:r w:rsidRPr="00D7266D">
        <w:rPr>
          <w:color w:val="000000"/>
        </w:rPr>
        <w:t>Third, the criticism of</w:t>
      </w:r>
      <w:r w:rsidRPr="00D7266D">
        <w:rPr>
          <w:rStyle w:val="apple-converted-space"/>
          <w:color w:val="000000"/>
        </w:rPr>
        <w:t> </w:t>
      </w:r>
      <w:r w:rsidRPr="00D7266D">
        <w:rPr>
          <w:rStyle w:val="Strong"/>
          <w:b w:val="0"/>
          <w:bCs w:val="0"/>
          <w:color w:val="000000"/>
        </w:rPr>
        <w:t>discontinuous scientific progress</w:t>
      </w:r>
      <w:r w:rsidRPr="00D7266D">
        <w:rPr>
          <w:color w:val="000000"/>
        </w:rPr>
        <w:t>, emphasized by</w:t>
      </w:r>
      <w:r w:rsidRPr="00D7266D">
        <w:rPr>
          <w:rStyle w:val="apple-converted-space"/>
          <w:color w:val="000000"/>
        </w:rPr>
        <w:t> </w:t>
      </w:r>
      <w:r w:rsidRPr="00D7266D">
        <w:rPr>
          <w:rStyle w:val="whitespace-normal"/>
          <w:color w:val="000000"/>
        </w:rPr>
        <w:t>Imre Lakatos</w:t>
      </w:r>
      <w:r w:rsidRPr="00D7266D">
        <w:rPr>
          <w:rStyle w:val="apple-converted-space"/>
          <w:color w:val="000000"/>
        </w:rPr>
        <w:t> </w:t>
      </w:r>
      <w:r w:rsidRPr="00D7266D">
        <w:rPr>
          <w:color w:val="000000"/>
        </w:rPr>
        <w:t>(1978), is particularly relevant. Banking systems evolve gradually through regulatory reforms rather than sudden paradigm shifts. This supports my justification for adopting a</w:t>
      </w:r>
      <w:r w:rsidRPr="00D7266D">
        <w:rPr>
          <w:rStyle w:val="apple-converted-space"/>
          <w:color w:val="000000"/>
        </w:rPr>
        <w:t> </w:t>
      </w:r>
      <w:r w:rsidRPr="00D7266D">
        <w:rPr>
          <w:rStyle w:val="Strong"/>
          <w:b w:val="0"/>
          <w:bCs w:val="0"/>
          <w:color w:val="000000"/>
        </w:rPr>
        <w:t>pragmatic and flexible framework</w:t>
      </w:r>
      <w:r w:rsidRPr="00D7266D">
        <w:rPr>
          <w:rStyle w:val="apple-converted-space"/>
          <w:color w:val="000000"/>
        </w:rPr>
        <w:t> </w:t>
      </w:r>
      <w:r w:rsidRPr="00D7266D">
        <w:rPr>
          <w:color w:val="000000"/>
        </w:rPr>
        <w:t>that captures both incremental changes and evolving governance practices in Bangladesh’s banking sector.</w:t>
      </w:r>
    </w:p>
    <w:p w14:paraId="1FDDCD82" w14:textId="69CECA99" w:rsidR="0030725F" w:rsidRPr="00104E34" w:rsidRDefault="0030725F" w:rsidP="00A679AB">
      <w:pPr>
        <w:pStyle w:val="NormalWeb"/>
        <w:spacing w:line="360" w:lineRule="auto"/>
        <w:jc w:val="both"/>
        <w:rPr>
          <w:color w:val="000000"/>
        </w:rPr>
      </w:pPr>
      <w:r w:rsidRPr="00D7266D">
        <w:rPr>
          <w:color w:val="000000"/>
        </w:rPr>
        <w:t>Fourth, concerns about the</w:t>
      </w:r>
      <w:r w:rsidRPr="00D7266D">
        <w:rPr>
          <w:rStyle w:val="apple-converted-space"/>
          <w:color w:val="000000"/>
        </w:rPr>
        <w:t> </w:t>
      </w:r>
      <w:r w:rsidRPr="00D7266D">
        <w:rPr>
          <w:rStyle w:val="Strong"/>
          <w:b w:val="0"/>
          <w:bCs w:val="0"/>
          <w:color w:val="000000"/>
        </w:rPr>
        <w:t>limited role of rational evaluation</w:t>
      </w:r>
      <w:r w:rsidRPr="00D7266D">
        <w:rPr>
          <w:rStyle w:val="apple-converted-space"/>
          <w:color w:val="000000"/>
        </w:rPr>
        <w:t> </w:t>
      </w:r>
      <w:r w:rsidRPr="00D7266D">
        <w:rPr>
          <w:color w:val="000000"/>
        </w:rPr>
        <w:t>(</w:t>
      </w:r>
      <w:r w:rsidRPr="00D7266D">
        <w:rPr>
          <w:rStyle w:val="whitespace-normal"/>
          <w:color w:val="000000"/>
        </w:rPr>
        <w:t>Larry Laudan</w:t>
      </w:r>
      <w:r w:rsidRPr="00D7266D">
        <w:rPr>
          <w:color w:val="000000"/>
        </w:rPr>
        <w:t>, 1977) reinforce the importance of</w:t>
      </w:r>
      <w:r w:rsidRPr="00D7266D">
        <w:rPr>
          <w:rStyle w:val="apple-converted-space"/>
          <w:color w:val="000000"/>
        </w:rPr>
        <w:t> </w:t>
      </w:r>
      <w:r w:rsidRPr="00D7266D">
        <w:rPr>
          <w:rStyle w:val="Strong"/>
          <w:b w:val="0"/>
          <w:bCs w:val="0"/>
          <w:color w:val="000000"/>
        </w:rPr>
        <w:t>evidence-based analysis</w:t>
      </w:r>
      <w:r w:rsidRPr="00D7266D">
        <w:rPr>
          <w:rStyle w:val="apple-converted-space"/>
          <w:color w:val="000000"/>
        </w:rPr>
        <w:t> </w:t>
      </w:r>
      <w:r w:rsidRPr="00D7266D">
        <w:rPr>
          <w:color w:val="000000"/>
        </w:rPr>
        <w:t>in your study. My research addresses this by using quantitative methods (e.g., financial ratios) to ensure that conclusions are grounded in empirical data rather than shifts in opinion alone.</w:t>
      </w:r>
    </w:p>
    <w:p w14:paraId="00CF12D9" w14:textId="0A9C8650" w:rsidR="00733D1A" w:rsidRDefault="0030725F" w:rsidP="00A679AB">
      <w:pPr>
        <w:pStyle w:val="NormalWeb"/>
        <w:spacing w:line="360" w:lineRule="auto"/>
        <w:jc w:val="both"/>
        <w:rPr>
          <w:color w:val="000000"/>
        </w:rPr>
      </w:pPr>
      <w:r w:rsidRPr="00D7266D">
        <w:rPr>
          <w:color w:val="000000"/>
        </w:rPr>
        <w:t>Finally, the critique that Kuhn’s model is</w:t>
      </w:r>
      <w:r w:rsidRPr="00D7266D">
        <w:rPr>
          <w:rStyle w:val="apple-converted-space"/>
          <w:color w:val="000000"/>
        </w:rPr>
        <w:t> </w:t>
      </w:r>
      <w:r w:rsidRPr="00D7266D">
        <w:rPr>
          <w:rStyle w:val="Strong"/>
          <w:b w:val="0"/>
          <w:bCs w:val="0"/>
          <w:color w:val="000000"/>
        </w:rPr>
        <w:t>less applicable to social sciences</w:t>
      </w:r>
      <w:r w:rsidRPr="00D7266D">
        <w:rPr>
          <w:color w:val="000000"/>
        </w:rPr>
        <w:t>, as argued by</w:t>
      </w:r>
      <w:r w:rsidRPr="00D7266D">
        <w:rPr>
          <w:rStyle w:val="apple-converted-space"/>
          <w:color w:val="000000"/>
        </w:rPr>
        <w:t> </w:t>
      </w:r>
      <w:r w:rsidRPr="00D7266D">
        <w:rPr>
          <w:rStyle w:val="whitespace-normal"/>
          <w:color w:val="000000"/>
        </w:rPr>
        <w:t>Mattei Dogan</w:t>
      </w:r>
      <w:r w:rsidRPr="00D7266D">
        <w:rPr>
          <w:rStyle w:val="apple-converted-space"/>
          <w:color w:val="000000"/>
        </w:rPr>
        <w:t> </w:t>
      </w:r>
      <w:r w:rsidRPr="00D7266D">
        <w:rPr>
          <w:color w:val="000000"/>
        </w:rPr>
        <w:t>(2001), directly supports your methodological choice. Banking and governance research often involves</w:t>
      </w:r>
      <w:r w:rsidRPr="00D7266D">
        <w:rPr>
          <w:rStyle w:val="apple-converted-space"/>
          <w:color w:val="000000"/>
        </w:rPr>
        <w:t> </w:t>
      </w:r>
      <w:r w:rsidRPr="00D7266D">
        <w:rPr>
          <w:rStyle w:val="Strong"/>
          <w:b w:val="0"/>
          <w:bCs w:val="0"/>
          <w:color w:val="000000"/>
        </w:rPr>
        <w:t>multiple coexisting perspectives</w:t>
      </w:r>
      <w:r w:rsidRPr="00D7266D">
        <w:rPr>
          <w:color w:val="000000"/>
        </w:rPr>
        <w:t>, not a single dominant paradigm. This justifies my adoption of</w:t>
      </w:r>
      <w:r w:rsidRPr="00D7266D">
        <w:rPr>
          <w:rStyle w:val="apple-converted-space"/>
          <w:color w:val="000000"/>
        </w:rPr>
        <w:t> </w:t>
      </w:r>
      <w:r w:rsidRPr="00D7266D">
        <w:rPr>
          <w:rStyle w:val="Strong"/>
          <w:b w:val="0"/>
          <w:bCs w:val="0"/>
          <w:color w:val="000000"/>
        </w:rPr>
        <w:t>pragmatism and mixed methods</w:t>
      </w:r>
      <w:r w:rsidRPr="00D7266D">
        <w:rPr>
          <w:color w:val="000000"/>
        </w:rPr>
        <w:t>, allowing me to integrate diverse viewpoints and better reflect real-world complexity.</w:t>
      </w:r>
    </w:p>
    <w:p w14:paraId="1E569BD5" w14:textId="77777777" w:rsidR="00A679AB" w:rsidRDefault="00A679AB" w:rsidP="00A679AB">
      <w:pPr>
        <w:pStyle w:val="NormalWeb"/>
        <w:spacing w:line="360" w:lineRule="auto"/>
        <w:jc w:val="both"/>
        <w:rPr>
          <w:color w:val="000000"/>
        </w:rPr>
      </w:pPr>
    </w:p>
    <w:p w14:paraId="6369A658" w14:textId="77777777" w:rsidR="00A679AB" w:rsidRDefault="00A679AB" w:rsidP="00A679AB">
      <w:pPr>
        <w:pStyle w:val="NormalWeb"/>
        <w:spacing w:line="360" w:lineRule="auto"/>
        <w:jc w:val="both"/>
        <w:rPr>
          <w:color w:val="000000"/>
        </w:rPr>
      </w:pPr>
    </w:p>
    <w:p w14:paraId="3C1BC7F8" w14:textId="77777777" w:rsidR="00A679AB" w:rsidRPr="00A679AB" w:rsidRDefault="00A679AB" w:rsidP="00A679AB">
      <w:pPr>
        <w:pStyle w:val="NormalWeb"/>
        <w:spacing w:line="360" w:lineRule="auto"/>
        <w:jc w:val="both"/>
        <w:rPr>
          <w:color w:val="000000"/>
        </w:rPr>
      </w:pPr>
    </w:p>
    <w:p w14:paraId="2D52DA79" w14:textId="3E27433F" w:rsidR="00BF169F" w:rsidRPr="00A679AB" w:rsidRDefault="00104E34" w:rsidP="00D7266D">
      <w:pPr>
        <w:pStyle w:val="Heading1"/>
        <w:spacing w:before="100" w:beforeAutospacing="1" w:after="100" w:afterAutospacing="1"/>
        <w:jc w:val="both"/>
        <w:rPr>
          <w:rFonts w:ascii="Times New Roman" w:hAnsi="Times New Roman" w:cs="Times New Roman"/>
          <w:color w:val="auto"/>
          <w:sz w:val="24"/>
          <w:szCs w:val="24"/>
        </w:rPr>
      </w:pPr>
      <w:bookmarkStart w:id="0" w:name="OLE_LINK1"/>
      <w:r w:rsidRPr="00A679AB">
        <w:rPr>
          <w:rFonts w:ascii="Times New Roman" w:hAnsi="Times New Roman" w:cs="Times New Roman"/>
          <w:color w:val="auto"/>
          <w:sz w:val="24"/>
          <w:szCs w:val="24"/>
        </w:rPr>
        <w:lastRenderedPageBreak/>
        <w:t>6</w:t>
      </w:r>
      <w:r w:rsidR="00000000" w:rsidRPr="00A679AB">
        <w:rPr>
          <w:rFonts w:ascii="Times New Roman" w:hAnsi="Times New Roman" w:cs="Times New Roman"/>
          <w:color w:val="auto"/>
          <w:sz w:val="24"/>
          <w:szCs w:val="24"/>
        </w:rPr>
        <w:t>. Conceptual Framework</w:t>
      </w:r>
    </w:p>
    <w:p w14:paraId="295F27C5" w14:textId="29699B4F" w:rsidR="008B2862" w:rsidRPr="00A679AB" w:rsidRDefault="008B2862" w:rsidP="00D7266D">
      <w:pPr>
        <w:spacing w:before="100" w:beforeAutospacing="1" w:after="100" w:afterAutospacing="1"/>
        <w:jc w:val="both"/>
        <w:outlineLvl w:val="1"/>
        <w:rPr>
          <w:b/>
          <w:bCs/>
          <w:color w:val="000000"/>
        </w:rPr>
      </w:pPr>
      <w:r w:rsidRPr="00A679AB">
        <w:rPr>
          <w:b/>
          <w:bCs/>
          <w:color w:val="000000"/>
        </w:rPr>
        <w:t xml:space="preserve"> </w:t>
      </w:r>
      <w:r w:rsidR="00104E34" w:rsidRPr="00A679AB">
        <w:rPr>
          <w:b/>
          <w:bCs/>
          <w:color w:val="000000"/>
        </w:rPr>
        <w:t xml:space="preserve">6.1 </w:t>
      </w:r>
      <w:r w:rsidRPr="00A679AB">
        <w:rPr>
          <w:b/>
          <w:bCs/>
          <w:color w:val="000000"/>
        </w:rPr>
        <w:t>Independent Variable (IV): Strategic Risk Governance (SRG)</w:t>
      </w:r>
    </w:p>
    <w:p w14:paraId="42856A56" w14:textId="292C6349" w:rsidR="008B2862" w:rsidRPr="00D7266D" w:rsidRDefault="00A679AB" w:rsidP="00A679AB">
      <w:pPr>
        <w:spacing w:before="100" w:beforeAutospacing="1" w:after="100" w:afterAutospacing="1" w:line="360" w:lineRule="auto"/>
        <w:jc w:val="both"/>
        <w:rPr>
          <w:color w:val="000000"/>
        </w:rPr>
      </w:pPr>
      <w:r>
        <w:rPr>
          <w:color w:val="000000"/>
        </w:rPr>
        <w:t>"Strategic risk governance”</w:t>
      </w:r>
      <w:r w:rsidR="008B2862" w:rsidRPr="00D7266D">
        <w:rPr>
          <w:color w:val="000000"/>
        </w:rPr>
        <w:t xml:space="preserve"> refers to the system of oversight, structures, and processes through which banks manage risk at a strategic level (Basel Committee on Banking Supervision, 2015; McConnell, 2012). It is typically </w:t>
      </w:r>
      <w:r>
        <w:rPr>
          <w:color w:val="000000"/>
        </w:rPr>
        <w:t>operationalized through the following:</w:t>
      </w:r>
    </w:p>
    <w:p w14:paraId="134D40CF" w14:textId="77777777" w:rsidR="008B2862" w:rsidRPr="00D7266D" w:rsidRDefault="008B2862" w:rsidP="00A679AB">
      <w:pPr>
        <w:numPr>
          <w:ilvl w:val="0"/>
          <w:numId w:val="29"/>
        </w:numPr>
        <w:spacing w:before="100" w:beforeAutospacing="1" w:after="100" w:afterAutospacing="1" w:line="360" w:lineRule="auto"/>
        <w:jc w:val="both"/>
        <w:rPr>
          <w:color w:val="000000"/>
        </w:rPr>
      </w:pPr>
      <w:r w:rsidRPr="00D7266D">
        <w:rPr>
          <w:color w:val="000000"/>
        </w:rPr>
        <w:t>Board oversight (McConnell, 2012; Battaglia &amp; Gallo, 2015)</w:t>
      </w:r>
    </w:p>
    <w:p w14:paraId="15BBF754" w14:textId="77777777" w:rsidR="008B2862" w:rsidRPr="00D7266D" w:rsidRDefault="008B2862" w:rsidP="00A679AB">
      <w:pPr>
        <w:numPr>
          <w:ilvl w:val="0"/>
          <w:numId w:val="29"/>
        </w:numPr>
        <w:spacing w:before="100" w:beforeAutospacing="1" w:after="100" w:afterAutospacing="1" w:line="360" w:lineRule="auto"/>
        <w:jc w:val="both"/>
        <w:rPr>
          <w:color w:val="000000"/>
        </w:rPr>
      </w:pPr>
      <w:r w:rsidRPr="00D7266D">
        <w:rPr>
          <w:color w:val="000000"/>
        </w:rPr>
        <w:t>Risk committees (Basel Committee on Banking Supervision, 2015)</w:t>
      </w:r>
    </w:p>
    <w:p w14:paraId="670C18D8" w14:textId="77777777" w:rsidR="008B2862" w:rsidRPr="00D7266D" w:rsidRDefault="008B2862" w:rsidP="00A679AB">
      <w:pPr>
        <w:numPr>
          <w:ilvl w:val="0"/>
          <w:numId w:val="29"/>
        </w:numPr>
        <w:spacing w:before="100" w:beforeAutospacing="1" w:after="100" w:afterAutospacing="1" w:line="360" w:lineRule="auto"/>
        <w:jc w:val="both"/>
        <w:rPr>
          <w:color w:val="000000"/>
        </w:rPr>
      </w:pPr>
      <w:r w:rsidRPr="00D7266D">
        <w:rPr>
          <w:color w:val="000000"/>
        </w:rPr>
        <w:t>Enterprise Risk Management (ERM) systems (</w:t>
      </w:r>
      <w:proofErr w:type="spellStart"/>
      <w:r w:rsidRPr="00D7266D">
        <w:rPr>
          <w:color w:val="000000"/>
        </w:rPr>
        <w:t>Korableva</w:t>
      </w:r>
      <w:proofErr w:type="spellEnd"/>
      <w:r w:rsidRPr="00D7266D">
        <w:rPr>
          <w:color w:val="000000"/>
        </w:rPr>
        <w:t xml:space="preserve"> &amp; </w:t>
      </w:r>
      <w:proofErr w:type="spellStart"/>
      <w:r w:rsidRPr="00D7266D">
        <w:rPr>
          <w:color w:val="000000"/>
        </w:rPr>
        <w:t>Kalimullina</w:t>
      </w:r>
      <w:proofErr w:type="spellEnd"/>
      <w:r w:rsidRPr="00D7266D">
        <w:rPr>
          <w:color w:val="000000"/>
        </w:rPr>
        <w:t>, 2016)</w:t>
      </w:r>
    </w:p>
    <w:p w14:paraId="562213AC" w14:textId="77777777" w:rsidR="008B2862" w:rsidRPr="00D7266D" w:rsidRDefault="008B2862" w:rsidP="00A679AB">
      <w:pPr>
        <w:numPr>
          <w:ilvl w:val="0"/>
          <w:numId w:val="29"/>
        </w:numPr>
        <w:spacing w:before="100" w:beforeAutospacing="1" w:after="100" w:afterAutospacing="1" w:line="360" w:lineRule="auto"/>
        <w:jc w:val="both"/>
        <w:rPr>
          <w:color w:val="000000"/>
        </w:rPr>
      </w:pPr>
      <w:r w:rsidRPr="00D7266D">
        <w:rPr>
          <w:color w:val="000000"/>
        </w:rPr>
        <w:t>Internal controls and risk policies (Basel Committee on Banking Supervision, 2015)</w:t>
      </w:r>
    </w:p>
    <w:p w14:paraId="2CA8CA4C" w14:textId="614B572F" w:rsidR="008B2862" w:rsidRPr="00A679AB" w:rsidRDefault="008B2862" w:rsidP="00D7266D">
      <w:pPr>
        <w:numPr>
          <w:ilvl w:val="0"/>
          <w:numId w:val="29"/>
        </w:numPr>
        <w:spacing w:before="100" w:beforeAutospacing="1" w:after="100" w:afterAutospacing="1" w:line="360" w:lineRule="auto"/>
        <w:jc w:val="both"/>
        <w:rPr>
          <w:color w:val="000000"/>
        </w:rPr>
      </w:pPr>
      <w:r w:rsidRPr="00D7266D">
        <w:rPr>
          <w:color w:val="000000"/>
        </w:rPr>
        <w:t>Governance quality/composite index (Nahar, Jubb &amp; Azim, 2016)</w:t>
      </w:r>
    </w:p>
    <w:p w14:paraId="626584EC" w14:textId="15E7B5DF" w:rsidR="008B2862" w:rsidRPr="00A679AB" w:rsidRDefault="00104E34" w:rsidP="00A679AB">
      <w:pPr>
        <w:spacing w:before="100" w:beforeAutospacing="1" w:after="100" w:afterAutospacing="1" w:line="360" w:lineRule="auto"/>
        <w:jc w:val="both"/>
        <w:outlineLvl w:val="1"/>
        <w:rPr>
          <w:b/>
          <w:bCs/>
          <w:color w:val="000000"/>
        </w:rPr>
      </w:pPr>
      <w:r w:rsidRPr="00A679AB">
        <w:rPr>
          <w:b/>
          <w:bCs/>
          <w:color w:val="000000"/>
        </w:rPr>
        <w:t>6.</w:t>
      </w:r>
      <w:r w:rsidRPr="00A679AB">
        <w:rPr>
          <w:rFonts w:ascii="Cambria" w:hAnsi="Cambria" w:cs="Apple Color Emoji"/>
          <w:b/>
          <w:bCs/>
          <w:color w:val="000000"/>
        </w:rPr>
        <w:t xml:space="preserve">2 </w:t>
      </w:r>
      <w:r w:rsidR="008B2862" w:rsidRPr="00A679AB">
        <w:rPr>
          <w:b/>
          <w:bCs/>
          <w:color w:val="000000"/>
        </w:rPr>
        <w:t>Dependent Variable (DV): Banking Resilience</w:t>
      </w:r>
    </w:p>
    <w:p w14:paraId="6BA93E3A" w14:textId="77777777" w:rsidR="008B2862" w:rsidRPr="00D7266D" w:rsidRDefault="008B2862" w:rsidP="00A679AB">
      <w:pPr>
        <w:spacing w:before="100" w:beforeAutospacing="1" w:after="100" w:afterAutospacing="1" w:line="360" w:lineRule="auto"/>
        <w:jc w:val="both"/>
        <w:rPr>
          <w:color w:val="000000"/>
        </w:rPr>
      </w:pPr>
      <w:r w:rsidRPr="00D7266D">
        <w:rPr>
          <w:color w:val="000000"/>
        </w:rPr>
        <w:t xml:space="preserve">Banking resilience refers to a bank’s ability to withstand shocks, maintain stability, and continue operations during periods of financial stress (Battaglia &amp; Gallo, 2015; </w:t>
      </w:r>
      <w:proofErr w:type="spellStart"/>
      <w:r w:rsidRPr="00D7266D">
        <w:rPr>
          <w:color w:val="000000"/>
        </w:rPr>
        <w:t>Guettala</w:t>
      </w:r>
      <w:proofErr w:type="spellEnd"/>
      <w:r w:rsidRPr="00D7266D">
        <w:rPr>
          <w:color w:val="000000"/>
        </w:rPr>
        <w:t>, Kesri &amp; Selmani, 2025). It is commonly reflected through:</w:t>
      </w:r>
    </w:p>
    <w:p w14:paraId="56C537DF" w14:textId="77777777" w:rsidR="008B2862" w:rsidRPr="00D7266D" w:rsidRDefault="008B2862" w:rsidP="00A679AB">
      <w:pPr>
        <w:numPr>
          <w:ilvl w:val="0"/>
          <w:numId w:val="30"/>
        </w:numPr>
        <w:spacing w:before="100" w:beforeAutospacing="1" w:after="100" w:afterAutospacing="1" w:line="360" w:lineRule="auto"/>
        <w:jc w:val="both"/>
        <w:rPr>
          <w:color w:val="000000"/>
        </w:rPr>
      </w:pPr>
      <w:r w:rsidRPr="00D7266D">
        <w:rPr>
          <w:color w:val="000000"/>
        </w:rPr>
        <w:t>Financial stability (Battaglia &amp; Gallo, 2015)</w:t>
      </w:r>
    </w:p>
    <w:p w14:paraId="66FD4924" w14:textId="77777777" w:rsidR="008B2862" w:rsidRPr="00D7266D" w:rsidRDefault="008B2862" w:rsidP="00A679AB">
      <w:pPr>
        <w:numPr>
          <w:ilvl w:val="0"/>
          <w:numId w:val="30"/>
        </w:numPr>
        <w:spacing w:before="100" w:beforeAutospacing="1" w:after="100" w:afterAutospacing="1" w:line="360" w:lineRule="auto"/>
        <w:jc w:val="both"/>
        <w:rPr>
          <w:color w:val="000000"/>
        </w:rPr>
      </w:pPr>
      <w:r w:rsidRPr="00D7266D">
        <w:rPr>
          <w:color w:val="000000"/>
        </w:rPr>
        <w:t>Shock absorption capacity (Basel Committee on Banking Supervision, 2015)</w:t>
      </w:r>
    </w:p>
    <w:p w14:paraId="1DEBCFD5" w14:textId="77777777" w:rsidR="008B2862" w:rsidRPr="00D7266D" w:rsidRDefault="008B2862" w:rsidP="00A679AB">
      <w:pPr>
        <w:numPr>
          <w:ilvl w:val="0"/>
          <w:numId w:val="30"/>
        </w:numPr>
        <w:spacing w:before="100" w:beforeAutospacing="1" w:after="100" w:afterAutospacing="1" w:line="360" w:lineRule="auto"/>
        <w:jc w:val="both"/>
        <w:rPr>
          <w:color w:val="000000"/>
        </w:rPr>
      </w:pPr>
      <w:r w:rsidRPr="00D7266D">
        <w:rPr>
          <w:color w:val="000000"/>
        </w:rPr>
        <w:t>Profitability stability (</w:t>
      </w:r>
      <w:proofErr w:type="spellStart"/>
      <w:r w:rsidRPr="00D7266D">
        <w:rPr>
          <w:color w:val="000000"/>
        </w:rPr>
        <w:t>Alshehhi</w:t>
      </w:r>
      <w:proofErr w:type="spellEnd"/>
      <w:r w:rsidRPr="00D7266D">
        <w:rPr>
          <w:color w:val="000000"/>
        </w:rPr>
        <w:t>, 2023)</w:t>
      </w:r>
    </w:p>
    <w:p w14:paraId="7A90EB7A" w14:textId="77777777" w:rsidR="008B2862" w:rsidRPr="00D7266D" w:rsidRDefault="008B2862" w:rsidP="00A679AB">
      <w:pPr>
        <w:numPr>
          <w:ilvl w:val="0"/>
          <w:numId w:val="30"/>
        </w:numPr>
        <w:spacing w:before="100" w:beforeAutospacing="1" w:after="100" w:afterAutospacing="1" w:line="360" w:lineRule="auto"/>
        <w:jc w:val="both"/>
        <w:rPr>
          <w:color w:val="000000"/>
        </w:rPr>
      </w:pPr>
      <w:r w:rsidRPr="00D7266D">
        <w:rPr>
          <w:color w:val="000000"/>
        </w:rPr>
        <w:t>Liquidity resilience (McConnell, 2012)</w:t>
      </w:r>
    </w:p>
    <w:p w14:paraId="24A6A401" w14:textId="77777777" w:rsidR="008B2862" w:rsidRPr="00D7266D" w:rsidRDefault="008B2862" w:rsidP="00A679AB">
      <w:pPr>
        <w:numPr>
          <w:ilvl w:val="0"/>
          <w:numId w:val="30"/>
        </w:numPr>
        <w:spacing w:before="100" w:beforeAutospacing="1" w:after="100" w:afterAutospacing="1" w:line="360" w:lineRule="auto"/>
        <w:jc w:val="both"/>
        <w:rPr>
          <w:color w:val="000000"/>
        </w:rPr>
      </w:pPr>
      <w:r w:rsidRPr="00D7266D">
        <w:rPr>
          <w:color w:val="000000"/>
        </w:rPr>
        <w:t>Non-performing loan (NPL) control (Nahar, Jubb &amp; Azim, 2016)</w:t>
      </w:r>
    </w:p>
    <w:p w14:paraId="0268923A" w14:textId="3AC54FD9" w:rsidR="008B2862" w:rsidRPr="00A679AB" w:rsidRDefault="008B2862" w:rsidP="00D7266D">
      <w:pPr>
        <w:numPr>
          <w:ilvl w:val="0"/>
          <w:numId w:val="30"/>
        </w:numPr>
        <w:spacing w:before="100" w:beforeAutospacing="1" w:after="100" w:afterAutospacing="1" w:line="360" w:lineRule="auto"/>
        <w:jc w:val="both"/>
        <w:rPr>
          <w:color w:val="000000"/>
        </w:rPr>
      </w:pPr>
      <w:r w:rsidRPr="00D7266D">
        <w:rPr>
          <w:color w:val="000000"/>
        </w:rPr>
        <w:t>Crisis response capacity (Battaglia &amp; Gallo, 2015)</w:t>
      </w:r>
    </w:p>
    <w:p w14:paraId="00BE77B1" w14:textId="2AC7E216" w:rsidR="008B2862" w:rsidRPr="00A679AB" w:rsidRDefault="00104E34" w:rsidP="00D7266D">
      <w:pPr>
        <w:spacing w:before="100" w:beforeAutospacing="1" w:after="100" w:afterAutospacing="1"/>
        <w:jc w:val="both"/>
        <w:outlineLvl w:val="1"/>
        <w:rPr>
          <w:b/>
          <w:bCs/>
          <w:color w:val="000000"/>
        </w:rPr>
      </w:pPr>
      <w:proofErr w:type="gramStart"/>
      <w:r w:rsidRPr="00A679AB">
        <w:rPr>
          <w:b/>
          <w:bCs/>
          <w:color w:val="000000"/>
        </w:rPr>
        <w:t>6.3</w:t>
      </w:r>
      <w:r w:rsidRPr="00A679AB">
        <w:rPr>
          <w:rFonts w:ascii="Cambria" w:hAnsi="Cambria" w:cs="Apple Color Emoji"/>
          <w:b/>
          <w:bCs/>
          <w:color w:val="000000"/>
        </w:rPr>
        <w:t xml:space="preserve"> </w:t>
      </w:r>
      <w:r w:rsidR="008B2862" w:rsidRPr="00A679AB">
        <w:rPr>
          <w:b/>
          <w:bCs/>
          <w:color w:val="000000"/>
        </w:rPr>
        <w:t xml:space="preserve"> Mediating</w:t>
      </w:r>
      <w:proofErr w:type="gramEnd"/>
      <w:r w:rsidR="008B2862" w:rsidRPr="00A679AB">
        <w:rPr>
          <w:b/>
          <w:bCs/>
          <w:color w:val="000000"/>
        </w:rPr>
        <w:t xml:space="preserve"> Variables (Mechanisms)</w:t>
      </w:r>
    </w:p>
    <w:p w14:paraId="260272C2" w14:textId="77777777" w:rsidR="008B2862" w:rsidRPr="00D7266D" w:rsidRDefault="008B2862" w:rsidP="00A679AB">
      <w:pPr>
        <w:spacing w:before="100" w:beforeAutospacing="1" w:after="100" w:afterAutospacing="1" w:line="360" w:lineRule="auto"/>
        <w:jc w:val="both"/>
        <w:rPr>
          <w:color w:val="000000"/>
        </w:rPr>
      </w:pPr>
      <w:r w:rsidRPr="00D7266D">
        <w:rPr>
          <w:color w:val="000000"/>
        </w:rPr>
        <w:t>These variables explain how SRG translates into resilience outcomes.</w:t>
      </w:r>
    </w:p>
    <w:p w14:paraId="46F94274" w14:textId="77777777" w:rsidR="008B2862" w:rsidRPr="00D7266D" w:rsidRDefault="008B2862" w:rsidP="00A679AB">
      <w:pPr>
        <w:numPr>
          <w:ilvl w:val="0"/>
          <w:numId w:val="31"/>
        </w:numPr>
        <w:spacing w:before="100" w:beforeAutospacing="1" w:after="100" w:afterAutospacing="1" w:line="360" w:lineRule="auto"/>
        <w:jc w:val="both"/>
        <w:rPr>
          <w:color w:val="000000"/>
        </w:rPr>
      </w:pPr>
      <w:r w:rsidRPr="00D7266D">
        <w:rPr>
          <w:color w:val="000000"/>
        </w:rPr>
        <w:t>Risk culture (Basel Committee on Banking Supervision, 2015; Stein, Wiedemann &amp; Bouten, 2019)</w:t>
      </w:r>
    </w:p>
    <w:p w14:paraId="63773BE6" w14:textId="77777777" w:rsidR="008B2862" w:rsidRPr="00D7266D" w:rsidRDefault="008B2862" w:rsidP="00A679AB">
      <w:pPr>
        <w:numPr>
          <w:ilvl w:val="0"/>
          <w:numId w:val="31"/>
        </w:numPr>
        <w:spacing w:before="100" w:beforeAutospacing="1" w:after="100" w:afterAutospacing="1" w:line="360" w:lineRule="auto"/>
        <w:jc w:val="both"/>
        <w:rPr>
          <w:color w:val="000000"/>
        </w:rPr>
      </w:pPr>
      <w:r w:rsidRPr="00D7266D">
        <w:rPr>
          <w:color w:val="000000"/>
        </w:rPr>
        <w:t xml:space="preserve">Decision-making quality (McConnell, 2012; </w:t>
      </w:r>
      <w:proofErr w:type="spellStart"/>
      <w:r w:rsidRPr="00D7266D">
        <w:rPr>
          <w:color w:val="000000"/>
        </w:rPr>
        <w:t>Alshehhi</w:t>
      </w:r>
      <w:proofErr w:type="spellEnd"/>
      <w:r w:rsidRPr="00D7266D">
        <w:rPr>
          <w:color w:val="000000"/>
        </w:rPr>
        <w:t>, 2023)</w:t>
      </w:r>
    </w:p>
    <w:p w14:paraId="7041C5A3" w14:textId="77777777" w:rsidR="008B2862" w:rsidRPr="00D7266D" w:rsidRDefault="008B2862" w:rsidP="00A679AB">
      <w:pPr>
        <w:numPr>
          <w:ilvl w:val="0"/>
          <w:numId w:val="31"/>
        </w:numPr>
        <w:spacing w:before="100" w:beforeAutospacing="1" w:after="100" w:afterAutospacing="1" w:line="360" w:lineRule="auto"/>
        <w:jc w:val="both"/>
        <w:rPr>
          <w:color w:val="000000"/>
        </w:rPr>
      </w:pPr>
      <w:r w:rsidRPr="00D7266D">
        <w:rPr>
          <w:color w:val="000000"/>
        </w:rPr>
        <w:lastRenderedPageBreak/>
        <w:t>Risk monitoring systems (</w:t>
      </w:r>
      <w:proofErr w:type="spellStart"/>
      <w:r w:rsidRPr="00D7266D">
        <w:rPr>
          <w:color w:val="000000"/>
        </w:rPr>
        <w:t>Korableva</w:t>
      </w:r>
      <w:proofErr w:type="spellEnd"/>
      <w:r w:rsidRPr="00D7266D">
        <w:rPr>
          <w:color w:val="000000"/>
        </w:rPr>
        <w:t xml:space="preserve"> &amp; </w:t>
      </w:r>
      <w:proofErr w:type="spellStart"/>
      <w:r w:rsidRPr="00D7266D">
        <w:rPr>
          <w:color w:val="000000"/>
        </w:rPr>
        <w:t>Kalimullina</w:t>
      </w:r>
      <w:proofErr w:type="spellEnd"/>
      <w:r w:rsidRPr="00D7266D">
        <w:rPr>
          <w:color w:val="000000"/>
        </w:rPr>
        <w:t>, 2016)</w:t>
      </w:r>
    </w:p>
    <w:p w14:paraId="2647EB50" w14:textId="77777777" w:rsidR="008B2862" w:rsidRPr="00D7266D" w:rsidRDefault="008B2862" w:rsidP="00A679AB">
      <w:pPr>
        <w:numPr>
          <w:ilvl w:val="0"/>
          <w:numId w:val="31"/>
        </w:numPr>
        <w:spacing w:before="100" w:beforeAutospacing="1" w:after="100" w:afterAutospacing="1" w:line="360" w:lineRule="auto"/>
        <w:jc w:val="both"/>
        <w:rPr>
          <w:color w:val="000000"/>
        </w:rPr>
      </w:pPr>
      <w:r w:rsidRPr="00D7266D">
        <w:rPr>
          <w:color w:val="000000"/>
        </w:rPr>
        <w:t>Internal communication and escalation mechanisms (Stein, Wiedemann &amp; Bouten, 2019)</w:t>
      </w:r>
    </w:p>
    <w:p w14:paraId="1BE1D3C5" w14:textId="3E951A97" w:rsidR="008B2862" w:rsidRPr="00A679AB" w:rsidRDefault="008B2862" w:rsidP="00A679AB">
      <w:pPr>
        <w:spacing w:before="100" w:beforeAutospacing="1" w:after="100" w:afterAutospacing="1" w:line="360" w:lineRule="auto"/>
        <w:jc w:val="both"/>
        <w:rPr>
          <w:color w:val="000000"/>
        </w:rPr>
      </w:pPr>
      <w:r w:rsidRPr="00D7266D">
        <w:rPr>
          <w:color w:val="000000"/>
        </w:rPr>
        <w:t>These mechanisms highlight that governance effectiveness depends not only on structure but also on behavioural and organisational processes (Stein et al., 2019).</w:t>
      </w:r>
    </w:p>
    <w:p w14:paraId="4185E7FC" w14:textId="210E738F" w:rsidR="008B2862" w:rsidRPr="00A679AB" w:rsidRDefault="00104E34" w:rsidP="00A679AB">
      <w:pPr>
        <w:spacing w:before="100" w:beforeAutospacing="1" w:after="100" w:afterAutospacing="1" w:line="360" w:lineRule="auto"/>
        <w:jc w:val="both"/>
        <w:outlineLvl w:val="1"/>
        <w:rPr>
          <w:b/>
          <w:bCs/>
          <w:color w:val="000000"/>
        </w:rPr>
      </w:pPr>
      <w:r w:rsidRPr="00A679AB">
        <w:rPr>
          <w:b/>
          <w:bCs/>
          <w:color w:val="000000"/>
        </w:rPr>
        <w:t>6.4</w:t>
      </w:r>
      <w:r w:rsidRPr="00A679AB">
        <w:rPr>
          <w:rFonts w:ascii="Cambria" w:hAnsi="Cambria" w:cs="Apple Color Emoji"/>
          <w:b/>
          <w:bCs/>
          <w:color w:val="000000"/>
        </w:rPr>
        <w:t xml:space="preserve"> </w:t>
      </w:r>
      <w:r w:rsidR="008B2862" w:rsidRPr="00A679AB">
        <w:rPr>
          <w:b/>
          <w:bCs/>
          <w:color w:val="000000"/>
        </w:rPr>
        <w:t>Moderating / Institutional Variables</w:t>
      </w:r>
    </w:p>
    <w:p w14:paraId="492189F6" w14:textId="77777777" w:rsidR="008B2862" w:rsidRPr="00D7266D" w:rsidRDefault="008B2862" w:rsidP="00A679AB">
      <w:pPr>
        <w:spacing w:before="100" w:beforeAutospacing="1" w:after="100" w:afterAutospacing="1" w:line="360" w:lineRule="auto"/>
        <w:jc w:val="both"/>
        <w:rPr>
          <w:color w:val="000000"/>
        </w:rPr>
      </w:pPr>
      <w:r w:rsidRPr="00D7266D">
        <w:rPr>
          <w:color w:val="000000"/>
        </w:rPr>
        <w:t>These variables influence the strength or direction of the SRG–resilience relationship.</w:t>
      </w:r>
    </w:p>
    <w:p w14:paraId="26B66CEC" w14:textId="77777777" w:rsidR="008B2862" w:rsidRPr="00D7266D" w:rsidRDefault="008B2862" w:rsidP="00A679AB">
      <w:pPr>
        <w:numPr>
          <w:ilvl w:val="0"/>
          <w:numId w:val="32"/>
        </w:numPr>
        <w:spacing w:before="100" w:beforeAutospacing="1" w:after="100" w:afterAutospacing="1" w:line="360" w:lineRule="auto"/>
        <w:jc w:val="both"/>
        <w:rPr>
          <w:color w:val="000000"/>
        </w:rPr>
      </w:pPr>
      <w:r w:rsidRPr="00D7266D">
        <w:rPr>
          <w:color w:val="000000"/>
        </w:rPr>
        <w:t>Regulatory framework strength (Basel Committee on Banking Supervision, 2015)</w:t>
      </w:r>
    </w:p>
    <w:p w14:paraId="3F7D694F" w14:textId="77777777" w:rsidR="008B2862" w:rsidRPr="00D7266D" w:rsidRDefault="008B2862" w:rsidP="00A679AB">
      <w:pPr>
        <w:numPr>
          <w:ilvl w:val="0"/>
          <w:numId w:val="32"/>
        </w:numPr>
        <w:spacing w:before="100" w:beforeAutospacing="1" w:after="100" w:afterAutospacing="1" w:line="360" w:lineRule="auto"/>
        <w:jc w:val="both"/>
        <w:rPr>
          <w:color w:val="000000"/>
        </w:rPr>
      </w:pPr>
      <w:r w:rsidRPr="00D7266D">
        <w:rPr>
          <w:color w:val="000000"/>
        </w:rPr>
        <w:t>Governance enforcement quality (Nahar, Jubb &amp; Azim, 2016)</w:t>
      </w:r>
    </w:p>
    <w:p w14:paraId="493DD1CB" w14:textId="77777777" w:rsidR="008B2862" w:rsidRPr="00D7266D" w:rsidRDefault="008B2862" w:rsidP="00A679AB">
      <w:pPr>
        <w:numPr>
          <w:ilvl w:val="0"/>
          <w:numId w:val="32"/>
        </w:numPr>
        <w:spacing w:before="100" w:beforeAutospacing="1" w:after="100" w:afterAutospacing="1" w:line="360" w:lineRule="auto"/>
        <w:jc w:val="both"/>
        <w:rPr>
          <w:color w:val="000000"/>
        </w:rPr>
      </w:pPr>
      <w:r w:rsidRPr="00D7266D">
        <w:rPr>
          <w:color w:val="000000"/>
        </w:rPr>
        <w:t>Institutional environment and market conditions (</w:t>
      </w:r>
      <w:proofErr w:type="spellStart"/>
      <w:r w:rsidRPr="00D7266D">
        <w:rPr>
          <w:color w:val="000000"/>
        </w:rPr>
        <w:t>Guettala</w:t>
      </w:r>
      <w:proofErr w:type="spellEnd"/>
      <w:r w:rsidRPr="00D7266D">
        <w:rPr>
          <w:color w:val="000000"/>
        </w:rPr>
        <w:t>, Kesri &amp; Selmani, 2025; Battaglia &amp; Gallo, 2015)</w:t>
      </w:r>
    </w:p>
    <w:p w14:paraId="6AEBDF79" w14:textId="7929D5C3" w:rsidR="00715C88" w:rsidRPr="00D7266D" w:rsidRDefault="008B2862" w:rsidP="00A679AB">
      <w:pPr>
        <w:spacing w:before="100" w:beforeAutospacing="1" w:after="100" w:afterAutospacing="1" w:line="360" w:lineRule="auto"/>
        <w:jc w:val="both"/>
        <w:rPr>
          <w:color w:val="000000"/>
        </w:rPr>
      </w:pPr>
      <w:r w:rsidRPr="00D7266D">
        <w:rPr>
          <w:color w:val="000000"/>
        </w:rPr>
        <w:t>These factors are particularly important in emerging economies where regulatory enforcement and institutional maturity vary significantly (Nahar et al., 2016).</w:t>
      </w:r>
      <w:bookmarkEnd w:id="0"/>
    </w:p>
    <w:p w14:paraId="0AEFACF0" w14:textId="1C5FAAA2" w:rsidR="00B332ED" w:rsidRPr="00A679AB" w:rsidRDefault="00A679AB"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b/>
          <w:bCs/>
          <w:color w:val="000000"/>
        </w:rPr>
        <w:t xml:space="preserve">7. </w:t>
      </w:r>
      <w:r w:rsidR="00B332ED" w:rsidRPr="00A679AB">
        <w:rPr>
          <w:rStyle w:val="Strong"/>
          <w:rFonts w:ascii="Times New Roman" w:hAnsi="Times New Roman" w:cs="Times New Roman"/>
          <w:b/>
          <w:bCs/>
          <w:color w:val="000000"/>
        </w:rPr>
        <w:t>Research Methodology: Mixed Methods Approach</w:t>
      </w:r>
    </w:p>
    <w:p w14:paraId="138A3ECB" w14:textId="5F504835" w:rsidR="00B332ED" w:rsidRDefault="00B332ED" w:rsidP="00A679AB">
      <w:pPr>
        <w:pStyle w:val="NormalWeb"/>
        <w:spacing w:line="360" w:lineRule="auto"/>
        <w:jc w:val="both"/>
        <w:rPr>
          <w:color w:val="000000"/>
        </w:rPr>
      </w:pPr>
      <w:r w:rsidRPr="00D7266D">
        <w:rPr>
          <w:color w:val="000000"/>
        </w:rPr>
        <w:t>This study adopts a</w:t>
      </w:r>
      <w:r w:rsidRPr="00D7266D">
        <w:rPr>
          <w:rStyle w:val="apple-converted-space"/>
          <w:color w:val="000000"/>
        </w:rPr>
        <w:t> </w:t>
      </w:r>
      <w:r w:rsidRPr="00D7266D">
        <w:rPr>
          <w:rStyle w:val="Strong"/>
          <w:b w:val="0"/>
          <w:bCs w:val="0"/>
          <w:color w:val="000000"/>
        </w:rPr>
        <w:t>mixed-methods research design</w:t>
      </w:r>
      <w:r w:rsidRPr="00D7266D">
        <w:rPr>
          <w:color w:val="000000"/>
        </w:rPr>
        <w:t>, which integrates both quantitative and qualitative approaches to provide a more comprehensive understanding of the impact of strategic risk governance on banking resilience. Mixed methods are widely used in social and business research because they combine the strengths of numerical analysis and contextual interpretation (</w:t>
      </w:r>
      <w:r w:rsidRPr="00D7266D">
        <w:rPr>
          <w:rStyle w:val="whitespace-normal"/>
          <w:color w:val="000000"/>
        </w:rPr>
        <w:t>John W. Creswell</w:t>
      </w:r>
      <w:r w:rsidRPr="00D7266D">
        <w:rPr>
          <w:color w:val="000000"/>
        </w:rPr>
        <w:t>, 2014).</w:t>
      </w:r>
    </w:p>
    <w:p w14:paraId="26DE9CE3" w14:textId="77777777" w:rsidR="00A679AB" w:rsidRDefault="00A679AB" w:rsidP="00A679AB">
      <w:pPr>
        <w:pStyle w:val="NormalWeb"/>
        <w:spacing w:line="360" w:lineRule="auto"/>
        <w:jc w:val="both"/>
        <w:rPr>
          <w:color w:val="000000"/>
        </w:rPr>
      </w:pPr>
    </w:p>
    <w:p w14:paraId="2F00F6DD" w14:textId="77777777" w:rsidR="00A679AB" w:rsidRPr="00A679AB" w:rsidRDefault="00A679AB" w:rsidP="00A679AB">
      <w:pPr>
        <w:pStyle w:val="NormalWeb"/>
        <w:spacing w:line="360" w:lineRule="auto"/>
        <w:jc w:val="both"/>
        <w:rPr>
          <w:color w:val="000000"/>
        </w:rPr>
      </w:pPr>
    </w:p>
    <w:p w14:paraId="39979FD4" w14:textId="7D42F27D" w:rsidR="00B332ED" w:rsidRPr="00D7266D" w:rsidRDefault="00104E34"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lastRenderedPageBreak/>
        <w:t>7.</w:t>
      </w:r>
      <w:r w:rsidR="00B332ED" w:rsidRPr="00D7266D">
        <w:rPr>
          <w:rStyle w:val="Strong"/>
          <w:rFonts w:ascii="Times New Roman" w:hAnsi="Times New Roman" w:cs="Times New Roman"/>
          <w:color w:val="000000"/>
        </w:rPr>
        <w:t>1</w:t>
      </w:r>
      <w:r>
        <w:rPr>
          <w:rStyle w:val="Strong"/>
          <w:rFonts w:ascii="Times New Roman" w:hAnsi="Times New Roman" w:cs="Times New Roman"/>
          <w:color w:val="000000"/>
        </w:rPr>
        <w:t xml:space="preserve"> </w:t>
      </w:r>
      <w:r w:rsidR="00B332ED" w:rsidRPr="00A679AB">
        <w:rPr>
          <w:rStyle w:val="Strong"/>
          <w:rFonts w:ascii="Times New Roman" w:hAnsi="Times New Roman" w:cs="Times New Roman"/>
          <w:b/>
          <w:bCs/>
          <w:color w:val="000000"/>
        </w:rPr>
        <w:t>Quantitative Approach</w:t>
      </w:r>
    </w:p>
    <w:p w14:paraId="08DB56B2" w14:textId="77777777" w:rsidR="00B332ED" w:rsidRPr="00D7266D" w:rsidRDefault="00B332ED" w:rsidP="00A679AB">
      <w:pPr>
        <w:pStyle w:val="NormalWeb"/>
        <w:spacing w:line="360" w:lineRule="auto"/>
        <w:jc w:val="both"/>
        <w:rPr>
          <w:color w:val="000000"/>
        </w:rPr>
      </w:pPr>
      <w:r w:rsidRPr="00D7266D">
        <w:rPr>
          <w:color w:val="000000"/>
        </w:rPr>
        <w:t>The quantitative component is used to</w:t>
      </w:r>
      <w:r w:rsidRPr="00D7266D">
        <w:rPr>
          <w:rStyle w:val="apple-converted-space"/>
          <w:color w:val="000000"/>
        </w:rPr>
        <w:t> </w:t>
      </w:r>
      <w:r w:rsidRPr="00D7266D">
        <w:rPr>
          <w:rStyle w:val="Strong"/>
          <w:b w:val="0"/>
          <w:bCs w:val="0"/>
          <w:color w:val="000000"/>
        </w:rPr>
        <w:t>test the impact of strategic risk governance on banking resilience and evaluate relationships statistically</w:t>
      </w:r>
      <w:r w:rsidRPr="00D7266D">
        <w:rPr>
          <w:color w:val="000000"/>
        </w:rPr>
        <w:t xml:space="preserve">. This involves </w:t>
      </w:r>
      <w:proofErr w:type="spellStart"/>
      <w:r w:rsidRPr="00D7266D">
        <w:rPr>
          <w:color w:val="000000"/>
        </w:rPr>
        <w:t>analyzing</w:t>
      </w:r>
      <w:proofErr w:type="spellEnd"/>
      <w:r w:rsidRPr="00D7266D">
        <w:rPr>
          <w:color w:val="000000"/>
        </w:rPr>
        <w:t xml:space="preserve"> secondary financial data from commercial banks in Bangladesh.</w:t>
      </w:r>
    </w:p>
    <w:p w14:paraId="61999380" w14:textId="77777777" w:rsidR="00B332ED" w:rsidRPr="00A679AB" w:rsidRDefault="00B332ED" w:rsidP="00A679AB">
      <w:pPr>
        <w:pStyle w:val="NormalWeb"/>
        <w:spacing w:line="360" w:lineRule="auto"/>
        <w:jc w:val="both"/>
        <w:rPr>
          <w:b/>
          <w:bCs/>
          <w:color w:val="000000"/>
        </w:rPr>
      </w:pPr>
      <w:r w:rsidRPr="00A679AB">
        <w:rPr>
          <w:b/>
          <w:bCs/>
          <w:color w:val="000000"/>
        </w:rPr>
        <w:t>Key variables include:</w:t>
      </w:r>
    </w:p>
    <w:p w14:paraId="5BBC6F1D" w14:textId="54761051" w:rsidR="00B332ED" w:rsidRPr="00D7266D" w:rsidRDefault="00B332ED" w:rsidP="00A679AB">
      <w:pPr>
        <w:numPr>
          <w:ilvl w:val="0"/>
          <w:numId w:val="16"/>
        </w:numPr>
        <w:spacing w:before="100" w:beforeAutospacing="1" w:after="100" w:afterAutospacing="1" w:line="360" w:lineRule="auto"/>
        <w:jc w:val="both"/>
        <w:rPr>
          <w:color w:val="000000"/>
        </w:rPr>
      </w:pPr>
      <w:r w:rsidRPr="00D7266D">
        <w:rPr>
          <w:rStyle w:val="Strong"/>
          <w:b w:val="0"/>
          <w:bCs w:val="0"/>
          <w:color w:val="000000"/>
        </w:rPr>
        <w:t>Independent Variable:</w:t>
      </w:r>
      <w:r w:rsidRPr="00D7266D">
        <w:rPr>
          <w:rStyle w:val="apple-converted-space"/>
          <w:color w:val="000000"/>
        </w:rPr>
        <w:t> </w:t>
      </w:r>
      <w:r w:rsidRPr="00D7266D">
        <w:rPr>
          <w:color w:val="000000"/>
        </w:rPr>
        <w:t xml:space="preserve">Strategic Risk Governance (e.g., </w:t>
      </w:r>
      <w:r w:rsidR="00621452" w:rsidRPr="00D7266D">
        <w:rPr>
          <w:color w:val="000000"/>
        </w:rPr>
        <w:t>Board oversight</w:t>
      </w:r>
      <w:r w:rsidR="00621452" w:rsidRPr="00D7266D">
        <w:rPr>
          <w:rStyle w:val="apple-converted-space"/>
          <w:color w:val="000000"/>
        </w:rPr>
        <w:t>,</w:t>
      </w:r>
      <w:r w:rsidR="00621452" w:rsidRPr="00D7266D">
        <w:rPr>
          <w:color w:val="000000"/>
        </w:rPr>
        <w:t xml:space="preserve"> Risk committees, Enterprise Risk Management (ERM) </w:t>
      </w:r>
      <w:proofErr w:type="gramStart"/>
      <w:r w:rsidR="00621452" w:rsidRPr="00D7266D">
        <w:rPr>
          <w:color w:val="000000"/>
        </w:rPr>
        <w:t>systems</w:t>
      </w:r>
      <w:r w:rsidR="00621452" w:rsidRPr="00D7266D">
        <w:rPr>
          <w:rStyle w:val="apple-converted-space"/>
          <w:color w:val="000000"/>
        </w:rPr>
        <w:t> </w:t>
      </w:r>
      <w:r w:rsidR="00F36796" w:rsidRPr="00D7266D">
        <w:rPr>
          <w:rStyle w:val="apple-converted-space"/>
          <w:color w:val="000000"/>
        </w:rPr>
        <w:t>,</w:t>
      </w:r>
      <w:proofErr w:type="gramEnd"/>
      <w:r w:rsidR="00F36796" w:rsidRPr="00D7266D">
        <w:rPr>
          <w:color w:val="000000"/>
        </w:rPr>
        <w:t xml:space="preserve"> Internal controls and risk policies, Governance quality/composite </w:t>
      </w:r>
      <w:proofErr w:type="gramStart"/>
      <w:r w:rsidR="00F36796" w:rsidRPr="00D7266D">
        <w:rPr>
          <w:color w:val="000000"/>
        </w:rPr>
        <w:t>index</w:t>
      </w:r>
      <w:r w:rsidR="00F36796" w:rsidRPr="00D7266D">
        <w:rPr>
          <w:rStyle w:val="apple-converted-space"/>
          <w:color w:val="000000"/>
        </w:rPr>
        <w:t> </w:t>
      </w:r>
      <w:r w:rsidRPr="00D7266D">
        <w:rPr>
          <w:color w:val="000000"/>
        </w:rPr>
        <w:t>)</w:t>
      </w:r>
      <w:proofErr w:type="gramEnd"/>
    </w:p>
    <w:p w14:paraId="66FF8EAA" w14:textId="576B8F42" w:rsidR="00B332ED" w:rsidRPr="00D7266D" w:rsidRDefault="00B332ED" w:rsidP="00A679AB">
      <w:pPr>
        <w:numPr>
          <w:ilvl w:val="0"/>
          <w:numId w:val="16"/>
        </w:numPr>
        <w:spacing w:before="100" w:beforeAutospacing="1" w:after="100" w:afterAutospacing="1" w:line="360" w:lineRule="auto"/>
        <w:jc w:val="both"/>
        <w:rPr>
          <w:color w:val="000000"/>
        </w:rPr>
      </w:pPr>
      <w:r w:rsidRPr="00D7266D">
        <w:rPr>
          <w:rStyle w:val="Strong"/>
          <w:b w:val="0"/>
          <w:bCs w:val="0"/>
          <w:color w:val="000000"/>
        </w:rPr>
        <w:t>Dependent Variable:</w:t>
      </w:r>
      <w:r w:rsidRPr="00D7266D">
        <w:rPr>
          <w:rStyle w:val="apple-converted-space"/>
          <w:color w:val="000000"/>
        </w:rPr>
        <w:t> </w:t>
      </w:r>
      <w:r w:rsidRPr="00D7266D">
        <w:rPr>
          <w:color w:val="000000"/>
        </w:rPr>
        <w:t xml:space="preserve">Banking Resilience (e.g., </w:t>
      </w:r>
      <w:proofErr w:type="gramStart"/>
      <w:r w:rsidR="00F36796" w:rsidRPr="00D7266D">
        <w:rPr>
          <w:color w:val="000000"/>
        </w:rPr>
        <w:t>Financial</w:t>
      </w:r>
      <w:proofErr w:type="gramEnd"/>
      <w:r w:rsidR="00F36796" w:rsidRPr="00D7266D">
        <w:rPr>
          <w:color w:val="000000"/>
        </w:rPr>
        <w:t xml:space="preserve"> stability</w:t>
      </w:r>
      <w:r w:rsidR="00F36796" w:rsidRPr="00D7266D">
        <w:rPr>
          <w:rStyle w:val="apple-converted-space"/>
          <w:color w:val="000000"/>
        </w:rPr>
        <w:t>,</w:t>
      </w:r>
      <w:r w:rsidR="00F36796" w:rsidRPr="00D7266D">
        <w:rPr>
          <w:color w:val="000000"/>
        </w:rPr>
        <w:t xml:space="preserve"> Shock absorption capacity</w:t>
      </w:r>
      <w:r w:rsidR="00F36796" w:rsidRPr="00D7266D">
        <w:rPr>
          <w:rStyle w:val="apple-converted-space"/>
          <w:color w:val="000000"/>
        </w:rPr>
        <w:t>,</w:t>
      </w:r>
      <w:r w:rsidR="00F36796" w:rsidRPr="00D7266D">
        <w:rPr>
          <w:color w:val="000000"/>
        </w:rPr>
        <w:t xml:space="preserve"> Profitability stability, Liquidity </w:t>
      </w:r>
      <w:proofErr w:type="gramStart"/>
      <w:r w:rsidR="00F36796" w:rsidRPr="00D7266D">
        <w:rPr>
          <w:color w:val="000000"/>
        </w:rPr>
        <w:t>resilience</w:t>
      </w:r>
      <w:r w:rsidR="00F36796" w:rsidRPr="00D7266D">
        <w:rPr>
          <w:rStyle w:val="apple-converted-space"/>
          <w:color w:val="000000"/>
        </w:rPr>
        <w:t> ,</w:t>
      </w:r>
      <w:proofErr w:type="gramEnd"/>
      <w:r w:rsidR="00F36796" w:rsidRPr="00D7266D">
        <w:rPr>
          <w:color w:val="000000"/>
        </w:rPr>
        <w:t xml:space="preserve"> </w:t>
      </w:r>
      <w:proofErr w:type="gramStart"/>
      <w:r w:rsidR="00F36796" w:rsidRPr="00D7266D">
        <w:rPr>
          <w:color w:val="000000"/>
        </w:rPr>
        <w:t>Non-performing</w:t>
      </w:r>
      <w:proofErr w:type="gramEnd"/>
      <w:r w:rsidR="00F36796" w:rsidRPr="00D7266D">
        <w:rPr>
          <w:color w:val="000000"/>
        </w:rPr>
        <w:t xml:space="preserve"> loan, Crisis response </w:t>
      </w:r>
      <w:proofErr w:type="gramStart"/>
      <w:r w:rsidR="00F36796" w:rsidRPr="00D7266D">
        <w:rPr>
          <w:color w:val="000000"/>
        </w:rPr>
        <w:t>capacity</w:t>
      </w:r>
      <w:r w:rsidR="00F36796" w:rsidRPr="00D7266D">
        <w:rPr>
          <w:rStyle w:val="apple-converted-space"/>
          <w:color w:val="000000"/>
        </w:rPr>
        <w:t> </w:t>
      </w:r>
      <w:r w:rsidRPr="00D7266D">
        <w:rPr>
          <w:color w:val="000000"/>
        </w:rPr>
        <w:t>)</w:t>
      </w:r>
      <w:proofErr w:type="gramEnd"/>
    </w:p>
    <w:p w14:paraId="26A76FB1" w14:textId="530B409E" w:rsidR="00B332ED" w:rsidRPr="00A679AB" w:rsidRDefault="00B332ED" w:rsidP="00A679AB">
      <w:pPr>
        <w:pStyle w:val="NormalWeb"/>
        <w:spacing w:line="360" w:lineRule="auto"/>
        <w:jc w:val="both"/>
        <w:rPr>
          <w:color w:val="000000"/>
        </w:rPr>
      </w:pPr>
      <w:r w:rsidRPr="00D7266D">
        <w:rPr>
          <w:color w:val="000000"/>
        </w:rPr>
        <w:t>Statistical techniques such as</w:t>
      </w:r>
      <w:r w:rsidRPr="00D7266D">
        <w:rPr>
          <w:rStyle w:val="apple-converted-space"/>
          <w:color w:val="000000"/>
        </w:rPr>
        <w:t> </w:t>
      </w:r>
      <w:r w:rsidRPr="00D7266D">
        <w:rPr>
          <w:rStyle w:val="Strong"/>
          <w:b w:val="0"/>
          <w:bCs w:val="0"/>
          <w:color w:val="000000"/>
        </w:rPr>
        <w:t>correlation and regression analysis</w:t>
      </w:r>
      <w:r w:rsidRPr="00D7266D">
        <w:rPr>
          <w:rStyle w:val="apple-converted-space"/>
          <w:color w:val="000000"/>
        </w:rPr>
        <w:t> </w:t>
      </w:r>
      <w:r w:rsidRPr="00D7266D">
        <w:rPr>
          <w:color w:val="000000"/>
        </w:rPr>
        <w:t>will be used to measure the strength and significance of relationships between variables. This approach aligns with a</w:t>
      </w:r>
      <w:r w:rsidRPr="00D7266D">
        <w:rPr>
          <w:rStyle w:val="apple-converted-space"/>
          <w:color w:val="000000"/>
        </w:rPr>
        <w:t> </w:t>
      </w:r>
      <w:r w:rsidRPr="00D7266D">
        <w:rPr>
          <w:rStyle w:val="Strong"/>
          <w:b w:val="0"/>
          <w:bCs w:val="0"/>
          <w:color w:val="000000"/>
        </w:rPr>
        <w:t>positivist perspective</w:t>
      </w:r>
      <w:r w:rsidRPr="00D7266D">
        <w:rPr>
          <w:color w:val="000000"/>
        </w:rPr>
        <w:t>, which emphasizes objective measurement and hypothesis testing (</w:t>
      </w:r>
      <w:r w:rsidRPr="00D7266D">
        <w:rPr>
          <w:rStyle w:val="whitespace-normal"/>
          <w:color w:val="000000"/>
        </w:rPr>
        <w:t>Auguste Comte</w:t>
      </w:r>
      <w:r w:rsidRPr="00D7266D">
        <w:rPr>
          <w:color w:val="000000"/>
        </w:rPr>
        <w:t>).</w:t>
      </w:r>
    </w:p>
    <w:p w14:paraId="0074AFB3" w14:textId="145AC75D" w:rsidR="00B332ED" w:rsidRPr="00D7266D" w:rsidRDefault="00AD7256" w:rsidP="00D7266D">
      <w:pPr>
        <w:pStyle w:val="Heading3"/>
        <w:spacing w:before="100" w:beforeAutospacing="1" w:after="100" w:afterAutospacing="1"/>
        <w:jc w:val="both"/>
        <w:rPr>
          <w:rFonts w:ascii="Times New Roman" w:hAnsi="Times New Roman" w:cs="Times New Roman"/>
          <w:b w:val="0"/>
          <w:bCs w:val="0"/>
          <w:color w:val="000000"/>
        </w:rPr>
      </w:pPr>
      <w:r>
        <w:rPr>
          <w:rStyle w:val="Strong"/>
          <w:rFonts w:ascii="Times New Roman" w:hAnsi="Times New Roman" w:cs="Times New Roman"/>
          <w:color w:val="000000"/>
        </w:rPr>
        <w:t>7.</w:t>
      </w:r>
      <w:r w:rsidR="00B332ED" w:rsidRPr="00D7266D">
        <w:rPr>
          <w:rStyle w:val="Strong"/>
          <w:rFonts w:ascii="Times New Roman" w:hAnsi="Times New Roman" w:cs="Times New Roman"/>
          <w:color w:val="000000"/>
        </w:rPr>
        <w:t xml:space="preserve">2. </w:t>
      </w:r>
      <w:r w:rsidR="00B332ED" w:rsidRPr="00A679AB">
        <w:rPr>
          <w:rStyle w:val="Strong"/>
          <w:rFonts w:ascii="Times New Roman" w:hAnsi="Times New Roman" w:cs="Times New Roman"/>
          <w:b/>
          <w:bCs/>
          <w:color w:val="000000"/>
        </w:rPr>
        <w:t>Qualitative Approach</w:t>
      </w:r>
    </w:p>
    <w:p w14:paraId="178503B4" w14:textId="77777777" w:rsidR="00B332ED" w:rsidRPr="00D7266D" w:rsidRDefault="00B332ED" w:rsidP="00A679AB">
      <w:pPr>
        <w:pStyle w:val="NormalWeb"/>
        <w:spacing w:line="360" w:lineRule="auto"/>
        <w:jc w:val="both"/>
        <w:rPr>
          <w:color w:val="000000"/>
        </w:rPr>
      </w:pPr>
      <w:r w:rsidRPr="00D7266D">
        <w:rPr>
          <w:color w:val="000000"/>
        </w:rPr>
        <w:t>The qualitative component aims to</w:t>
      </w:r>
      <w:r w:rsidRPr="00D7266D">
        <w:rPr>
          <w:rStyle w:val="apple-converted-space"/>
          <w:color w:val="000000"/>
        </w:rPr>
        <w:t> </w:t>
      </w:r>
      <w:r w:rsidRPr="00D7266D">
        <w:rPr>
          <w:rStyle w:val="Strong"/>
          <w:b w:val="0"/>
          <w:bCs w:val="0"/>
          <w:color w:val="000000"/>
        </w:rPr>
        <w:t>explore practical governance practices and provide contextual insights</w:t>
      </w:r>
      <w:r w:rsidRPr="00D7266D">
        <w:rPr>
          <w:rStyle w:val="apple-converted-space"/>
          <w:color w:val="000000"/>
        </w:rPr>
        <w:t> </w:t>
      </w:r>
      <w:r w:rsidRPr="00D7266D">
        <w:rPr>
          <w:color w:val="000000"/>
        </w:rPr>
        <w:t>into how strategic risk governance is implemented in real banking settings.</w:t>
      </w:r>
    </w:p>
    <w:p w14:paraId="64EBC12B" w14:textId="77777777" w:rsidR="00B332ED" w:rsidRPr="00D7266D" w:rsidRDefault="00B332ED" w:rsidP="00A679AB">
      <w:pPr>
        <w:pStyle w:val="NormalWeb"/>
        <w:spacing w:line="360" w:lineRule="auto"/>
        <w:jc w:val="both"/>
        <w:rPr>
          <w:color w:val="000000"/>
        </w:rPr>
      </w:pPr>
      <w:r w:rsidRPr="00D7266D">
        <w:rPr>
          <w:color w:val="000000"/>
        </w:rPr>
        <w:t>Data will be collected through:</w:t>
      </w:r>
    </w:p>
    <w:p w14:paraId="435E7D7A" w14:textId="77777777" w:rsidR="00B332ED" w:rsidRPr="00D7266D" w:rsidRDefault="00B332ED" w:rsidP="00A679AB">
      <w:pPr>
        <w:numPr>
          <w:ilvl w:val="0"/>
          <w:numId w:val="17"/>
        </w:numPr>
        <w:spacing w:before="100" w:beforeAutospacing="1" w:after="100" w:afterAutospacing="1" w:line="360" w:lineRule="auto"/>
        <w:jc w:val="both"/>
        <w:rPr>
          <w:color w:val="000000"/>
        </w:rPr>
      </w:pPr>
      <w:r w:rsidRPr="00D7266D">
        <w:rPr>
          <w:color w:val="000000"/>
        </w:rPr>
        <w:t>Semi-structured interviews with bank managers, risk officers, and regulators</w:t>
      </w:r>
    </w:p>
    <w:p w14:paraId="1B00944E" w14:textId="77777777" w:rsidR="00B332ED" w:rsidRPr="00D7266D" w:rsidRDefault="00B332ED" w:rsidP="00A679AB">
      <w:pPr>
        <w:numPr>
          <w:ilvl w:val="0"/>
          <w:numId w:val="17"/>
        </w:numPr>
        <w:spacing w:before="100" w:beforeAutospacing="1" w:after="100" w:afterAutospacing="1" w:line="360" w:lineRule="auto"/>
        <w:jc w:val="both"/>
        <w:rPr>
          <w:color w:val="000000"/>
        </w:rPr>
      </w:pPr>
      <w:r w:rsidRPr="00D7266D">
        <w:rPr>
          <w:color w:val="000000"/>
        </w:rPr>
        <w:t>Thematic analysis of governance practices, challenges, and decision-making processes</w:t>
      </w:r>
    </w:p>
    <w:p w14:paraId="004625CB" w14:textId="77777777" w:rsidR="00B332ED" w:rsidRPr="00D7266D" w:rsidRDefault="00B332ED" w:rsidP="00A679AB">
      <w:pPr>
        <w:pStyle w:val="NormalWeb"/>
        <w:spacing w:line="360" w:lineRule="auto"/>
        <w:jc w:val="both"/>
        <w:rPr>
          <w:color w:val="000000"/>
        </w:rPr>
      </w:pPr>
      <w:r w:rsidRPr="00D7266D">
        <w:rPr>
          <w:color w:val="000000"/>
        </w:rPr>
        <w:t>This approach follows an</w:t>
      </w:r>
      <w:r w:rsidRPr="00D7266D">
        <w:rPr>
          <w:rStyle w:val="apple-converted-space"/>
          <w:color w:val="000000"/>
        </w:rPr>
        <w:t> </w:t>
      </w:r>
      <w:r w:rsidRPr="00D7266D">
        <w:rPr>
          <w:rStyle w:val="Strong"/>
          <w:b w:val="0"/>
          <w:bCs w:val="0"/>
          <w:color w:val="000000"/>
        </w:rPr>
        <w:t>interpretivist perspective</w:t>
      </w:r>
      <w:r w:rsidRPr="00D7266D">
        <w:rPr>
          <w:color w:val="000000"/>
        </w:rPr>
        <w:t>, focusing on understanding human experiences, meanings, and institutional contexts (</w:t>
      </w:r>
      <w:r w:rsidRPr="00D7266D">
        <w:rPr>
          <w:rStyle w:val="whitespace-normal"/>
          <w:color w:val="000000"/>
        </w:rPr>
        <w:t>Max Weber</w:t>
      </w:r>
      <w:r w:rsidRPr="00D7266D">
        <w:rPr>
          <w:color w:val="000000"/>
        </w:rPr>
        <w:t>).</w:t>
      </w:r>
    </w:p>
    <w:p w14:paraId="1E248BBB" w14:textId="49DDDD9B" w:rsidR="00B332ED" w:rsidRPr="00D7266D" w:rsidRDefault="00B332ED" w:rsidP="00A679AB">
      <w:pPr>
        <w:spacing w:before="100" w:beforeAutospacing="1" w:after="100" w:afterAutospacing="1" w:line="360" w:lineRule="auto"/>
        <w:jc w:val="both"/>
      </w:pPr>
    </w:p>
    <w:p w14:paraId="7B113423" w14:textId="61E2299B" w:rsidR="00B332ED"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7.</w:t>
      </w:r>
      <w:r w:rsidR="00B332ED" w:rsidRPr="00D7266D">
        <w:rPr>
          <w:rStyle w:val="Strong"/>
          <w:rFonts w:ascii="Times New Roman" w:hAnsi="Times New Roman" w:cs="Times New Roman"/>
          <w:color w:val="000000"/>
        </w:rPr>
        <w:t xml:space="preserve">3. </w:t>
      </w:r>
      <w:r w:rsidR="00B332ED" w:rsidRPr="00A679AB">
        <w:rPr>
          <w:rStyle w:val="Strong"/>
          <w:rFonts w:ascii="Times New Roman" w:hAnsi="Times New Roman" w:cs="Times New Roman"/>
          <w:b/>
          <w:bCs/>
          <w:color w:val="000000"/>
        </w:rPr>
        <w:t>Integration of Methods</w:t>
      </w:r>
    </w:p>
    <w:p w14:paraId="5E0A1B93" w14:textId="77777777" w:rsidR="00B332ED" w:rsidRPr="00D7266D" w:rsidRDefault="00B332ED" w:rsidP="00A679AB">
      <w:pPr>
        <w:pStyle w:val="NormalWeb"/>
        <w:spacing w:line="360" w:lineRule="auto"/>
        <w:jc w:val="both"/>
        <w:rPr>
          <w:color w:val="000000"/>
        </w:rPr>
      </w:pPr>
      <w:r w:rsidRPr="00D7266D">
        <w:rPr>
          <w:color w:val="000000"/>
        </w:rPr>
        <w:t>The findings from both approaches will be integrated during interpretation to provide a</w:t>
      </w:r>
      <w:r w:rsidRPr="00D7266D">
        <w:rPr>
          <w:rStyle w:val="apple-converted-space"/>
          <w:color w:val="000000"/>
        </w:rPr>
        <w:t> </w:t>
      </w:r>
      <w:r w:rsidRPr="00D7266D">
        <w:rPr>
          <w:rStyle w:val="Strong"/>
          <w:b w:val="0"/>
          <w:bCs w:val="0"/>
          <w:color w:val="000000"/>
        </w:rPr>
        <w:t>holistic understanding</w:t>
      </w:r>
      <w:r w:rsidRPr="00D7266D">
        <w:rPr>
          <w:rStyle w:val="apple-converted-space"/>
          <w:color w:val="000000"/>
        </w:rPr>
        <w:t> </w:t>
      </w:r>
      <w:r w:rsidRPr="00D7266D">
        <w:rPr>
          <w:color w:val="000000"/>
        </w:rPr>
        <w:t>of the research problem. While quantitative data explains the</w:t>
      </w:r>
      <w:r w:rsidRPr="00D7266D">
        <w:rPr>
          <w:rStyle w:val="apple-converted-space"/>
          <w:color w:val="000000"/>
        </w:rPr>
        <w:t> </w:t>
      </w:r>
      <w:r w:rsidRPr="00D7266D">
        <w:rPr>
          <w:rStyle w:val="Strong"/>
          <w:b w:val="0"/>
          <w:bCs w:val="0"/>
          <w:color w:val="000000"/>
        </w:rPr>
        <w:t>extent of relationships</w:t>
      </w:r>
      <w:r w:rsidRPr="00D7266D">
        <w:rPr>
          <w:color w:val="000000"/>
        </w:rPr>
        <w:t>, qualitative insights explain the</w:t>
      </w:r>
      <w:r w:rsidRPr="00D7266D">
        <w:rPr>
          <w:rStyle w:val="apple-converted-space"/>
          <w:color w:val="000000"/>
        </w:rPr>
        <w:t> </w:t>
      </w:r>
      <w:r w:rsidRPr="00D7266D">
        <w:rPr>
          <w:rStyle w:val="Strong"/>
          <w:b w:val="0"/>
          <w:bCs w:val="0"/>
          <w:color w:val="000000"/>
        </w:rPr>
        <w:t>underlying reasons and real-world practices</w:t>
      </w:r>
      <w:r w:rsidRPr="00D7266D">
        <w:rPr>
          <w:rStyle w:val="apple-converted-space"/>
          <w:color w:val="000000"/>
        </w:rPr>
        <w:t> </w:t>
      </w:r>
      <w:r w:rsidRPr="00D7266D">
        <w:rPr>
          <w:color w:val="000000"/>
        </w:rPr>
        <w:t>behind those relationships.</w:t>
      </w:r>
    </w:p>
    <w:p w14:paraId="44D0AFCB" w14:textId="77777777" w:rsidR="00B332ED" w:rsidRPr="00D7266D" w:rsidRDefault="00B332ED" w:rsidP="00A679AB">
      <w:pPr>
        <w:pStyle w:val="NormalWeb"/>
        <w:spacing w:line="360" w:lineRule="auto"/>
        <w:jc w:val="both"/>
        <w:rPr>
          <w:color w:val="000000"/>
        </w:rPr>
      </w:pPr>
      <w:r w:rsidRPr="00D7266D">
        <w:rPr>
          <w:color w:val="000000"/>
        </w:rPr>
        <w:t>This integration reflects the</w:t>
      </w:r>
      <w:r w:rsidRPr="00D7266D">
        <w:rPr>
          <w:rStyle w:val="apple-converted-space"/>
          <w:color w:val="000000"/>
        </w:rPr>
        <w:t> </w:t>
      </w:r>
      <w:r w:rsidRPr="00D7266D">
        <w:rPr>
          <w:rStyle w:val="Strong"/>
          <w:b w:val="0"/>
          <w:bCs w:val="0"/>
          <w:color w:val="000000"/>
        </w:rPr>
        <w:t>pragmatic research paradigm</w:t>
      </w:r>
      <w:r w:rsidRPr="00D7266D">
        <w:rPr>
          <w:color w:val="000000"/>
        </w:rPr>
        <w:t>, which supports using multiple methods to address complex real-world problems effectively (</w:t>
      </w:r>
      <w:r w:rsidRPr="00D7266D">
        <w:rPr>
          <w:rStyle w:val="whitespace-normal"/>
          <w:color w:val="000000"/>
        </w:rPr>
        <w:t>John Dewey</w:t>
      </w:r>
      <w:r w:rsidRPr="00D7266D">
        <w:rPr>
          <w:color w:val="000000"/>
        </w:rPr>
        <w:t>).</w:t>
      </w:r>
    </w:p>
    <w:p w14:paraId="1747D752" w14:textId="670A3391" w:rsidR="00246608" w:rsidRPr="00AD7256" w:rsidRDefault="00246608" w:rsidP="00A679AB">
      <w:pPr>
        <w:pStyle w:val="NormalWeb"/>
        <w:numPr>
          <w:ilvl w:val="0"/>
          <w:numId w:val="38"/>
        </w:numPr>
        <w:spacing w:line="360" w:lineRule="auto"/>
        <w:jc w:val="both"/>
        <w:rPr>
          <w:b/>
          <w:bCs/>
          <w:color w:val="000000"/>
        </w:rPr>
      </w:pPr>
      <w:r w:rsidRPr="00AD7256">
        <w:rPr>
          <w:b/>
          <w:bCs/>
          <w:color w:val="000000"/>
        </w:rPr>
        <w:t xml:space="preserve">Challenges and Limitations </w:t>
      </w:r>
    </w:p>
    <w:p w14:paraId="0802A6A0" w14:textId="71BAE069" w:rsidR="00246608" w:rsidRPr="00A679AB" w:rsidRDefault="00246608" w:rsidP="00A679AB">
      <w:pPr>
        <w:pStyle w:val="NormalWeb"/>
        <w:spacing w:line="360" w:lineRule="auto"/>
        <w:jc w:val="both"/>
        <w:rPr>
          <w:color w:val="000000"/>
        </w:rPr>
      </w:pPr>
      <w:r w:rsidRPr="00D7266D">
        <w:rPr>
          <w:color w:val="000000"/>
        </w:rPr>
        <w:t>This study on strategic risk governance and banking resilience in Bangladesh is subject to several limitations and practical challenges.</w:t>
      </w:r>
    </w:p>
    <w:p w14:paraId="68BF0963" w14:textId="091E2B0D"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8.</w:t>
      </w:r>
      <w:r w:rsidR="00246608" w:rsidRPr="00D7266D">
        <w:rPr>
          <w:rStyle w:val="Strong"/>
          <w:rFonts w:ascii="Times New Roman" w:hAnsi="Times New Roman" w:cs="Times New Roman"/>
          <w:color w:val="000000"/>
        </w:rPr>
        <w:t>1. Data Availability and Reliability</w:t>
      </w:r>
    </w:p>
    <w:p w14:paraId="100AE6AC" w14:textId="393F0E86" w:rsidR="00246608" w:rsidRPr="00A679AB" w:rsidRDefault="00246608" w:rsidP="00A679AB">
      <w:pPr>
        <w:pStyle w:val="NormalWeb"/>
        <w:spacing w:line="360" w:lineRule="auto"/>
        <w:jc w:val="both"/>
        <w:rPr>
          <w:color w:val="000000"/>
        </w:rPr>
      </w:pPr>
      <w:r w:rsidRPr="00D7266D">
        <w:rPr>
          <w:color w:val="000000"/>
        </w:rPr>
        <w:t>A key limitation is the reliance on</w:t>
      </w:r>
      <w:r w:rsidRPr="00D7266D">
        <w:rPr>
          <w:rStyle w:val="apple-converted-space"/>
          <w:color w:val="000000"/>
        </w:rPr>
        <w:t> </w:t>
      </w:r>
      <w:r w:rsidRPr="00D7266D">
        <w:rPr>
          <w:rStyle w:val="Strong"/>
          <w:b w:val="0"/>
          <w:bCs w:val="0"/>
          <w:color w:val="000000"/>
        </w:rPr>
        <w:t>secondary financial data</w:t>
      </w:r>
      <w:r w:rsidRPr="00D7266D">
        <w:rPr>
          <w:rStyle w:val="apple-converted-space"/>
          <w:color w:val="000000"/>
        </w:rPr>
        <w:t> </w:t>
      </w:r>
      <w:r w:rsidRPr="00D7266D">
        <w:rPr>
          <w:color w:val="000000"/>
        </w:rPr>
        <w:t>from bank annual reports and central bank publications. Such data may sometimes be incomplete, inconsistent, or delayed, which can affect the accuracy of quantitative analysis. Differences in reporting standards across banks may also create comparability issues.</w:t>
      </w:r>
    </w:p>
    <w:p w14:paraId="0D401AEC" w14:textId="2B883F18"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proofErr w:type="gramStart"/>
      <w:r>
        <w:rPr>
          <w:rStyle w:val="Strong"/>
          <w:rFonts w:ascii="Times New Roman" w:hAnsi="Times New Roman" w:cs="Times New Roman"/>
          <w:color w:val="000000"/>
        </w:rPr>
        <w:t xml:space="preserve">8.2 </w:t>
      </w:r>
      <w:r w:rsidR="00246608" w:rsidRPr="00D7266D">
        <w:rPr>
          <w:rStyle w:val="Strong"/>
          <w:rFonts w:ascii="Times New Roman" w:hAnsi="Times New Roman" w:cs="Times New Roman"/>
          <w:color w:val="000000"/>
        </w:rPr>
        <w:t xml:space="preserve"> Access</w:t>
      </w:r>
      <w:proofErr w:type="gramEnd"/>
      <w:r w:rsidR="00246608" w:rsidRPr="00D7266D">
        <w:rPr>
          <w:rStyle w:val="Strong"/>
          <w:rFonts w:ascii="Times New Roman" w:hAnsi="Times New Roman" w:cs="Times New Roman"/>
          <w:color w:val="000000"/>
        </w:rPr>
        <w:t xml:space="preserve"> to Key Respondents</w:t>
      </w:r>
    </w:p>
    <w:p w14:paraId="3D1C115C" w14:textId="431D08D4" w:rsidR="00246608" w:rsidRPr="00A679AB" w:rsidRDefault="00246608" w:rsidP="00A679AB">
      <w:pPr>
        <w:pStyle w:val="NormalWeb"/>
        <w:spacing w:line="360" w:lineRule="auto"/>
        <w:jc w:val="both"/>
        <w:rPr>
          <w:color w:val="000000"/>
        </w:rPr>
      </w:pPr>
      <w:r w:rsidRPr="00D7266D">
        <w:rPr>
          <w:color w:val="000000"/>
        </w:rPr>
        <w:t>For the qualitative component, obtaining access to</w:t>
      </w:r>
      <w:r w:rsidRPr="00D7266D">
        <w:rPr>
          <w:rStyle w:val="apple-converted-space"/>
          <w:color w:val="000000"/>
        </w:rPr>
        <w:t> </w:t>
      </w:r>
      <w:r w:rsidRPr="00D7266D">
        <w:rPr>
          <w:rStyle w:val="Strong"/>
          <w:b w:val="0"/>
          <w:bCs w:val="0"/>
          <w:color w:val="000000"/>
        </w:rPr>
        <w:t>senior banking officials, risk managers, and regulators</w:t>
      </w:r>
      <w:r w:rsidRPr="00D7266D">
        <w:rPr>
          <w:rStyle w:val="apple-converted-space"/>
          <w:color w:val="000000"/>
        </w:rPr>
        <w:t> </w:t>
      </w:r>
      <w:r w:rsidRPr="00D7266D">
        <w:rPr>
          <w:color w:val="000000"/>
        </w:rPr>
        <w:t>may be challenging due to confidentiality concerns and time constraints. This may limit the depth of insights gathered from interviews.</w:t>
      </w:r>
    </w:p>
    <w:p w14:paraId="78D2D6B4" w14:textId="061F2B5B"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8.3</w:t>
      </w:r>
      <w:r w:rsidR="00246608" w:rsidRPr="00D7266D">
        <w:rPr>
          <w:rStyle w:val="Strong"/>
          <w:rFonts w:ascii="Times New Roman" w:hAnsi="Times New Roman" w:cs="Times New Roman"/>
          <w:color w:val="000000"/>
        </w:rPr>
        <w:t>. Response Bias</w:t>
      </w:r>
    </w:p>
    <w:p w14:paraId="13C01B14" w14:textId="4BE87C97" w:rsidR="00246608" w:rsidRPr="00A679AB" w:rsidRDefault="00246608" w:rsidP="00A679AB">
      <w:pPr>
        <w:pStyle w:val="NormalWeb"/>
        <w:spacing w:line="360" w:lineRule="auto"/>
        <w:jc w:val="both"/>
        <w:rPr>
          <w:color w:val="000000"/>
        </w:rPr>
      </w:pPr>
      <w:r w:rsidRPr="00D7266D">
        <w:rPr>
          <w:color w:val="000000"/>
        </w:rPr>
        <w:t>In semi-structured interviews, respondents may provide socially desirable answers or avoid discussing sensitive governance issues. This may introduce</w:t>
      </w:r>
      <w:r w:rsidRPr="00D7266D">
        <w:rPr>
          <w:rStyle w:val="apple-converted-space"/>
          <w:color w:val="000000"/>
        </w:rPr>
        <w:t> </w:t>
      </w:r>
      <w:r w:rsidRPr="00D7266D">
        <w:rPr>
          <w:rStyle w:val="Strong"/>
          <w:b w:val="0"/>
          <w:bCs w:val="0"/>
          <w:color w:val="000000"/>
        </w:rPr>
        <w:t>subjectivity and bias</w:t>
      </w:r>
      <w:r w:rsidRPr="00D7266D">
        <w:rPr>
          <w:rStyle w:val="apple-converted-space"/>
          <w:color w:val="000000"/>
        </w:rPr>
        <w:t> </w:t>
      </w:r>
      <w:r w:rsidRPr="00D7266D">
        <w:rPr>
          <w:color w:val="000000"/>
        </w:rPr>
        <w:t>into qualitative findings.</w:t>
      </w:r>
    </w:p>
    <w:p w14:paraId="4BDB9659" w14:textId="405145AA"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lastRenderedPageBreak/>
        <w:t>8.</w:t>
      </w:r>
      <w:r w:rsidR="00246608" w:rsidRPr="00D7266D">
        <w:rPr>
          <w:rStyle w:val="Strong"/>
          <w:rFonts w:ascii="Times New Roman" w:hAnsi="Times New Roman" w:cs="Times New Roman"/>
          <w:color w:val="000000"/>
        </w:rPr>
        <w:t>4. Generalisability</w:t>
      </w:r>
    </w:p>
    <w:p w14:paraId="6C5C70FC" w14:textId="310082F3" w:rsidR="00246608" w:rsidRPr="00A679AB" w:rsidRDefault="00246608" w:rsidP="00A679AB">
      <w:pPr>
        <w:pStyle w:val="NormalWeb"/>
        <w:spacing w:line="360" w:lineRule="auto"/>
        <w:jc w:val="both"/>
        <w:rPr>
          <w:color w:val="000000"/>
        </w:rPr>
      </w:pPr>
      <w:r w:rsidRPr="00D7266D">
        <w:rPr>
          <w:color w:val="000000"/>
        </w:rPr>
        <w:t>Although the study focuses on commercial banks in Bangladesh, findings may have</w:t>
      </w:r>
      <w:r w:rsidRPr="00D7266D">
        <w:rPr>
          <w:rStyle w:val="apple-converted-space"/>
          <w:color w:val="000000"/>
        </w:rPr>
        <w:t> </w:t>
      </w:r>
      <w:r w:rsidRPr="00D7266D">
        <w:rPr>
          <w:rStyle w:val="Strong"/>
          <w:b w:val="0"/>
          <w:bCs w:val="0"/>
          <w:color w:val="000000"/>
        </w:rPr>
        <w:t>limited generalisability</w:t>
      </w:r>
      <w:r w:rsidRPr="00D7266D">
        <w:rPr>
          <w:rStyle w:val="apple-converted-space"/>
          <w:color w:val="000000"/>
        </w:rPr>
        <w:t> </w:t>
      </w:r>
      <w:r w:rsidRPr="00D7266D">
        <w:rPr>
          <w:color w:val="000000"/>
        </w:rPr>
        <w:t>to other countries with different regulatory and institutional environments.</w:t>
      </w:r>
    </w:p>
    <w:p w14:paraId="31675C13" w14:textId="23B78C88"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8.</w:t>
      </w:r>
      <w:r w:rsidR="00246608" w:rsidRPr="00D7266D">
        <w:rPr>
          <w:rStyle w:val="Strong"/>
          <w:rFonts w:ascii="Times New Roman" w:hAnsi="Times New Roman" w:cs="Times New Roman"/>
          <w:color w:val="000000"/>
        </w:rPr>
        <w:t>5. Methodological Complexity</w:t>
      </w:r>
    </w:p>
    <w:p w14:paraId="7DDB590B" w14:textId="7BAC72CD" w:rsidR="00246608" w:rsidRPr="00A679AB" w:rsidRDefault="00246608" w:rsidP="00A679AB">
      <w:pPr>
        <w:pStyle w:val="NormalWeb"/>
        <w:spacing w:line="360" w:lineRule="auto"/>
        <w:jc w:val="both"/>
        <w:rPr>
          <w:color w:val="000000"/>
        </w:rPr>
      </w:pPr>
      <w:r w:rsidRPr="00D7266D">
        <w:rPr>
          <w:color w:val="000000"/>
        </w:rPr>
        <w:t>The use of a</w:t>
      </w:r>
      <w:r w:rsidRPr="00D7266D">
        <w:rPr>
          <w:rStyle w:val="apple-converted-space"/>
          <w:color w:val="000000"/>
        </w:rPr>
        <w:t> </w:t>
      </w:r>
      <w:r w:rsidRPr="00D7266D">
        <w:rPr>
          <w:rStyle w:val="Strong"/>
          <w:b w:val="0"/>
          <w:bCs w:val="0"/>
          <w:color w:val="000000"/>
        </w:rPr>
        <w:t>mixed-methods approach</w:t>
      </w:r>
      <w:r w:rsidRPr="00D7266D">
        <w:rPr>
          <w:rStyle w:val="apple-converted-space"/>
          <w:color w:val="000000"/>
        </w:rPr>
        <w:t> </w:t>
      </w:r>
      <w:r w:rsidRPr="00D7266D">
        <w:rPr>
          <w:color w:val="000000"/>
        </w:rPr>
        <w:t>can be time-consuming and complex, particularly in integrating quantitative statistical results with qualitative thematic findings. This may require careful coordination and interpretation.</w:t>
      </w:r>
    </w:p>
    <w:p w14:paraId="62F3E82A" w14:textId="62F40521" w:rsidR="00246608" w:rsidRPr="00D7266D" w:rsidRDefault="00AD7256" w:rsidP="00A679AB">
      <w:pPr>
        <w:pStyle w:val="Heading3"/>
        <w:spacing w:before="100" w:beforeAutospacing="1" w:after="100" w:afterAutospacing="1" w:line="360" w:lineRule="auto"/>
        <w:jc w:val="both"/>
        <w:rPr>
          <w:rFonts w:ascii="Times New Roman" w:hAnsi="Times New Roman" w:cs="Times New Roman"/>
          <w:b w:val="0"/>
          <w:bCs w:val="0"/>
          <w:color w:val="000000"/>
        </w:rPr>
      </w:pPr>
      <w:r>
        <w:rPr>
          <w:rStyle w:val="Strong"/>
          <w:rFonts w:ascii="Times New Roman" w:hAnsi="Times New Roman" w:cs="Times New Roman"/>
          <w:color w:val="000000"/>
        </w:rPr>
        <w:t>8.</w:t>
      </w:r>
      <w:r w:rsidR="00246608" w:rsidRPr="00D7266D">
        <w:rPr>
          <w:rStyle w:val="Strong"/>
          <w:rFonts w:ascii="Times New Roman" w:hAnsi="Times New Roman" w:cs="Times New Roman"/>
          <w:color w:val="000000"/>
        </w:rPr>
        <w:t>6. Time and Resource Constraints</w:t>
      </w:r>
    </w:p>
    <w:p w14:paraId="421E8620" w14:textId="77777777" w:rsidR="00246608" w:rsidRPr="00D7266D" w:rsidRDefault="00246608" w:rsidP="00A679AB">
      <w:pPr>
        <w:pStyle w:val="NormalWeb"/>
        <w:spacing w:line="360" w:lineRule="auto"/>
        <w:jc w:val="both"/>
        <w:rPr>
          <w:color w:val="000000"/>
        </w:rPr>
      </w:pPr>
      <w:r w:rsidRPr="00D7266D">
        <w:rPr>
          <w:color w:val="000000"/>
        </w:rPr>
        <w:t>Conducting both statistical analysis and interviews requires significant time and resources, which may limit the scope of data collection and sample size.</w:t>
      </w:r>
    </w:p>
    <w:p w14:paraId="17ADE080" w14:textId="77777777" w:rsidR="00AC14A3" w:rsidRDefault="00AC14A3" w:rsidP="00A679AB">
      <w:pPr>
        <w:spacing w:before="100" w:beforeAutospacing="1" w:after="100" w:afterAutospacing="1" w:line="360" w:lineRule="auto"/>
        <w:jc w:val="both"/>
        <w:rPr>
          <w:color w:val="000000"/>
        </w:rPr>
      </w:pPr>
    </w:p>
    <w:p w14:paraId="711DF7E1" w14:textId="77777777" w:rsidR="00A679AB" w:rsidRDefault="00A679AB" w:rsidP="00A679AB">
      <w:pPr>
        <w:spacing w:before="100" w:beforeAutospacing="1" w:after="100" w:afterAutospacing="1" w:line="360" w:lineRule="auto"/>
        <w:jc w:val="both"/>
        <w:rPr>
          <w:color w:val="000000"/>
        </w:rPr>
      </w:pPr>
    </w:p>
    <w:p w14:paraId="1F44669E" w14:textId="77777777" w:rsidR="00A679AB" w:rsidRDefault="00A679AB" w:rsidP="00A679AB">
      <w:pPr>
        <w:spacing w:before="100" w:beforeAutospacing="1" w:after="100" w:afterAutospacing="1" w:line="360" w:lineRule="auto"/>
        <w:jc w:val="both"/>
        <w:rPr>
          <w:color w:val="000000"/>
        </w:rPr>
      </w:pPr>
    </w:p>
    <w:p w14:paraId="07A3CB24" w14:textId="77777777" w:rsidR="00A679AB" w:rsidRDefault="00A679AB" w:rsidP="00A679AB">
      <w:pPr>
        <w:spacing w:before="100" w:beforeAutospacing="1" w:after="100" w:afterAutospacing="1" w:line="360" w:lineRule="auto"/>
        <w:jc w:val="both"/>
        <w:rPr>
          <w:color w:val="000000"/>
        </w:rPr>
      </w:pPr>
    </w:p>
    <w:p w14:paraId="00E69DF6" w14:textId="77777777" w:rsidR="00A679AB" w:rsidRDefault="00A679AB" w:rsidP="00A679AB">
      <w:pPr>
        <w:spacing w:before="100" w:beforeAutospacing="1" w:after="100" w:afterAutospacing="1" w:line="360" w:lineRule="auto"/>
        <w:jc w:val="both"/>
        <w:rPr>
          <w:color w:val="000000"/>
        </w:rPr>
      </w:pPr>
    </w:p>
    <w:p w14:paraId="71CAE22A" w14:textId="77777777" w:rsidR="00A679AB" w:rsidRDefault="00A679AB" w:rsidP="00A679AB">
      <w:pPr>
        <w:spacing w:before="100" w:beforeAutospacing="1" w:after="100" w:afterAutospacing="1" w:line="360" w:lineRule="auto"/>
        <w:jc w:val="both"/>
        <w:rPr>
          <w:color w:val="000000"/>
        </w:rPr>
      </w:pPr>
    </w:p>
    <w:p w14:paraId="0C5B6DAC" w14:textId="77777777" w:rsidR="00A679AB" w:rsidRDefault="00A679AB" w:rsidP="00A679AB">
      <w:pPr>
        <w:spacing w:before="100" w:beforeAutospacing="1" w:after="100" w:afterAutospacing="1" w:line="360" w:lineRule="auto"/>
        <w:jc w:val="both"/>
        <w:rPr>
          <w:color w:val="000000"/>
        </w:rPr>
      </w:pPr>
    </w:p>
    <w:p w14:paraId="351850E4" w14:textId="77777777" w:rsidR="00A679AB" w:rsidRDefault="00A679AB" w:rsidP="00A679AB">
      <w:pPr>
        <w:spacing w:before="100" w:beforeAutospacing="1" w:after="100" w:afterAutospacing="1" w:line="360" w:lineRule="auto"/>
        <w:jc w:val="both"/>
        <w:rPr>
          <w:color w:val="000000"/>
        </w:rPr>
      </w:pPr>
    </w:p>
    <w:p w14:paraId="4A3E872E" w14:textId="77777777" w:rsidR="00A679AB" w:rsidRPr="00D7266D" w:rsidRDefault="00A679AB" w:rsidP="00A679AB">
      <w:pPr>
        <w:spacing w:before="100" w:beforeAutospacing="1" w:after="100" w:afterAutospacing="1" w:line="360" w:lineRule="auto"/>
        <w:jc w:val="both"/>
        <w:rPr>
          <w:color w:val="000000"/>
        </w:rPr>
      </w:pPr>
    </w:p>
    <w:p w14:paraId="5B5252AF" w14:textId="2C273338" w:rsidR="00BF169F" w:rsidRPr="00A679AB" w:rsidRDefault="00AD7256" w:rsidP="00D7266D">
      <w:pPr>
        <w:pStyle w:val="Heading1"/>
        <w:spacing w:before="100" w:beforeAutospacing="1" w:after="100" w:afterAutospacing="1"/>
        <w:jc w:val="both"/>
        <w:rPr>
          <w:rFonts w:ascii="Times New Roman" w:hAnsi="Times New Roman" w:cs="Times New Roman"/>
          <w:color w:val="auto"/>
          <w:sz w:val="24"/>
          <w:szCs w:val="24"/>
        </w:rPr>
      </w:pPr>
      <w:r w:rsidRPr="00A679AB">
        <w:rPr>
          <w:rFonts w:ascii="Times New Roman" w:hAnsi="Times New Roman" w:cs="Times New Roman"/>
          <w:color w:val="auto"/>
          <w:sz w:val="24"/>
          <w:szCs w:val="24"/>
        </w:rPr>
        <w:lastRenderedPageBreak/>
        <w:t>9</w:t>
      </w:r>
      <w:r w:rsidR="00000000" w:rsidRPr="00A679AB">
        <w:rPr>
          <w:rFonts w:ascii="Times New Roman" w:hAnsi="Times New Roman" w:cs="Times New Roman"/>
          <w:color w:val="auto"/>
          <w:sz w:val="24"/>
          <w:szCs w:val="24"/>
        </w:rPr>
        <w:t>. Conclusion</w:t>
      </w:r>
    </w:p>
    <w:p w14:paraId="7EB61869" w14:textId="77777777" w:rsidR="004631B5" w:rsidRPr="00D7266D" w:rsidRDefault="004631B5" w:rsidP="00A679AB">
      <w:pPr>
        <w:pStyle w:val="NormalWeb"/>
        <w:spacing w:line="360" w:lineRule="auto"/>
        <w:jc w:val="both"/>
        <w:rPr>
          <w:color w:val="000000"/>
        </w:rPr>
      </w:pPr>
      <w:r w:rsidRPr="00D7266D">
        <w:rPr>
          <w:color w:val="000000"/>
        </w:rPr>
        <w:t>This research proposal has outlined a comprehensive study on the impact of</w:t>
      </w:r>
      <w:r w:rsidRPr="00D7266D">
        <w:rPr>
          <w:rStyle w:val="apple-converted-space"/>
          <w:color w:val="000000"/>
        </w:rPr>
        <w:t> </w:t>
      </w:r>
      <w:r w:rsidRPr="00D7266D">
        <w:rPr>
          <w:rStyle w:val="Strong"/>
          <w:b w:val="0"/>
          <w:bCs w:val="0"/>
          <w:color w:val="000000"/>
        </w:rPr>
        <w:t>strategic risk governance on banking resilience in commercial banks of Bangladesh</w:t>
      </w:r>
      <w:r w:rsidRPr="00D7266D">
        <w:rPr>
          <w:color w:val="000000"/>
        </w:rPr>
        <w:t>. In an increasingly complex and uncertain financial environment, effective governance of risk has become essential for maintaining the stability, sustainability, and performance of banking institutions.</w:t>
      </w:r>
    </w:p>
    <w:p w14:paraId="2AD363F0" w14:textId="77777777" w:rsidR="004631B5" w:rsidRPr="00D7266D" w:rsidRDefault="004631B5" w:rsidP="00A679AB">
      <w:pPr>
        <w:pStyle w:val="NormalWeb"/>
        <w:spacing w:line="360" w:lineRule="auto"/>
        <w:jc w:val="both"/>
        <w:rPr>
          <w:color w:val="000000"/>
        </w:rPr>
      </w:pPr>
      <w:r w:rsidRPr="00D7266D">
        <w:rPr>
          <w:color w:val="000000"/>
        </w:rPr>
        <w:t>The study is grounded in a</w:t>
      </w:r>
      <w:r w:rsidRPr="00D7266D">
        <w:rPr>
          <w:rStyle w:val="apple-converted-space"/>
          <w:color w:val="000000"/>
        </w:rPr>
        <w:t> </w:t>
      </w:r>
      <w:r w:rsidRPr="00D7266D">
        <w:rPr>
          <w:rStyle w:val="Strong"/>
          <w:b w:val="0"/>
          <w:bCs w:val="0"/>
          <w:color w:val="000000"/>
        </w:rPr>
        <w:t>pragmatic research paradigm</w:t>
      </w:r>
      <w:r w:rsidRPr="00D7266D">
        <w:rPr>
          <w:color w:val="000000"/>
        </w:rPr>
        <w:t>, allowing the integration of both quantitative and qualitative approaches. The quantitative component will examine the statistical relationship between strategic risk governance mechanisms and banking resilience using financial indicators such as capital adequacy, liquidity ratios, and non-performing loans. The qualitative component will complement this by exploring real-world governance practices, challenges, and regulatory perspectives through semi-structured interviews.</w:t>
      </w:r>
    </w:p>
    <w:p w14:paraId="0AADC854" w14:textId="77777777" w:rsidR="004631B5" w:rsidRPr="00D7266D" w:rsidRDefault="004631B5" w:rsidP="00A679AB">
      <w:pPr>
        <w:pStyle w:val="NormalWeb"/>
        <w:spacing w:line="360" w:lineRule="auto"/>
        <w:jc w:val="both"/>
        <w:rPr>
          <w:color w:val="000000"/>
        </w:rPr>
      </w:pPr>
      <w:r w:rsidRPr="00D7266D">
        <w:rPr>
          <w:color w:val="000000"/>
        </w:rPr>
        <w:t>The conceptual framework highlights that strategic risk governance influences banking resilience both directly and indirectly through</w:t>
      </w:r>
      <w:r w:rsidRPr="00D7266D">
        <w:rPr>
          <w:rStyle w:val="apple-converted-space"/>
          <w:color w:val="000000"/>
        </w:rPr>
        <w:t> </w:t>
      </w:r>
      <w:r w:rsidRPr="00D7266D">
        <w:rPr>
          <w:rStyle w:val="Strong"/>
          <w:b w:val="0"/>
          <w:bCs w:val="0"/>
          <w:color w:val="000000"/>
        </w:rPr>
        <w:t>risk management effectiveness</w:t>
      </w:r>
      <w:r w:rsidRPr="00D7266D">
        <w:rPr>
          <w:color w:val="000000"/>
        </w:rPr>
        <w:t>, while also being shaped by institutional, regulatory, and macroeconomic conditions. This integrated approach ensures a more holistic understanding of how governance structures function within the Bangladeshi banking sector.</w:t>
      </w:r>
    </w:p>
    <w:p w14:paraId="47EB05B3" w14:textId="77777777" w:rsidR="004631B5" w:rsidRPr="00D7266D" w:rsidRDefault="004631B5" w:rsidP="00A679AB">
      <w:pPr>
        <w:pStyle w:val="NormalWeb"/>
        <w:spacing w:line="360" w:lineRule="auto"/>
        <w:jc w:val="both"/>
        <w:rPr>
          <w:color w:val="000000"/>
        </w:rPr>
      </w:pPr>
      <w:r w:rsidRPr="00D7266D">
        <w:rPr>
          <w:color w:val="000000"/>
        </w:rPr>
        <w:t>Overall, the study is expected to contribute to both academic literature and practical policy development by providing evidence-based insights into strengthening risk governance systems. The findings may assist regulators, policymakers, and banking institutions in enhancing financial stability and building a more resilient banking sector capable of withstanding future economic shocks.</w:t>
      </w:r>
    </w:p>
    <w:p w14:paraId="4F9E3862" w14:textId="093A304E" w:rsidR="008F6CF8" w:rsidRDefault="008F6CF8" w:rsidP="009E6244">
      <w:pPr>
        <w:spacing w:before="100" w:beforeAutospacing="1" w:after="100" w:afterAutospacing="1"/>
        <w:jc w:val="both"/>
      </w:pPr>
    </w:p>
    <w:p w14:paraId="6C348906" w14:textId="77777777" w:rsidR="00A679AB" w:rsidRDefault="00A679AB" w:rsidP="009E6244">
      <w:pPr>
        <w:spacing w:before="100" w:beforeAutospacing="1" w:after="100" w:afterAutospacing="1"/>
        <w:jc w:val="both"/>
      </w:pPr>
    </w:p>
    <w:p w14:paraId="71115E41" w14:textId="77777777" w:rsidR="00A679AB" w:rsidRDefault="00A679AB" w:rsidP="009E6244">
      <w:pPr>
        <w:spacing w:before="100" w:beforeAutospacing="1" w:after="100" w:afterAutospacing="1"/>
        <w:jc w:val="both"/>
      </w:pPr>
    </w:p>
    <w:p w14:paraId="0E4911E2" w14:textId="77777777" w:rsidR="00A679AB" w:rsidRDefault="00A679AB" w:rsidP="009E6244">
      <w:pPr>
        <w:spacing w:before="100" w:beforeAutospacing="1" w:after="100" w:afterAutospacing="1"/>
        <w:jc w:val="both"/>
      </w:pPr>
    </w:p>
    <w:p w14:paraId="727D509F" w14:textId="77777777" w:rsidR="00A679AB" w:rsidRDefault="00A679AB" w:rsidP="009E6244">
      <w:pPr>
        <w:spacing w:before="100" w:beforeAutospacing="1" w:after="100" w:afterAutospacing="1"/>
        <w:jc w:val="both"/>
      </w:pPr>
    </w:p>
    <w:p w14:paraId="23826F2F" w14:textId="131D125A" w:rsidR="008F6CF8" w:rsidRPr="00A679AB" w:rsidRDefault="009E6244" w:rsidP="00A679AB">
      <w:pPr>
        <w:pStyle w:val="ListParagraph"/>
        <w:numPr>
          <w:ilvl w:val="0"/>
          <w:numId w:val="39"/>
        </w:numPr>
        <w:spacing w:before="100" w:beforeAutospacing="1" w:after="100" w:afterAutospacing="1"/>
        <w:jc w:val="both"/>
        <w:rPr>
          <w:b/>
          <w:bCs/>
        </w:rPr>
      </w:pPr>
      <w:r w:rsidRPr="00A679AB">
        <w:rPr>
          <w:b/>
          <w:bCs/>
        </w:rPr>
        <w:t xml:space="preserve">References: </w:t>
      </w:r>
    </w:p>
    <w:p w14:paraId="495FD76E" w14:textId="77777777" w:rsidR="009E6244" w:rsidRPr="009E6244" w:rsidRDefault="009E6244" w:rsidP="00A679AB">
      <w:pPr>
        <w:pStyle w:val="NormalWeb"/>
        <w:spacing w:line="360" w:lineRule="auto"/>
        <w:rPr>
          <w:color w:val="000000"/>
        </w:rPr>
      </w:pPr>
      <w:proofErr w:type="spellStart"/>
      <w:r w:rsidRPr="009E6244">
        <w:rPr>
          <w:color w:val="000000"/>
        </w:rPr>
        <w:t>Alshehhi</w:t>
      </w:r>
      <w:proofErr w:type="spellEnd"/>
      <w:r w:rsidRPr="009E6244">
        <w:rPr>
          <w:color w:val="000000"/>
        </w:rPr>
        <w:t>, A. (2023) ‘Risk management governance and sustainable financial performance: Evidence from banking institutions’,</w:t>
      </w:r>
      <w:r w:rsidRPr="009E6244">
        <w:rPr>
          <w:rStyle w:val="apple-converted-space"/>
          <w:color w:val="000000"/>
        </w:rPr>
        <w:t> </w:t>
      </w:r>
      <w:r w:rsidRPr="009E6244">
        <w:rPr>
          <w:rStyle w:val="Emphasis"/>
          <w:i w:val="0"/>
          <w:iCs w:val="0"/>
          <w:color w:val="000000"/>
        </w:rPr>
        <w:t>Journal of Financial Regulation and Compliance</w:t>
      </w:r>
      <w:r w:rsidRPr="009E6244">
        <w:rPr>
          <w:color w:val="000000"/>
        </w:rPr>
        <w:t>.</w:t>
      </w:r>
    </w:p>
    <w:p w14:paraId="7CD87FB5" w14:textId="77777777" w:rsidR="009E6244" w:rsidRPr="009E6244" w:rsidRDefault="009E6244" w:rsidP="00A679AB">
      <w:pPr>
        <w:pStyle w:val="NormalWeb"/>
        <w:spacing w:line="360" w:lineRule="auto"/>
        <w:rPr>
          <w:color w:val="000000"/>
        </w:rPr>
      </w:pPr>
      <w:r w:rsidRPr="009E6244">
        <w:rPr>
          <w:color w:val="000000"/>
        </w:rPr>
        <w:t>Barroso, J., Caballero, R. and Climent, F. (2017) ‘Resilience of banking systems: A review’,</w:t>
      </w:r>
      <w:r w:rsidRPr="009E6244">
        <w:rPr>
          <w:rStyle w:val="apple-converted-space"/>
          <w:color w:val="000000"/>
        </w:rPr>
        <w:t> </w:t>
      </w:r>
      <w:r w:rsidRPr="009E6244">
        <w:rPr>
          <w:rStyle w:val="Emphasis"/>
          <w:i w:val="0"/>
          <w:iCs w:val="0"/>
          <w:color w:val="000000"/>
        </w:rPr>
        <w:t>Journal of Financial Stability</w:t>
      </w:r>
      <w:r w:rsidRPr="009E6244">
        <w:rPr>
          <w:color w:val="000000"/>
        </w:rPr>
        <w:t>, 28, pp. 1–15.</w:t>
      </w:r>
    </w:p>
    <w:p w14:paraId="18A84069" w14:textId="77777777" w:rsidR="009E6244" w:rsidRPr="009E6244" w:rsidRDefault="009E6244" w:rsidP="00A679AB">
      <w:pPr>
        <w:pStyle w:val="NormalWeb"/>
        <w:spacing w:line="360" w:lineRule="auto"/>
        <w:rPr>
          <w:color w:val="000000"/>
        </w:rPr>
      </w:pPr>
      <w:r w:rsidRPr="009E6244">
        <w:rPr>
          <w:color w:val="000000"/>
        </w:rPr>
        <w:t>Battaglia, F. and Gallo, A. (2015) ‘Risk governance and Asian bank performance: An empirical investigation over the financial crisis’,</w:t>
      </w:r>
      <w:r w:rsidRPr="009E6244">
        <w:rPr>
          <w:rStyle w:val="apple-converted-space"/>
          <w:color w:val="000000"/>
        </w:rPr>
        <w:t> </w:t>
      </w:r>
      <w:r w:rsidRPr="009E6244">
        <w:rPr>
          <w:rStyle w:val="Emphasis"/>
          <w:i w:val="0"/>
          <w:iCs w:val="0"/>
          <w:color w:val="000000"/>
        </w:rPr>
        <w:t>Emerging Markets Review</w:t>
      </w:r>
      <w:r w:rsidRPr="009E6244">
        <w:rPr>
          <w:color w:val="000000"/>
        </w:rPr>
        <w:t>, 25, pp. 53–68.</w:t>
      </w:r>
    </w:p>
    <w:p w14:paraId="09BBC727" w14:textId="77777777" w:rsidR="009E6244" w:rsidRPr="009E6244" w:rsidRDefault="009E6244" w:rsidP="00A679AB">
      <w:pPr>
        <w:pStyle w:val="NormalWeb"/>
        <w:spacing w:line="360" w:lineRule="auto"/>
        <w:rPr>
          <w:color w:val="000000"/>
        </w:rPr>
      </w:pPr>
      <w:r w:rsidRPr="009E6244">
        <w:rPr>
          <w:color w:val="000000"/>
        </w:rPr>
        <w:t>Basel Committee on Banking Supervision (2010)</w:t>
      </w:r>
      <w:r w:rsidRPr="009E6244">
        <w:rPr>
          <w:rStyle w:val="apple-converted-space"/>
          <w:color w:val="000000"/>
        </w:rPr>
        <w:t> </w:t>
      </w:r>
      <w:r w:rsidRPr="009E6244">
        <w:rPr>
          <w:rStyle w:val="Emphasis"/>
          <w:i w:val="0"/>
          <w:iCs w:val="0"/>
          <w:color w:val="000000"/>
        </w:rPr>
        <w:t>Basel III: International framework for liquidity risk measurement, standards and monitoring</w:t>
      </w:r>
      <w:r w:rsidRPr="009E6244">
        <w:rPr>
          <w:color w:val="000000"/>
        </w:rPr>
        <w:t>. Basel: Bank for International Settlements.</w:t>
      </w:r>
    </w:p>
    <w:p w14:paraId="03D3CFD4" w14:textId="77777777" w:rsidR="009E6244" w:rsidRPr="009E6244" w:rsidRDefault="009E6244" w:rsidP="00A679AB">
      <w:pPr>
        <w:pStyle w:val="NormalWeb"/>
        <w:spacing w:line="360" w:lineRule="auto"/>
        <w:rPr>
          <w:color w:val="000000"/>
        </w:rPr>
      </w:pPr>
      <w:r w:rsidRPr="009E6244">
        <w:rPr>
          <w:color w:val="000000"/>
        </w:rPr>
        <w:t>Basel Committee on Banking Supervision (2011)</w:t>
      </w:r>
      <w:r w:rsidRPr="009E6244">
        <w:rPr>
          <w:rStyle w:val="apple-converted-space"/>
          <w:color w:val="000000"/>
        </w:rPr>
        <w:t> </w:t>
      </w:r>
      <w:r w:rsidRPr="009E6244">
        <w:rPr>
          <w:rStyle w:val="Emphasis"/>
          <w:i w:val="0"/>
          <w:iCs w:val="0"/>
          <w:color w:val="000000"/>
        </w:rPr>
        <w:t>Principles for the sound management of operational risk</w:t>
      </w:r>
      <w:r w:rsidRPr="009E6244">
        <w:rPr>
          <w:color w:val="000000"/>
        </w:rPr>
        <w:t>. Basel: Bank for International Settlements.</w:t>
      </w:r>
    </w:p>
    <w:p w14:paraId="6FD8B561" w14:textId="77777777" w:rsidR="009E6244" w:rsidRPr="009E6244" w:rsidRDefault="009E6244" w:rsidP="00A679AB">
      <w:pPr>
        <w:pStyle w:val="NormalWeb"/>
        <w:spacing w:line="360" w:lineRule="auto"/>
        <w:rPr>
          <w:color w:val="000000"/>
        </w:rPr>
      </w:pPr>
      <w:r w:rsidRPr="009E6244">
        <w:rPr>
          <w:color w:val="000000"/>
        </w:rPr>
        <w:t>Basel Committee on Banking Supervision (2015)</w:t>
      </w:r>
      <w:r w:rsidRPr="009E6244">
        <w:rPr>
          <w:rStyle w:val="apple-converted-space"/>
          <w:color w:val="000000"/>
        </w:rPr>
        <w:t> </w:t>
      </w:r>
      <w:r w:rsidRPr="009E6244">
        <w:rPr>
          <w:rStyle w:val="Emphasis"/>
          <w:i w:val="0"/>
          <w:iCs w:val="0"/>
          <w:color w:val="000000"/>
        </w:rPr>
        <w:t>Corporate governance principles for banks</w:t>
      </w:r>
      <w:r w:rsidRPr="009E6244">
        <w:rPr>
          <w:color w:val="000000"/>
        </w:rPr>
        <w:t>. Basel: Bank for International Settlements. Available at:</w:t>
      </w:r>
      <w:r w:rsidRPr="009E6244">
        <w:rPr>
          <w:rStyle w:val="apple-converted-space"/>
          <w:color w:val="000000"/>
        </w:rPr>
        <w:t> </w:t>
      </w:r>
      <w:hyperlink r:id="rId6" w:tgtFrame="_new" w:history="1">
        <w:r w:rsidRPr="009E6244">
          <w:rPr>
            <w:rStyle w:val="Hyperlink"/>
          </w:rPr>
          <w:t>https://www.bis.org/bcbs/publ/d328.htm</w:t>
        </w:r>
      </w:hyperlink>
      <w:r w:rsidRPr="009E6244">
        <w:rPr>
          <w:rStyle w:val="apple-converted-space"/>
          <w:color w:val="000000"/>
        </w:rPr>
        <w:t> </w:t>
      </w:r>
      <w:r w:rsidRPr="009E6244">
        <w:rPr>
          <w:color w:val="000000"/>
        </w:rPr>
        <w:t>(Accessed: 11 April 2026).</w:t>
      </w:r>
    </w:p>
    <w:p w14:paraId="67B3415F" w14:textId="77777777" w:rsidR="009E6244" w:rsidRPr="009E6244" w:rsidRDefault="009E6244" w:rsidP="00A679AB">
      <w:pPr>
        <w:pStyle w:val="NormalWeb"/>
        <w:spacing w:line="360" w:lineRule="auto"/>
        <w:rPr>
          <w:color w:val="000000"/>
        </w:rPr>
      </w:pPr>
      <w:r w:rsidRPr="009E6244">
        <w:rPr>
          <w:color w:val="000000"/>
        </w:rPr>
        <w:t>Basel Committee on Banking Supervision (2025)</w:t>
      </w:r>
      <w:r w:rsidRPr="009E6244">
        <w:rPr>
          <w:rStyle w:val="apple-converted-space"/>
          <w:color w:val="000000"/>
        </w:rPr>
        <w:t> </w:t>
      </w:r>
      <w:r w:rsidRPr="009E6244">
        <w:rPr>
          <w:rStyle w:val="Emphasis"/>
          <w:i w:val="0"/>
          <w:iCs w:val="0"/>
          <w:color w:val="000000"/>
        </w:rPr>
        <w:t>Lessons on supervisory effectiveness – a literature review</w:t>
      </w:r>
      <w:r w:rsidRPr="009E6244">
        <w:rPr>
          <w:color w:val="000000"/>
        </w:rPr>
        <w:t>. Basel: Bank for International Settlements Working Paper No. 45.</w:t>
      </w:r>
    </w:p>
    <w:p w14:paraId="62DFD25F" w14:textId="77777777" w:rsidR="009E6244" w:rsidRPr="009E6244" w:rsidRDefault="009E6244" w:rsidP="00A679AB">
      <w:pPr>
        <w:pStyle w:val="NormalWeb"/>
        <w:spacing w:line="360" w:lineRule="auto"/>
        <w:rPr>
          <w:color w:val="000000"/>
        </w:rPr>
      </w:pPr>
      <w:r w:rsidRPr="009E6244">
        <w:rPr>
          <w:color w:val="000000"/>
        </w:rPr>
        <w:t>Chandler, A.D. (1962)</w:t>
      </w:r>
      <w:r w:rsidRPr="009E6244">
        <w:rPr>
          <w:rStyle w:val="apple-converted-space"/>
          <w:color w:val="000000"/>
        </w:rPr>
        <w:t> </w:t>
      </w:r>
      <w:r w:rsidRPr="009E6244">
        <w:rPr>
          <w:rStyle w:val="Emphasis"/>
          <w:i w:val="0"/>
          <w:iCs w:val="0"/>
          <w:color w:val="000000"/>
        </w:rPr>
        <w:t>Strategy and Structure: Chapters in the History of the American Industrial Enterprise</w:t>
      </w:r>
      <w:r w:rsidRPr="009E6244">
        <w:rPr>
          <w:color w:val="000000"/>
        </w:rPr>
        <w:t>. Cambridge, MA: MIT Press.</w:t>
      </w:r>
    </w:p>
    <w:p w14:paraId="3F965FD4" w14:textId="77777777" w:rsidR="009E6244" w:rsidRPr="009E6244" w:rsidRDefault="009E6244" w:rsidP="00A679AB">
      <w:pPr>
        <w:pStyle w:val="NormalWeb"/>
        <w:spacing w:line="360" w:lineRule="auto"/>
        <w:rPr>
          <w:color w:val="000000"/>
        </w:rPr>
      </w:pPr>
      <w:r w:rsidRPr="009E6244">
        <w:rPr>
          <w:color w:val="000000"/>
        </w:rPr>
        <w:t>Comte, A. (1853)</w:t>
      </w:r>
      <w:r w:rsidRPr="009E6244">
        <w:rPr>
          <w:rStyle w:val="apple-converted-space"/>
          <w:color w:val="000000"/>
        </w:rPr>
        <w:t> </w:t>
      </w:r>
      <w:r w:rsidRPr="009E6244">
        <w:rPr>
          <w:rStyle w:val="Emphasis"/>
          <w:i w:val="0"/>
          <w:iCs w:val="0"/>
          <w:color w:val="000000"/>
        </w:rPr>
        <w:t>The positive philosophy</w:t>
      </w:r>
      <w:r w:rsidRPr="009E6244">
        <w:rPr>
          <w:color w:val="000000"/>
        </w:rPr>
        <w:t>.</w:t>
      </w:r>
    </w:p>
    <w:p w14:paraId="06E70F47" w14:textId="77777777" w:rsidR="009E6244" w:rsidRPr="009E6244" w:rsidRDefault="009E6244" w:rsidP="00A679AB">
      <w:pPr>
        <w:pStyle w:val="NormalWeb"/>
        <w:spacing w:line="360" w:lineRule="auto"/>
        <w:rPr>
          <w:color w:val="000000"/>
        </w:rPr>
      </w:pPr>
      <w:r w:rsidRPr="009E6244">
        <w:rPr>
          <w:color w:val="000000"/>
        </w:rPr>
        <w:lastRenderedPageBreak/>
        <w:t>Creswell, J.W. (2014)</w:t>
      </w:r>
      <w:r w:rsidRPr="009E6244">
        <w:rPr>
          <w:rStyle w:val="apple-converted-space"/>
          <w:color w:val="000000"/>
        </w:rPr>
        <w:t> </w:t>
      </w:r>
      <w:r w:rsidRPr="009E6244">
        <w:rPr>
          <w:rStyle w:val="Emphasis"/>
          <w:i w:val="0"/>
          <w:iCs w:val="0"/>
          <w:color w:val="000000"/>
        </w:rPr>
        <w:t xml:space="preserve">Research design: Qualitative, quantitative, and mixed methods </w:t>
      </w:r>
      <w:proofErr w:type="gramStart"/>
      <w:r w:rsidRPr="009E6244">
        <w:rPr>
          <w:rStyle w:val="Emphasis"/>
          <w:i w:val="0"/>
          <w:iCs w:val="0"/>
          <w:color w:val="000000"/>
        </w:rPr>
        <w:t>approaches</w:t>
      </w:r>
      <w:proofErr w:type="gramEnd"/>
      <w:r w:rsidRPr="009E6244">
        <w:rPr>
          <w:color w:val="000000"/>
        </w:rPr>
        <w:t xml:space="preserve">. 4th </w:t>
      </w:r>
      <w:proofErr w:type="spellStart"/>
      <w:r w:rsidRPr="009E6244">
        <w:rPr>
          <w:color w:val="000000"/>
        </w:rPr>
        <w:t>edn</w:t>
      </w:r>
      <w:proofErr w:type="spellEnd"/>
      <w:r w:rsidRPr="009E6244">
        <w:rPr>
          <w:color w:val="000000"/>
        </w:rPr>
        <w:t>. Thousand Oaks, CA: SAGE Publications.</w:t>
      </w:r>
    </w:p>
    <w:p w14:paraId="6941C04D" w14:textId="77777777" w:rsidR="009E6244" w:rsidRPr="009E6244" w:rsidRDefault="009E6244" w:rsidP="00A679AB">
      <w:pPr>
        <w:pStyle w:val="NormalWeb"/>
        <w:spacing w:line="360" w:lineRule="auto"/>
        <w:rPr>
          <w:color w:val="000000"/>
        </w:rPr>
      </w:pPr>
      <w:r w:rsidRPr="009E6244">
        <w:rPr>
          <w:color w:val="000000"/>
        </w:rPr>
        <w:t>Dewey, J. (1938)</w:t>
      </w:r>
      <w:r w:rsidRPr="009E6244">
        <w:rPr>
          <w:rStyle w:val="apple-converted-space"/>
          <w:color w:val="000000"/>
        </w:rPr>
        <w:t> </w:t>
      </w:r>
      <w:r w:rsidRPr="009E6244">
        <w:rPr>
          <w:rStyle w:val="Emphasis"/>
          <w:i w:val="0"/>
          <w:iCs w:val="0"/>
          <w:color w:val="000000"/>
        </w:rPr>
        <w:t>Logic: The theory of inquiry</w:t>
      </w:r>
      <w:r w:rsidRPr="009E6244">
        <w:rPr>
          <w:color w:val="000000"/>
        </w:rPr>
        <w:t>. New York: Holt.</w:t>
      </w:r>
    </w:p>
    <w:p w14:paraId="1A7B3BF1" w14:textId="77777777" w:rsidR="009E6244" w:rsidRPr="009E6244" w:rsidRDefault="009E6244" w:rsidP="00A679AB">
      <w:pPr>
        <w:pStyle w:val="NormalWeb"/>
        <w:spacing w:line="360" w:lineRule="auto"/>
        <w:rPr>
          <w:color w:val="000000"/>
        </w:rPr>
      </w:pPr>
      <w:r w:rsidRPr="009E6244">
        <w:rPr>
          <w:color w:val="000000"/>
        </w:rPr>
        <w:t>Dogan, M. (2001) ‘Paradigms in the social sciences’,</w:t>
      </w:r>
      <w:r w:rsidRPr="009E6244">
        <w:rPr>
          <w:rStyle w:val="apple-converted-space"/>
          <w:color w:val="000000"/>
        </w:rPr>
        <w:t> </w:t>
      </w:r>
      <w:r w:rsidRPr="009E6244">
        <w:rPr>
          <w:rStyle w:val="Emphasis"/>
          <w:i w:val="0"/>
          <w:iCs w:val="0"/>
          <w:color w:val="000000"/>
        </w:rPr>
        <w:t>International Social Science Journal</w:t>
      </w:r>
      <w:r w:rsidRPr="009E6244">
        <w:rPr>
          <w:color w:val="000000"/>
        </w:rPr>
        <w:t>, 53(168), pp. 145–154.</w:t>
      </w:r>
    </w:p>
    <w:p w14:paraId="04B74A98" w14:textId="77777777" w:rsidR="009E6244" w:rsidRPr="009E6244" w:rsidRDefault="009E6244" w:rsidP="00A679AB">
      <w:pPr>
        <w:pStyle w:val="NormalWeb"/>
        <w:spacing w:line="360" w:lineRule="auto"/>
        <w:rPr>
          <w:color w:val="000000"/>
        </w:rPr>
      </w:pPr>
      <w:r w:rsidRPr="009E6244">
        <w:rPr>
          <w:color w:val="000000"/>
        </w:rPr>
        <w:t>Drucker, P.F. (1954)</w:t>
      </w:r>
      <w:r w:rsidRPr="009E6244">
        <w:rPr>
          <w:rStyle w:val="apple-converted-space"/>
          <w:color w:val="000000"/>
        </w:rPr>
        <w:t> </w:t>
      </w:r>
      <w:r w:rsidRPr="009E6244">
        <w:rPr>
          <w:rStyle w:val="Emphasis"/>
          <w:i w:val="0"/>
          <w:iCs w:val="0"/>
          <w:color w:val="000000"/>
        </w:rPr>
        <w:t>The Practice of Management</w:t>
      </w:r>
      <w:r w:rsidRPr="009E6244">
        <w:rPr>
          <w:color w:val="000000"/>
        </w:rPr>
        <w:t>. New York: Harper &amp; Row.</w:t>
      </w:r>
    </w:p>
    <w:p w14:paraId="06B56BFC" w14:textId="77777777" w:rsidR="009E6244" w:rsidRPr="009E6244" w:rsidRDefault="009E6244" w:rsidP="00A679AB">
      <w:pPr>
        <w:pStyle w:val="NormalWeb"/>
        <w:spacing w:line="360" w:lineRule="auto"/>
        <w:rPr>
          <w:color w:val="000000"/>
        </w:rPr>
      </w:pPr>
      <w:r w:rsidRPr="009E6244">
        <w:rPr>
          <w:color w:val="000000"/>
        </w:rPr>
        <w:t>Eisenhardt, K.M. and Martin, J.A. (2000) ‘Dynamic capabilities: what are they?’,</w:t>
      </w:r>
      <w:r w:rsidRPr="009E6244">
        <w:rPr>
          <w:rStyle w:val="apple-converted-space"/>
          <w:color w:val="000000"/>
        </w:rPr>
        <w:t> </w:t>
      </w:r>
      <w:r w:rsidRPr="009E6244">
        <w:rPr>
          <w:rStyle w:val="Emphasis"/>
          <w:i w:val="0"/>
          <w:iCs w:val="0"/>
          <w:color w:val="000000"/>
        </w:rPr>
        <w:t>Strategic Management Journal</w:t>
      </w:r>
      <w:r w:rsidRPr="009E6244">
        <w:rPr>
          <w:color w:val="000000"/>
        </w:rPr>
        <w:t>, 21(10–11), pp. 1105–1121.</w:t>
      </w:r>
    </w:p>
    <w:p w14:paraId="78FC4FF3" w14:textId="77777777" w:rsidR="009E6244" w:rsidRPr="009E6244" w:rsidRDefault="009E6244" w:rsidP="00A679AB">
      <w:pPr>
        <w:pStyle w:val="NormalWeb"/>
        <w:spacing w:line="360" w:lineRule="auto"/>
        <w:rPr>
          <w:color w:val="000000"/>
        </w:rPr>
      </w:pPr>
      <w:r w:rsidRPr="009E6244">
        <w:rPr>
          <w:color w:val="000000"/>
        </w:rPr>
        <w:t>Frigo, M.L. and Anderson, R.J. (2011) ‘Strategic risk management: A foundation for improving enterprise risk management and governance’,</w:t>
      </w:r>
      <w:r w:rsidRPr="009E6244">
        <w:rPr>
          <w:rStyle w:val="apple-converted-space"/>
          <w:color w:val="000000"/>
        </w:rPr>
        <w:t> </w:t>
      </w:r>
      <w:r w:rsidRPr="009E6244">
        <w:rPr>
          <w:rStyle w:val="Emphasis"/>
          <w:i w:val="0"/>
          <w:iCs w:val="0"/>
          <w:color w:val="000000"/>
        </w:rPr>
        <w:t>Journal of Corporate Accounting &amp; Finance</w:t>
      </w:r>
      <w:r w:rsidRPr="009E6244">
        <w:rPr>
          <w:color w:val="000000"/>
        </w:rPr>
        <w:t>, 22(3), pp. 81–88.</w:t>
      </w:r>
    </w:p>
    <w:p w14:paraId="02942055" w14:textId="77777777" w:rsidR="009E6244" w:rsidRPr="009E6244" w:rsidRDefault="009E6244" w:rsidP="00A679AB">
      <w:pPr>
        <w:pStyle w:val="NormalWeb"/>
        <w:spacing w:line="360" w:lineRule="auto"/>
        <w:rPr>
          <w:color w:val="000000"/>
        </w:rPr>
      </w:pPr>
      <w:proofErr w:type="spellStart"/>
      <w:r w:rsidRPr="009E6244">
        <w:rPr>
          <w:color w:val="000000"/>
        </w:rPr>
        <w:t>Guettala</w:t>
      </w:r>
      <w:proofErr w:type="spellEnd"/>
      <w:r w:rsidRPr="009E6244">
        <w:rPr>
          <w:color w:val="000000"/>
        </w:rPr>
        <w:t>, A., Kesri, S. and Selmani, A. (2025) ‘Bank governance, risk, and performance: A comprehensive review’,</w:t>
      </w:r>
      <w:r w:rsidRPr="009E6244">
        <w:rPr>
          <w:rStyle w:val="apple-converted-space"/>
          <w:color w:val="000000"/>
        </w:rPr>
        <w:t> </w:t>
      </w:r>
      <w:r w:rsidRPr="009E6244">
        <w:rPr>
          <w:rStyle w:val="Emphasis"/>
          <w:i w:val="0"/>
          <w:iCs w:val="0"/>
          <w:color w:val="000000"/>
        </w:rPr>
        <w:t xml:space="preserve">Ekonomi </w:t>
      </w:r>
      <w:proofErr w:type="spellStart"/>
      <w:r w:rsidRPr="009E6244">
        <w:rPr>
          <w:rStyle w:val="Emphasis"/>
          <w:i w:val="0"/>
          <w:iCs w:val="0"/>
          <w:color w:val="000000"/>
        </w:rPr>
        <w:t>İşletme</w:t>
      </w:r>
      <w:proofErr w:type="spellEnd"/>
      <w:r w:rsidRPr="009E6244">
        <w:rPr>
          <w:rStyle w:val="Emphasis"/>
          <w:i w:val="0"/>
          <w:iCs w:val="0"/>
          <w:color w:val="000000"/>
        </w:rPr>
        <w:t xml:space="preserve"> </w:t>
      </w:r>
      <w:proofErr w:type="spellStart"/>
      <w:r w:rsidRPr="009E6244">
        <w:rPr>
          <w:rStyle w:val="Emphasis"/>
          <w:i w:val="0"/>
          <w:iCs w:val="0"/>
          <w:color w:val="000000"/>
        </w:rPr>
        <w:t>ve</w:t>
      </w:r>
      <w:proofErr w:type="spellEnd"/>
      <w:r w:rsidRPr="009E6244">
        <w:rPr>
          <w:rStyle w:val="Emphasis"/>
          <w:i w:val="0"/>
          <w:iCs w:val="0"/>
          <w:color w:val="000000"/>
        </w:rPr>
        <w:t xml:space="preserve"> </w:t>
      </w:r>
      <w:proofErr w:type="spellStart"/>
      <w:r w:rsidRPr="009E6244">
        <w:rPr>
          <w:rStyle w:val="Emphasis"/>
          <w:i w:val="0"/>
          <w:iCs w:val="0"/>
          <w:color w:val="000000"/>
        </w:rPr>
        <w:t>Maliye</w:t>
      </w:r>
      <w:proofErr w:type="spellEnd"/>
      <w:r w:rsidRPr="009E6244">
        <w:rPr>
          <w:rStyle w:val="Emphasis"/>
          <w:i w:val="0"/>
          <w:iCs w:val="0"/>
          <w:color w:val="000000"/>
        </w:rPr>
        <w:t xml:space="preserve"> </w:t>
      </w:r>
      <w:proofErr w:type="spellStart"/>
      <w:r w:rsidRPr="009E6244">
        <w:rPr>
          <w:rStyle w:val="Emphasis"/>
          <w:i w:val="0"/>
          <w:iCs w:val="0"/>
          <w:color w:val="000000"/>
        </w:rPr>
        <w:t>Araştırmaları</w:t>
      </w:r>
      <w:proofErr w:type="spellEnd"/>
      <w:r w:rsidRPr="009E6244">
        <w:rPr>
          <w:rStyle w:val="Emphasis"/>
          <w:i w:val="0"/>
          <w:iCs w:val="0"/>
          <w:color w:val="000000"/>
        </w:rPr>
        <w:t xml:space="preserve"> </w:t>
      </w:r>
      <w:proofErr w:type="spellStart"/>
      <w:r w:rsidRPr="009E6244">
        <w:rPr>
          <w:rStyle w:val="Emphasis"/>
          <w:i w:val="0"/>
          <w:iCs w:val="0"/>
          <w:color w:val="000000"/>
        </w:rPr>
        <w:t>Dergisi</w:t>
      </w:r>
      <w:proofErr w:type="spellEnd"/>
      <w:r w:rsidRPr="009E6244">
        <w:rPr>
          <w:color w:val="000000"/>
        </w:rPr>
        <w:t>, 7(3), pp. 328–349.</w:t>
      </w:r>
    </w:p>
    <w:p w14:paraId="07A90485" w14:textId="77777777" w:rsidR="009E6244" w:rsidRPr="009E6244" w:rsidRDefault="009E6244" w:rsidP="00A679AB">
      <w:pPr>
        <w:pStyle w:val="NormalWeb"/>
        <w:spacing w:line="360" w:lineRule="auto"/>
        <w:rPr>
          <w:color w:val="000000"/>
        </w:rPr>
      </w:pPr>
      <w:r w:rsidRPr="009E6244">
        <w:rPr>
          <w:color w:val="000000"/>
        </w:rPr>
        <w:t>Haldane, A.G. (2009) ‘Rethinking the financial network’, Speech at Financial Student Association, Amsterdam. Bank of England.</w:t>
      </w:r>
    </w:p>
    <w:p w14:paraId="7A1F192A" w14:textId="77777777" w:rsidR="009E6244" w:rsidRPr="009E6244" w:rsidRDefault="009E6244" w:rsidP="00A679AB">
      <w:pPr>
        <w:pStyle w:val="NormalWeb"/>
        <w:spacing w:line="360" w:lineRule="auto"/>
        <w:rPr>
          <w:color w:val="000000"/>
        </w:rPr>
      </w:pPr>
      <w:r w:rsidRPr="009E6244">
        <w:rPr>
          <w:color w:val="000000"/>
        </w:rPr>
        <w:t>James, W. (1907)</w:t>
      </w:r>
      <w:r w:rsidRPr="009E6244">
        <w:rPr>
          <w:rStyle w:val="apple-converted-space"/>
          <w:color w:val="000000"/>
        </w:rPr>
        <w:t> </w:t>
      </w:r>
      <w:r w:rsidRPr="009E6244">
        <w:rPr>
          <w:rStyle w:val="Emphasis"/>
          <w:i w:val="0"/>
          <w:iCs w:val="0"/>
          <w:color w:val="000000"/>
        </w:rPr>
        <w:t>Pragmatism: A new name for some old ways of thinking</w:t>
      </w:r>
      <w:r w:rsidRPr="009E6244">
        <w:rPr>
          <w:color w:val="000000"/>
        </w:rPr>
        <w:t>. New York: Longmans.</w:t>
      </w:r>
    </w:p>
    <w:p w14:paraId="16154F98" w14:textId="77777777" w:rsidR="009E6244" w:rsidRPr="009E6244" w:rsidRDefault="009E6244" w:rsidP="00A679AB">
      <w:pPr>
        <w:pStyle w:val="NormalWeb"/>
        <w:spacing w:line="360" w:lineRule="auto"/>
        <w:rPr>
          <w:color w:val="000000"/>
        </w:rPr>
      </w:pPr>
      <w:r w:rsidRPr="009E6244">
        <w:rPr>
          <w:color w:val="000000"/>
        </w:rPr>
        <w:t>Kaplan, R.S. and Mikes, A. (2012) ‘Managing risks: A new framework’,</w:t>
      </w:r>
      <w:r w:rsidRPr="009E6244">
        <w:rPr>
          <w:rStyle w:val="apple-converted-space"/>
          <w:color w:val="000000"/>
        </w:rPr>
        <w:t> </w:t>
      </w:r>
      <w:r w:rsidRPr="009E6244">
        <w:rPr>
          <w:rStyle w:val="Emphasis"/>
          <w:i w:val="0"/>
          <w:iCs w:val="0"/>
          <w:color w:val="000000"/>
        </w:rPr>
        <w:t>Harvard Business Review</w:t>
      </w:r>
      <w:r w:rsidRPr="009E6244">
        <w:rPr>
          <w:color w:val="000000"/>
        </w:rPr>
        <w:t>, 90(6), pp. 48–60.</w:t>
      </w:r>
    </w:p>
    <w:p w14:paraId="4A9B41A0" w14:textId="77777777" w:rsidR="009E6244" w:rsidRPr="009E6244" w:rsidRDefault="009E6244" w:rsidP="00A679AB">
      <w:pPr>
        <w:pStyle w:val="NormalWeb"/>
        <w:spacing w:line="360" w:lineRule="auto"/>
        <w:rPr>
          <w:color w:val="000000"/>
        </w:rPr>
      </w:pPr>
      <w:r w:rsidRPr="009E6244">
        <w:rPr>
          <w:color w:val="000000"/>
        </w:rPr>
        <w:t xml:space="preserve">Korableva, O. and </w:t>
      </w:r>
      <w:proofErr w:type="spellStart"/>
      <w:r w:rsidRPr="009E6244">
        <w:rPr>
          <w:color w:val="000000"/>
        </w:rPr>
        <w:t>Kalimullina</w:t>
      </w:r>
      <w:proofErr w:type="spellEnd"/>
      <w:r w:rsidRPr="009E6244">
        <w:rPr>
          <w:color w:val="000000"/>
        </w:rPr>
        <w:t>, O. (2016) ‘Strategic risk management in banking: Russian banks case study’,</w:t>
      </w:r>
      <w:r w:rsidRPr="009E6244">
        <w:rPr>
          <w:rStyle w:val="apple-converted-space"/>
          <w:color w:val="000000"/>
        </w:rPr>
        <w:t> </w:t>
      </w:r>
      <w:r w:rsidRPr="009E6244">
        <w:rPr>
          <w:rStyle w:val="Emphasis"/>
          <w:i w:val="0"/>
          <w:iCs w:val="0"/>
          <w:color w:val="000000"/>
        </w:rPr>
        <w:t>WSEAS Transactions on Business and Economics</w:t>
      </w:r>
      <w:r w:rsidRPr="009E6244">
        <w:rPr>
          <w:color w:val="000000"/>
        </w:rPr>
        <w:t>, 13(25), pp. 269–282.</w:t>
      </w:r>
    </w:p>
    <w:p w14:paraId="413174EF" w14:textId="77777777" w:rsidR="009E6244" w:rsidRPr="009E6244" w:rsidRDefault="009E6244" w:rsidP="00A679AB">
      <w:pPr>
        <w:pStyle w:val="NormalWeb"/>
        <w:spacing w:line="360" w:lineRule="auto"/>
        <w:rPr>
          <w:color w:val="000000"/>
        </w:rPr>
      </w:pPr>
      <w:r w:rsidRPr="009E6244">
        <w:rPr>
          <w:color w:val="000000"/>
        </w:rPr>
        <w:lastRenderedPageBreak/>
        <w:t>Kuhn, T.S. (1962)</w:t>
      </w:r>
      <w:r w:rsidRPr="009E6244">
        <w:rPr>
          <w:rStyle w:val="apple-converted-space"/>
          <w:color w:val="000000"/>
        </w:rPr>
        <w:t> </w:t>
      </w:r>
      <w:r w:rsidRPr="009E6244">
        <w:rPr>
          <w:rStyle w:val="Emphasis"/>
          <w:i w:val="0"/>
          <w:iCs w:val="0"/>
          <w:color w:val="000000"/>
        </w:rPr>
        <w:t>The structure of scientific revolutions</w:t>
      </w:r>
      <w:r w:rsidRPr="009E6244">
        <w:rPr>
          <w:color w:val="000000"/>
        </w:rPr>
        <w:t>. Chicago: University of Chicago Press.</w:t>
      </w:r>
    </w:p>
    <w:p w14:paraId="215FDE8D" w14:textId="77777777" w:rsidR="009E6244" w:rsidRPr="009E6244" w:rsidRDefault="009E6244" w:rsidP="00A679AB">
      <w:pPr>
        <w:pStyle w:val="NormalWeb"/>
        <w:spacing w:line="360" w:lineRule="auto"/>
        <w:rPr>
          <w:color w:val="000000"/>
        </w:rPr>
      </w:pPr>
      <w:r w:rsidRPr="009E6244">
        <w:rPr>
          <w:color w:val="000000"/>
        </w:rPr>
        <w:t>Lakatos, I. (1978)</w:t>
      </w:r>
      <w:r w:rsidRPr="009E6244">
        <w:rPr>
          <w:rStyle w:val="apple-converted-space"/>
          <w:color w:val="000000"/>
        </w:rPr>
        <w:t> </w:t>
      </w:r>
      <w:r w:rsidRPr="009E6244">
        <w:rPr>
          <w:rStyle w:val="Emphasis"/>
          <w:i w:val="0"/>
          <w:iCs w:val="0"/>
          <w:color w:val="000000"/>
        </w:rPr>
        <w:t>The methodology of scientific research programmes</w:t>
      </w:r>
      <w:r w:rsidRPr="009E6244">
        <w:rPr>
          <w:color w:val="000000"/>
        </w:rPr>
        <w:t>. Cambridge: Cambridge University Press.</w:t>
      </w:r>
    </w:p>
    <w:p w14:paraId="75E98602" w14:textId="77777777" w:rsidR="009E6244" w:rsidRPr="009E6244" w:rsidRDefault="009E6244" w:rsidP="00A679AB">
      <w:pPr>
        <w:pStyle w:val="NormalWeb"/>
        <w:spacing w:line="360" w:lineRule="auto"/>
        <w:rPr>
          <w:color w:val="000000"/>
        </w:rPr>
      </w:pPr>
      <w:r w:rsidRPr="009E6244">
        <w:rPr>
          <w:color w:val="000000"/>
        </w:rPr>
        <w:t>Laudan, L. (1977)</w:t>
      </w:r>
      <w:r w:rsidRPr="009E6244">
        <w:rPr>
          <w:rStyle w:val="apple-converted-space"/>
          <w:color w:val="000000"/>
        </w:rPr>
        <w:t> </w:t>
      </w:r>
      <w:r w:rsidRPr="009E6244">
        <w:rPr>
          <w:rStyle w:val="Emphasis"/>
          <w:i w:val="0"/>
          <w:iCs w:val="0"/>
          <w:color w:val="000000"/>
        </w:rPr>
        <w:t>Progress and its problems</w:t>
      </w:r>
      <w:r w:rsidRPr="009E6244">
        <w:rPr>
          <w:color w:val="000000"/>
        </w:rPr>
        <w:t>. Berkeley: University of California Press.</w:t>
      </w:r>
    </w:p>
    <w:p w14:paraId="1AC7032C" w14:textId="77777777" w:rsidR="009E6244" w:rsidRPr="009E6244" w:rsidRDefault="009E6244" w:rsidP="00A679AB">
      <w:pPr>
        <w:pStyle w:val="NormalWeb"/>
        <w:spacing w:line="360" w:lineRule="auto"/>
        <w:rPr>
          <w:color w:val="000000"/>
        </w:rPr>
      </w:pPr>
      <w:r w:rsidRPr="009E6244">
        <w:rPr>
          <w:color w:val="000000"/>
        </w:rPr>
        <w:t>Masterman, M. (1970) ‘The nature of a paradigm’, in Lakatos, I. and Musgrave, A. (eds.)</w:t>
      </w:r>
      <w:r w:rsidRPr="009E6244">
        <w:rPr>
          <w:rStyle w:val="apple-converted-space"/>
          <w:color w:val="000000"/>
        </w:rPr>
        <w:t> </w:t>
      </w:r>
      <w:r w:rsidRPr="009E6244">
        <w:rPr>
          <w:rStyle w:val="Emphasis"/>
          <w:i w:val="0"/>
          <w:iCs w:val="0"/>
          <w:color w:val="000000"/>
        </w:rPr>
        <w:t>Criticism and the growth of knowledge</w:t>
      </w:r>
      <w:r w:rsidRPr="009E6244">
        <w:rPr>
          <w:color w:val="000000"/>
        </w:rPr>
        <w:t>. Cambridge: Cambridge University Press.</w:t>
      </w:r>
    </w:p>
    <w:p w14:paraId="5FD17FFB" w14:textId="77777777" w:rsidR="009E6244" w:rsidRPr="009E6244" w:rsidRDefault="009E6244" w:rsidP="00A679AB">
      <w:pPr>
        <w:pStyle w:val="NormalWeb"/>
        <w:spacing w:line="360" w:lineRule="auto"/>
        <w:rPr>
          <w:color w:val="000000"/>
        </w:rPr>
      </w:pPr>
      <w:r w:rsidRPr="009E6244">
        <w:rPr>
          <w:color w:val="000000"/>
        </w:rPr>
        <w:t>McConnell, P. (2012) ‘The governance of strategic risks in systemically important banks’,</w:t>
      </w:r>
      <w:r w:rsidRPr="009E6244">
        <w:rPr>
          <w:rStyle w:val="apple-converted-space"/>
          <w:color w:val="000000"/>
        </w:rPr>
        <w:t> </w:t>
      </w:r>
      <w:r w:rsidRPr="009E6244">
        <w:rPr>
          <w:rStyle w:val="Emphasis"/>
          <w:i w:val="0"/>
          <w:iCs w:val="0"/>
          <w:color w:val="000000"/>
        </w:rPr>
        <w:t>Journal of Risk Management in Financial Institutions</w:t>
      </w:r>
      <w:r w:rsidRPr="009E6244">
        <w:rPr>
          <w:color w:val="000000"/>
        </w:rPr>
        <w:t>, 5(2), pp. 128–142.</w:t>
      </w:r>
    </w:p>
    <w:p w14:paraId="0327A797" w14:textId="77777777" w:rsidR="009E6244" w:rsidRPr="009E6244" w:rsidRDefault="009E6244" w:rsidP="00A679AB">
      <w:pPr>
        <w:pStyle w:val="NormalWeb"/>
        <w:spacing w:line="360" w:lineRule="auto"/>
        <w:rPr>
          <w:color w:val="000000"/>
        </w:rPr>
      </w:pPr>
      <w:r w:rsidRPr="009E6244">
        <w:rPr>
          <w:color w:val="000000"/>
        </w:rPr>
        <w:t>Mintzberg, H. (1979)</w:t>
      </w:r>
      <w:r w:rsidRPr="009E6244">
        <w:rPr>
          <w:rStyle w:val="apple-converted-space"/>
          <w:color w:val="000000"/>
        </w:rPr>
        <w:t> </w:t>
      </w:r>
      <w:r w:rsidRPr="009E6244">
        <w:rPr>
          <w:rStyle w:val="Emphasis"/>
          <w:i w:val="0"/>
          <w:iCs w:val="0"/>
          <w:color w:val="000000"/>
        </w:rPr>
        <w:t>The Structuring of Organizations</w:t>
      </w:r>
      <w:r w:rsidRPr="009E6244">
        <w:rPr>
          <w:color w:val="000000"/>
        </w:rPr>
        <w:t>. Englewood Cliffs, NJ: Prentice-Hall.</w:t>
      </w:r>
    </w:p>
    <w:p w14:paraId="2354F272" w14:textId="77777777" w:rsidR="009E6244" w:rsidRPr="009E6244" w:rsidRDefault="009E6244" w:rsidP="00A679AB">
      <w:pPr>
        <w:pStyle w:val="NormalWeb"/>
        <w:spacing w:line="360" w:lineRule="auto"/>
        <w:rPr>
          <w:color w:val="000000"/>
        </w:rPr>
      </w:pPr>
      <w:r w:rsidRPr="009E6244">
        <w:rPr>
          <w:color w:val="000000"/>
        </w:rPr>
        <w:t>Nahar, S., Jubb, C. and Azim, M.I. (2016) ‘Risk governance and performance: A developing country perspective’,</w:t>
      </w:r>
      <w:r w:rsidRPr="009E6244">
        <w:rPr>
          <w:rStyle w:val="apple-converted-space"/>
          <w:color w:val="000000"/>
        </w:rPr>
        <w:t> </w:t>
      </w:r>
      <w:r w:rsidRPr="009E6244">
        <w:rPr>
          <w:rStyle w:val="Emphasis"/>
          <w:i w:val="0"/>
          <w:iCs w:val="0"/>
          <w:color w:val="000000"/>
        </w:rPr>
        <w:t>Managerial Auditing Journal</w:t>
      </w:r>
      <w:r w:rsidRPr="009E6244">
        <w:rPr>
          <w:color w:val="000000"/>
        </w:rPr>
        <w:t>, 31(3), pp. 250–268.</w:t>
      </w:r>
    </w:p>
    <w:p w14:paraId="0CE5C7CD" w14:textId="77777777" w:rsidR="009E6244" w:rsidRPr="009E6244" w:rsidRDefault="009E6244" w:rsidP="00A679AB">
      <w:pPr>
        <w:pStyle w:val="NormalWeb"/>
        <w:spacing w:line="360" w:lineRule="auto"/>
        <w:rPr>
          <w:color w:val="000000"/>
        </w:rPr>
      </w:pPr>
      <w:r w:rsidRPr="009E6244">
        <w:rPr>
          <w:color w:val="000000"/>
        </w:rPr>
        <w:t>Popper, K. (1970) ‘Normal science and its dangers’, in Lakatos, I. and Musgrave, A. (eds.)</w:t>
      </w:r>
      <w:r w:rsidRPr="009E6244">
        <w:rPr>
          <w:rStyle w:val="apple-converted-space"/>
          <w:color w:val="000000"/>
        </w:rPr>
        <w:t> </w:t>
      </w:r>
      <w:r w:rsidRPr="009E6244">
        <w:rPr>
          <w:rStyle w:val="Emphasis"/>
          <w:i w:val="0"/>
          <w:iCs w:val="0"/>
          <w:color w:val="000000"/>
        </w:rPr>
        <w:t>Criticism and the growth of knowledge</w:t>
      </w:r>
      <w:r w:rsidRPr="009E6244">
        <w:rPr>
          <w:color w:val="000000"/>
        </w:rPr>
        <w:t>. Cambridge: Cambridge University Press.</w:t>
      </w:r>
    </w:p>
    <w:p w14:paraId="662EB96B" w14:textId="51FFEE76" w:rsidR="009E6244" w:rsidRPr="009E6244" w:rsidRDefault="009E6244" w:rsidP="00A679AB">
      <w:pPr>
        <w:pStyle w:val="NormalWeb"/>
        <w:spacing w:line="360" w:lineRule="auto"/>
        <w:rPr>
          <w:color w:val="000000"/>
        </w:rPr>
      </w:pPr>
      <w:r w:rsidRPr="009E6244">
        <w:rPr>
          <w:color w:val="000000"/>
        </w:rPr>
        <w:t>Saunders, M., Lewis, P. and Thornhill, A. (2019)</w:t>
      </w:r>
      <w:r w:rsidRPr="009E6244">
        <w:rPr>
          <w:rStyle w:val="apple-converted-space"/>
          <w:color w:val="000000"/>
        </w:rPr>
        <w:t> </w:t>
      </w:r>
      <w:r w:rsidRPr="009E6244">
        <w:rPr>
          <w:rStyle w:val="Emphasis"/>
          <w:i w:val="0"/>
          <w:iCs w:val="0"/>
          <w:color w:val="000000"/>
        </w:rPr>
        <w:t>Research methods for business students</w:t>
      </w:r>
      <w:r w:rsidRPr="009E6244">
        <w:rPr>
          <w:color w:val="000000"/>
        </w:rPr>
        <w:t xml:space="preserve">. 8th </w:t>
      </w:r>
      <w:proofErr w:type="spellStart"/>
      <w:r w:rsidRPr="009E6244">
        <w:rPr>
          <w:color w:val="000000"/>
        </w:rPr>
        <w:t>edn</w:t>
      </w:r>
      <w:proofErr w:type="spellEnd"/>
      <w:r w:rsidRPr="009E6244">
        <w:rPr>
          <w:color w:val="000000"/>
        </w:rPr>
        <w:t>. Harlow: Pearson.</w:t>
      </w:r>
    </w:p>
    <w:p w14:paraId="298C35AF" w14:textId="77777777" w:rsidR="009E6244" w:rsidRPr="009E6244" w:rsidRDefault="009E6244" w:rsidP="00A679AB">
      <w:pPr>
        <w:pStyle w:val="NormalWeb"/>
        <w:spacing w:line="360" w:lineRule="auto"/>
        <w:rPr>
          <w:color w:val="000000"/>
        </w:rPr>
      </w:pPr>
      <w:r w:rsidRPr="009E6244">
        <w:rPr>
          <w:color w:val="000000"/>
        </w:rPr>
        <w:t>Stein, V., Wiedemann, A. and Bouten, C. (2019) ‘Framing risk governance’,</w:t>
      </w:r>
      <w:r w:rsidRPr="009E6244">
        <w:rPr>
          <w:rStyle w:val="apple-converted-space"/>
          <w:color w:val="000000"/>
        </w:rPr>
        <w:t> </w:t>
      </w:r>
      <w:r w:rsidRPr="009E6244">
        <w:rPr>
          <w:rStyle w:val="Emphasis"/>
          <w:i w:val="0"/>
          <w:iCs w:val="0"/>
          <w:color w:val="000000"/>
        </w:rPr>
        <w:t>Management Research Review</w:t>
      </w:r>
      <w:r w:rsidRPr="009E6244">
        <w:rPr>
          <w:color w:val="000000"/>
        </w:rPr>
        <w:t>, 42(11), pp. 1224–1242.</w:t>
      </w:r>
    </w:p>
    <w:p w14:paraId="02F43F10" w14:textId="77777777" w:rsidR="009E6244" w:rsidRPr="009E6244" w:rsidRDefault="009E6244" w:rsidP="00A679AB">
      <w:pPr>
        <w:pStyle w:val="NormalWeb"/>
        <w:spacing w:line="360" w:lineRule="auto"/>
        <w:rPr>
          <w:color w:val="000000"/>
        </w:rPr>
      </w:pPr>
      <w:r w:rsidRPr="009E6244">
        <w:rPr>
          <w:color w:val="000000"/>
        </w:rPr>
        <w:t xml:space="preserve">Teece, D.J. (2007) ‘Explicating dynamic capabilities: the nature and </w:t>
      </w:r>
      <w:proofErr w:type="spellStart"/>
      <w:r w:rsidRPr="009E6244">
        <w:rPr>
          <w:color w:val="000000"/>
        </w:rPr>
        <w:t>microfoundations</w:t>
      </w:r>
      <w:proofErr w:type="spellEnd"/>
      <w:r w:rsidRPr="009E6244">
        <w:rPr>
          <w:color w:val="000000"/>
        </w:rPr>
        <w:t xml:space="preserve"> of (sustainable) enterprise performance’,</w:t>
      </w:r>
      <w:r w:rsidRPr="009E6244">
        <w:rPr>
          <w:rStyle w:val="apple-converted-space"/>
          <w:color w:val="000000"/>
        </w:rPr>
        <w:t> </w:t>
      </w:r>
      <w:r w:rsidRPr="009E6244">
        <w:rPr>
          <w:rStyle w:val="Emphasis"/>
          <w:i w:val="0"/>
          <w:iCs w:val="0"/>
          <w:color w:val="000000"/>
        </w:rPr>
        <w:t>Strategic Management Journal</w:t>
      </w:r>
      <w:r w:rsidRPr="009E6244">
        <w:rPr>
          <w:color w:val="000000"/>
        </w:rPr>
        <w:t>, 28(13), pp. 1319–1350.</w:t>
      </w:r>
    </w:p>
    <w:p w14:paraId="6F23FD09" w14:textId="77777777" w:rsidR="009E6244" w:rsidRPr="009E6244" w:rsidRDefault="009E6244" w:rsidP="00A679AB">
      <w:pPr>
        <w:pStyle w:val="NormalWeb"/>
        <w:spacing w:line="360" w:lineRule="auto"/>
        <w:rPr>
          <w:color w:val="000000"/>
        </w:rPr>
      </w:pPr>
      <w:r w:rsidRPr="009E6244">
        <w:rPr>
          <w:color w:val="000000"/>
        </w:rPr>
        <w:t xml:space="preserve">Teece, D.J., Pisano, G. and </w:t>
      </w:r>
      <w:proofErr w:type="spellStart"/>
      <w:r w:rsidRPr="009E6244">
        <w:rPr>
          <w:color w:val="000000"/>
        </w:rPr>
        <w:t>Shuen</w:t>
      </w:r>
      <w:proofErr w:type="spellEnd"/>
      <w:r w:rsidRPr="009E6244">
        <w:rPr>
          <w:color w:val="000000"/>
        </w:rPr>
        <w:t>, A. (1997) ‘Dynamic capabilities and strategic management’,</w:t>
      </w:r>
      <w:r w:rsidRPr="009E6244">
        <w:rPr>
          <w:rStyle w:val="apple-converted-space"/>
          <w:color w:val="000000"/>
        </w:rPr>
        <w:t> </w:t>
      </w:r>
      <w:r w:rsidRPr="009E6244">
        <w:rPr>
          <w:rStyle w:val="Emphasis"/>
          <w:i w:val="0"/>
          <w:iCs w:val="0"/>
          <w:color w:val="000000"/>
        </w:rPr>
        <w:t>Strategic Management Journal</w:t>
      </w:r>
      <w:r w:rsidRPr="009E6244">
        <w:rPr>
          <w:color w:val="000000"/>
        </w:rPr>
        <w:t>, 18(7), pp. 509–533.</w:t>
      </w:r>
    </w:p>
    <w:p w14:paraId="52AF3343" w14:textId="77777777" w:rsidR="009E6244" w:rsidRPr="009E6244" w:rsidRDefault="009E6244" w:rsidP="00A679AB">
      <w:pPr>
        <w:pStyle w:val="NormalWeb"/>
        <w:spacing w:line="360" w:lineRule="auto"/>
        <w:rPr>
          <w:color w:val="000000"/>
        </w:rPr>
      </w:pPr>
      <w:r w:rsidRPr="009E6244">
        <w:rPr>
          <w:color w:val="000000"/>
        </w:rPr>
        <w:lastRenderedPageBreak/>
        <w:t>Uddin, S. and Suzuki, Y. (2011) ‘Financial reform, ownership and performance in banking industry: The case of Bangladesh’,</w:t>
      </w:r>
      <w:r w:rsidRPr="009E6244">
        <w:rPr>
          <w:rStyle w:val="apple-converted-space"/>
          <w:color w:val="000000"/>
        </w:rPr>
        <w:t> </w:t>
      </w:r>
      <w:r w:rsidRPr="009E6244">
        <w:rPr>
          <w:rStyle w:val="Emphasis"/>
          <w:i w:val="0"/>
          <w:iCs w:val="0"/>
          <w:color w:val="000000"/>
        </w:rPr>
        <w:t>International Journal of Business and Management</w:t>
      </w:r>
      <w:r w:rsidRPr="009E6244">
        <w:rPr>
          <w:color w:val="000000"/>
        </w:rPr>
        <w:t>, 6(7), pp. 28–39.</w:t>
      </w:r>
    </w:p>
    <w:p w14:paraId="264E7ED0" w14:textId="77777777" w:rsidR="009E6244" w:rsidRDefault="009E6244" w:rsidP="00A679AB">
      <w:pPr>
        <w:pStyle w:val="NormalWeb"/>
        <w:spacing w:line="360" w:lineRule="auto"/>
        <w:rPr>
          <w:color w:val="000000"/>
        </w:rPr>
      </w:pPr>
      <w:r w:rsidRPr="009E6244">
        <w:rPr>
          <w:color w:val="000000"/>
        </w:rPr>
        <w:t>Weber, M. (1922)</w:t>
      </w:r>
      <w:r w:rsidRPr="009E6244">
        <w:rPr>
          <w:rStyle w:val="apple-converted-space"/>
          <w:color w:val="000000"/>
        </w:rPr>
        <w:t> </w:t>
      </w:r>
      <w:r w:rsidRPr="009E6244">
        <w:rPr>
          <w:rStyle w:val="Emphasis"/>
          <w:i w:val="0"/>
          <w:iCs w:val="0"/>
          <w:color w:val="000000"/>
        </w:rPr>
        <w:t>Economy and society</w:t>
      </w:r>
      <w:r w:rsidRPr="009E6244">
        <w:rPr>
          <w:color w:val="000000"/>
        </w:rPr>
        <w:t>. New York: Bedminster Press.</w:t>
      </w:r>
    </w:p>
    <w:p w14:paraId="2C63B380" w14:textId="37DF74F5" w:rsidR="009E6244" w:rsidRDefault="009E6244" w:rsidP="00A679AB">
      <w:pPr>
        <w:spacing w:line="360" w:lineRule="auto"/>
      </w:pPr>
    </w:p>
    <w:p w14:paraId="4AB3FA48" w14:textId="77777777" w:rsidR="00E87F7A" w:rsidRPr="00D7266D" w:rsidRDefault="00E87F7A" w:rsidP="00A679AB">
      <w:pPr>
        <w:spacing w:before="100" w:beforeAutospacing="1" w:after="100" w:afterAutospacing="1" w:line="360" w:lineRule="auto"/>
        <w:jc w:val="both"/>
        <w:rPr>
          <w:highlight w:val="green"/>
        </w:rPr>
      </w:pPr>
    </w:p>
    <w:p w14:paraId="6CE36BA3" w14:textId="77777777" w:rsidR="00E87F7A" w:rsidRPr="00D7266D" w:rsidRDefault="00E87F7A" w:rsidP="00A679AB">
      <w:pPr>
        <w:spacing w:before="100" w:beforeAutospacing="1" w:after="100" w:afterAutospacing="1" w:line="360" w:lineRule="auto"/>
        <w:jc w:val="both"/>
        <w:rPr>
          <w:highlight w:val="green"/>
        </w:rPr>
      </w:pPr>
    </w:p>
    <w:p w14:paraId="55AADE45" w14:textId="77777777" w:rsidR="00E87F7A" w:rsidRPr="00D7266D" w:rsidRDefault="00E87F7A" w:rsidP="00A679AB">
      <w:pPr>
        <w:spacing w:before="100" w:beforeAutospacing="1" w:after="100" w:afterAutospacing="1" w:line="360" w:lineRule="auto"/>
        <w:jc w:val="both"/>
        <w:rPr>
          <w:highlight w:val="green"/>
        </w:rPr>
      </w:pPr>
    </w:p>
    <w:p w14:paraId="3E9265F5" w14:textId="77777777" w:rsidR="00E87F7A" w:rsidRPr="00D7266D" w:rsidRDefault="00E87F7A" w:rsidP="00A679AB">
      <w:pPr>
        <w:spacing w:before="100" w:beforeAutospacing="1" w:after="100" w:afterAutospacing="1" w:line="360" w:lineRule="auto"/>
        <w:jc w:val="both"/>
        <w:rPr>
          <w:highlight w:val="green"/>
        </w:rPr>
      </w:pPr>
    </w:p>
    <w:p w14:paraId="5EFAC0F8" w14:textId="77777777" w:rsidR="00E87F7A" w:rsidRPr="00D7266D" w:rsidRDefault="00E87F7A" w:rsidP="00A679AB">
      <w:pPr>
        <w:spacing w:before="100" w:beforeAutospacing="1" w:after="100" w:afterAutospacing="1" w:line="360" w:lineRule="auto"/>
        <w:jc w:val="both"/>
        <w:rPr>
          <w:color w:val="000000"/>
        </w:rPr>
      </w:pPr>
    </w:p>
    <w:p w14:paraId="45D30712" w14:textId="77777777" w:rsidR="00B332ED" w:rsidRPr="00D7266D" w:rsidRDefault="00B332ED" w:rsidP="00A679AB">
      <w:pPr>
        <w:pStyle w:val="NormalWeb"/>
        <w:spacing w:line="360" w:lineRule="auto"/>
        <w:jc w:val="both"/>
      </w:pPr>
    </w:p>
    <w:p w14:paraId="26516ADE" w14:textId="77777777" w:rsidR="00B332ED" w:rsidRPr="00D7266D" w:rsidRDefault="00B332ED" w:rsidP="00A679AB">
      <w:pPr>
        <w:pStyle w:val="NormalWeb"/>
        <w:spacing w:line="360" w:lineRule="auto"/>
        <w:jc w:val="both"/>
      </w:pPr>
    </w:p>
    <w:p w14:paraId="2B35929D" w14:textId="77777777" w:rsidR="00AC14A3" w:rsidRPr="00D7266D" w:rsidRDefault="00AC14A3" w:rsidP="00A679AB">
      <w:pPr>
        <w:pStyle w:val="NormalWeb"/>
        <w:spacing w:line="360" w:lineRule="auto"/>
        <w:jc w:val="both"/>
        <w:rPr>
          <w:color w:val="000000"/>
        </w:rPr>
      </w:pPr>
    </w:p>
    <w:p w14:paraId="2D4E950E" w14:textId="77777777" w:rsidR="00967D52" w:rsidRPr="00D7266D" w:rsidRDefault="00967D52" w:rsidP="00A679AB">
      <w:pPr>
        <w:pStyle w:val="NormalWeb"/>
        <w:spacing w:line="360" w:lineRule="auto"/>
        <w:jc w:val="both"/>
        <w:rPr>
          <w:color w:val="000000"/>
        </w:rPr>
      </w:pPr>
    </w:p>
    <w:p w14:paraId="1BD2A1C8" w14:textId="77777777" w:rsidR="00F11DBB" w:rsidRPr="00D7266D" w:rsidRDefault="00F11DBB" w:rsidP="00D7266D">
      <w:pPr>
        <w:pStyle w:val="NormalWeb"/>
        <w:jc w:val="both"/>
        <w:rPr>
          <w:color w:val="000000"/>
        </w:rPr>
      </w:pPr>
    </w:p>
    <w:p w14:paraId="40F77A6A" w14:textId="77777777" w:rsidR="00F11DBB" w:rsidRPr="00D7266D" w:rsidRDefault="00F11DBB" w:rsidP="00D7266D">
      <w:pPr>
        <w:pStyle w:val="NormalWeb"/>
        <w:jc w:val="both"/>
        <w:rPr>
          <w:color w:val="000000"/>
        </w:rPr>
      </w:pPr>
    </w:p>
    <w:p w14:paraId="0A55ED86" w14:textId="77777777" w:rsidR="00D7266D" w:rsidRPr="00D7266D" w:rsidRDefault="00D7266D">
      <w:pPr>
        <w:spacing w:before="100" w:beforeAutospacing="1" w:after="100" w:afterAutospacing="1"/>
        <w:jc w:val="both"/>
      </w:pPr>
    </w:p>
    <w:sectPr w:rsidR="00D7266D" w:rsidRPr="00D7266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870AD1"/>
    <w:multiLevelType w:val="multilevel"/>
    <w:tmpl w:val="325A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D35B7D"/>
    <w:multiLevelType w:val="hybridMultilevel"/>
    <w:tmpl w:val="4292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660F16"/>
    <w:multiLevelType w:val="hybridMultilevel"/>
    <w:tmpl w:val="AAA64D28"/>
    <w:lvl w:ilvl="0" w:tplc="A67A1ED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A44E06"/>
    <w:multiLevelType w:val="hybridMultilevel"/>
    <w:tmpl w:val="CB82D8E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EDC4B76"/>
    <w:multiLevelType w:val="multilevel"/>
    <w:tmpl w:val="7032B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7A6F6C"/>
    <w:multiLevelType w:val="multilevel"/>
    <w:tmpl w:val="0A302FD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397469B"/>
    <w:multiLevelType w:val="multilevel"/>
    <w:tmpl w:val="C5A2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04058B"/>
    <w:multiLevelType w:val="hybridMultilevel"/>
    <w:tmpl w:val="B1AEF27E"/>
    <w:lvl w:ilvl="0" w:tplc="FB244E48">
      <w:start w:val="1"/>
      <w:numFmt w:val="decimal"/>
      <w:lvlText w:val="%1."/>
      <w:lvlJc w:val="left"/>
      <w:pPr>
        <w:ind w:left="720" w:hanging="360"/>
      </w:pPr>
      <w:rPr>
        <w:rFonts w:asciiTheme="minorHAnsi" w:hAnsiTheme="minorHAnsi" w:cs="Vrinda"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C1A4752"/>
    <w:multiLevelType w:val="multilevel"/>
    <w:tmpl w:val="9E6A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D76DB"/>
    <w:multiLevelType w:val="hybridMultilevel"/>
    <w:tmpl w:val="86F6F1B8"/>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FA66A9"/>
    <w:multiLevelType w:val="multilevel"/>
    <w:tmpl w:val="3C42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612ACB"/>
    <w:multiLevelType w:val="multilevel"/>
    <w:tmpl w:val="DB0C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D43FC0"/>
    <w:multiLevelType w:val="multilevel"/>
    <w:tmpl w:val="EDC8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75764"/>
    <w:multiLevelType w:val="hybridMultilevel"/>
    <w:tmpl w:val="C58884F4"/>
    <w:lvl w:ilvl="0" w:tplc="576C3892">
      <w:start w:val="10"/>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95105C6"/>
    <w:multiLevelType w:val="multilevel"/>
    <w:tmpl w:val="630A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3B2181"/>
    <w:multiLevelType w:val="hybridMultilevel"/>
    <w:tmpl w:val="1ED4F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2426A2"/>
    <w:multiLevelType w:val="multilevel"/>
    <w:tmpl w:val="88C4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F66222"/>
    <w:multiLevelType w:val="multilevel"/>
    <w:tmpl w:val="E9AE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5D545C"/>
    <w:multiLevelType w:val="multilevel"/>
    <w:tmpl w:val="0E9C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7463FD"/>
    <w:multiLevelType w:val="hybridMultilevel"/>
    <w:tmpl w:val="7D5A5E7A"/>
    <w:lvl w:ilvl="0" w:tplc="0448C08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0C37CD"/>
    <w:multiLevelType w:val="multilevel"/>
    <w:tmpl w:val="D352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0C4051"/>
    <w:multiLevelType w:val="multilevel"/>
    <w:tmpl w:val="61B0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B67CC0"/>
    <w:multiLevelType w:val="multilevel"/>
    <w:tmpl w:val="407C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6B03A1"/>
    <w:multiLevelType w:val="multilevel"/>
    <w:tmpl w:val="CFCA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066A9C"/>
    <w:multiLevelType w:val="hybridMultilevel"/>
    <w:tmpl w:val="68DAE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EA46E7"/>
    <w:multiLevelType w:val="multilevel"/>
    <w:tmpl w:val="6B947CD2"/>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6E4AE3"/>
    <w:multiLevelType w:val="hybridMultilevel"/>
    <w:tmpl w:val="26DE57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05731A"/>
    <w:multiLevelType w:val="hybridMultilevel"/>
    <w:tmpl w:val="522CD2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4D2CA5"/>
    <w:multiLevelType w:val="multilevel"/>
    <w:tmpl w:val="C19A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704744"/>
    <w:multiLevelType w:val="hybridMultilevel"/>
    <w:tmpl w:val="D008676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598530">
    <w:abstractNumId w:val="8"/>
  </w:num>
  <w:num w:numId="2" w16cid:durableId="671181074">
    <w:abstractNumId w:val="6"/>
  </w:num>
  <w:num w:numId="3" w16cid:durableId="1448890394">
    <w:abstractNumId w:val="5"/>
  </w:num>
  <w:num w:numId="4" w16cid:durableId="1117333916">
    <w:abstractNumId w:val="4"/>
  </w:num>
  <w:num w:numId="5" w16cid:durableId="99450388">
    <w:abstractNumId w:val="7"/>
  </w:num>
  <w:num w:numId="6" w16cid:durableId="182786604">
    <w:abstractNumId w:val="3"/>
  </w:num>
  <w:num w:numId="7" w16cid:durableId="2063559894">
    <w:abstractNumId w:val="2"/>
  </w:num>
  <w:num w:numId="8" w16cid:durableId="36861337">
    <w:abstractNumId w:val="1"/>
  </w:num>
  <w:num w:numId="9" w16cid:durableId="1684277921">
    <w:abstractNumId w:val="0"/>
  </w:num>
  <w:num w:numId="10" w16cid:durableId="1573127589">
    <w:abstractNumId w:val="27"/>
  </w:num>
  <w:num w:numId="11" w16cid:durableId="822548948">
    <w:abstractNumId w:val="23"/>
  </w:num>
  <w:num w:numId="12" w16cid:durableId="1592667546">
    <w:abstractNumId w:val="9"/>
  </w:num>
  <w:num w:numId="13" w16cid:durableId="964240810">
    <w:abstractNumId w:val="25"/>
  </w:num>
  <w:num w:numId="14" w16cid:durableId="1839614152">
    <w:abstractNumId w:val="15"/>
  </w:num>
  <w:num w:numId="15" w16cid:durableId="1921521359">
    <w:abstractNumId w:val="17"/>
  </w:num>
  <w:num w:numId="16" w16cid:durableId="1347824854">
    <w:abstractNumId w:val="30"/>
  </w:num>
  <w:num w:numId="17" w16cid:durableId="773327278">
    <w:abstractNumId w:val="31"/>
  </w:num>
  <w:num w:numId="18" w16cid:durableId="815876631">
    <w:abstractNumId w:val="21"/>
  </w:num>
  <w:num w:numId="19" w16cid:durableId="231233302">
    <w:abstractNumId w:val="19"/>
  </w:num>
  <w:num w:numId="20" w16cid:durableId="557479111">
    <w:abstractNumId w:val="20"/>
  </w:num>
  <w:num w:numId="21" w16cid:durableId="2033801601">
    <w:abstractNumId w:val="29"/>
  </w:num>
  <w:num w:numId="22" w16cid:durableId="2101173003">
    <w:abstractNumId w:val="10"/>
  </w:num>
  <w:num w:numId="23" w16cid:durableId="2116749794">
    <w:abstractNumId w:val="12"/>
  </w:num>
  <w:num w:numId="24" w16cid:durableId="371929270">
    <w:abstractNumId w:val="33"/>
  </w:num>
  <w:num w:numId="25" w16cid:durableId="979532896">
    <w:abstractNumId w:val="24"/>
  </w:num>
  <w:num w:numId="26" w16cid:durableId="468590187">
    <w:abstractNumId w:val="35"/>
  </w:num>
  <w:num w:numId="27" w16cid:durableId="840464755">
    <w:abstractNumId w:val="16"/>
  </w:num>
  <w:num w:numId="28" w16cid:durableId="757870687">
    <w:abstractNumId w:val="13"/>
  </w:num>
  <w:num w:numId="29" w16cid:durableId="1173225526">
    <w:abstractNumId w:val="32"/>
  </w:num>
  <w:num w:numId="30" w16cid:durableId="615798676">
    <w:abstractNumId w:val="26"/>
  </w:num>
  <w:num w:numId="31" w16cid:durableId="213127505">
    <w:abstractNumId w:val="37"/>
  </w:num>
  <w:num w:numId="32" w16cid:durableId="787550315">
    <w:abstractNumId w:val="34"/>
  </w:num>
  <w:num w:numId="33" w16cid:durableId="426000059">
    <w:abstractNumId w:val="14"/>
  </w:num>
  <w:num w:numId="34" w16cid:durableId="1280836425">
    <w:abstractNumId w:val="36"/>
  </w:num>
  <w:num w:numId="35" w16cid:durableId="46807987">
    <w:abstractNumId w:val="28"/>
  </w:num>
  <w:num w:numId="36" w16cid:durableId="732433130">
    <w:abstractNumId w:val="11"/>
  </w:num>
  <w:num w:numId="37" w16cid:durableId="62459341">
    <w:abstractNumId w:val="22"/>
  </w:num>
  <w:num w:numId="38" w16cid:durableId="338581352">
    <w:abstractNumId w:val="38"/>
  </w:num>
  <w:num w:numId="39" w16cid:durableId="10143813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ABE"/>
    <w:rsid w:val="0006063C"/>
    <w:rsid w:val="000B0330"/>
    <w:rsid w:val="00104E34"/>
    <w:rsid w:val="0015074B"/>
    <w:rsid w:val="00161D1F"/>
    <w:rsid w:val="00246608"/>
    <w:rsid w:val="0029639D"/>
    <w:rsid w:val="002C2843"/>
    <w:rsid w:val="0030725F"/>
    <w:rsid w:val="00326F90"/>
    <w:rsid w:val="003A28AB"/>
    <w:rsid w:val="00432A82"/>
    <w:rsid w:val="004631B5"/>
    <w:rsid w:val="004F10CF"/>
    <w:rsid w:val="0050489E"/>
    <w:rsid w:val="005170E5"/>
    <w:rsid w:val="005C5233"/>
    <w:rsid w:val="005D63E5"/>
    <w:rsid w:val="00621452"/>
    <w:rsid w:val="00661F81"/>
    <w:rsid w:val="0069624D"/>
    <w:rsid w:val="00715C88"/>
    <w:rsid w:val="00733D1A"/>
    <w:rsid w:val="00791333"/>
    <w:rsid w:val="008013D2"/>
    <w:rsid w:val="008B2862"/>
    <w:rsid w:val="008F6CF8"/>
    <w:rsid w:val="00967D52"/>
    <w:rsid w:val="009D34CA"/>
    <w:rsid w:val="009E6244"/>
    <w:rsid w:val="00A51A1D"/>
    <w:rsid w:val="00A65E24"/>
    <w:rsid w:val="00A679AB"/>
    <w:rsid w:val="00AA1D8D"/>
    <w:rsid w:val="00AA4503"/>
    <w:rsid w:val="00AA75E4"/>
    <w:rsid w:val="00AC14A3"/>
    <w:rsid w:val="00AD7256"/>
    <w:rsid w:val="00B278E5"/>
    <w:rsid w:val="00B332ED"/>
    <w:rsid w:val="00B47730"/>
    <w:rsid w:val="00B96FE3"/>
    <w:rsid w:val="00BB0888"/>
    <w:rsid w:val="00BC6B1B"/>
    <w:rsid w:val="00BF169F"/>
    <w:rsid w:val="00CA69B9"/>
    <w:rsid w:val="00CB0664"/>
    <w:rsid w:val="00CD1631"/>
    <w:rsid w:val="00D7266D"/>
    <w:rsid w:val="00DC074B"/>
    <w:rsid w:val="00E07C52"/>
    <w:rsid w:val="00E10AE0"/>
    <w:rsid w:val="00E826FD"/>
    <w:rsid w:val="00E87F7A"/>
    <w:rsid w:val="00EC4B9E"/>
    <w:rsid w:val="00ED6D29"/>
    <w:rsid w:val="00EE32E4"/>
    <w:rsid w:val="00F11DBB"/>
    <w:rsid w:val="00F23F71"/>
    <w:rsid w:val="00F36796"/>
    <w:rsid w:val="00FA0C6A"/>
    <w:rsid w:val="00FC1BD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3D3957"/>
  <w14:defaultImageDpi w14:val="300"/>
  <w15:docId w15:val="{F21CDE54-EB75-7749-A32E-BAA74F621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862"/>
    <w:pPr>
      <w:spacing w:after="0" w:line="240" w:lineRule="auto"/>
    </w:pPr>
    <w:rPr>
      <w:rFonts w:ascii="Times New Roman" w:eastAsia="Times New Roman" w:hAnsi="Times New Roman" w:cs="Times New Roman"/>
      <w:sz w:val="24"/>
      <w:szCs w:val="24"/>
      <w:lang w:val="en-GB" w:eastAsia="en-GB" w:bidi="bn-IN"/>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F6CF8"/>
    <w:pPr>
      <w:spacing w:before="100" w:beforeAutospacing="1" w:after="100" w:afterAutospacing="1"/>
    </w:pPr>
  </w:style>
  <w:style w:type="character" w:customStyle="1" w:styleId="apple-converted-space">
    <w:name w:val="apple-converted-space"/>
    <w:basedOn w:val="DefaultParagraphFont"/>
    <w:rsid w:val="008F6CF8"/>
  </w:style>
  <w:style w:type="character" w:customStyle="1" w:styleId="whitespace-normal">
    <w:name w:val="whitespace-normal"/>
    <w:basedOn w:val="DefaultParagraphFont"/>
    <w:rsid w:val="008F6CF8"/>
  </w:style>
  <w:style w:type="paragraph" w:styleId="HTMLPreformatted">
    <w:name w:val="HTML Preformatted"/>
    <w:basedOn w:val="Normal"/>
    <w:link w:val="HTMLPreformattedChar"/>
    <w:uiPriority w:val="99"/>
    <w:unhideWhenUsed/>
    <w:rsid w:val="00AC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C14A3"/>
    <w:rPr>
      <w:rFonts w:ascii="Courier New" w:eastAsia="Times New Roman" w:hAnsi="Courier New" w:cs="Courier New"/>
      <w:sz w:val="20"/>
      <w:szCs w:val="20"/>
      <w:lang w:val="en-GB" w:eastAsia="en-GB" w:bidi="bn-IN"/>
    </w:rPr>
  </w:style>
  <w:style w:type="character" w:styleId="CommentReference">
    <w:name w:val="annotation reference"/>
    <w:basedOn w:val="DefaultParagraphFont"/>
    <w:uiPriority w:val="99"/>
    <w:semiHidden/>
    <w:unhideWhenUsed/>
    <w:rsid w:val="00AA75E4"/>
    <w:rPr>
      <w:sz w:val="16"/>
      <w:szCs w:val="16"/>
    </w:rPr>
  </w:style>
  <w:style w:type="paragraph" w:styleId="CommentText">
    <w:name w:val="annotation text"/>
    <w:basedOn w:val="Normal"/>
    <w:link w:val="CommentTextChar"/>
    <w:uiPriority w:val="99"/>
    <w:semiHidden/>
    <w:unhideWhenUsed/>
    <w:rsid w:val="00AA75E4"/>
    <w:rPr>
      <w:sz w:val="20"/>
      <w:szCs w:val="20"/>
    </w:rPr>
  </w:style>
  <w:style w:type="character" w:customStyle="1" w:styleId="CommentTextChar">
    <w:name w:val="Comment Text Char"/>
    <w:basedOn w:val="DefaultParagraphFont"/>
    <w:link w:val="CommentText"/>
    <w:uiPriority w:val="99"/>
    <w:semiHidden/>
    <w:rsid w:val="00AA75E4"/>
    <w:rPr>
      <w:sz w:val="20"/>
      <w:szCs w:val="20"/>
    </w:rPr>
  </w:style>
  <w:style w:type="paragraph" w:styleId="CommentSubject">
    <w:name w:val="annotation subject"/>
    <w:basedOn w:val="CommentText"/>
    <w:next w:val="CommentText"/>
    <w:link w:val="CommentSubjectChar"/>
    <w:uiPriority w:val="99"/>
    <w:semiHidden/>
    <w:unhideWhenUsed/>
    <w:rsid w:val="00AA75E4"/>
    <w:rPr>
      <w:b/>
      <w:bCs/>
    </w:rPr>
  </w:style>
  <w:style w:type="character" w:customStyle="1" w:styleId="CommentSubjectChar">
    <w:name w:val="Comment Subject Char"/>
    <w:basedOn w:val="CommentTextChar"/>
    <w:link w:val="CommentSubject"/>
    <w:uiPriority w:val="99"/>
    <w:semiHidden/>
    <w:rsid w:val="00AA75E4"/>
    <w:rPr>
      <w:b/>
      <w:bCs/>
      <w:sz w:val="20"/>
      <w:szCs w:val="20"/>
    </w:rPr>
  </w:style>
  <w:style w:type="character" w:styleId="Hyperlink">
    <w:name w:val="Hyperlink"/>
    <w:basedOn w:val="DefaultParagraphFont"/>
    <w:uiPriority w:val="99"/>
    <w:semiHidden/>
    <w:unhideWhenUsed/>
    <w:rsid w:val="00E87F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s.org/bcbs/publ/d328.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33</Pages>
  <Words>7302</Words>
  <Characters>41628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Md Abul Monsur (2432235)</cp:lastModifiedBy>
  <cp:revision>19</cp:revision>
  <dcterms:created xsi:type="dcterms:W3CDTF">2026-04-18T20:40:00Z</dcterms:created>
  <dcterms:modified xsi:type="dcterms:W3CDTF">2026-04-20T12:36:00Z</dcterms:modified>
  <cp:category/>
</cp:coreProperties>
</file>