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5CE2D" w14:textId="25A55E43" w:rsidR="009F5662" w:rsidRPr="007752AC" w:rsidRDefault="009F5662" w:rsidP="00421313">
      <w:pPr>
        <w:pStyle w:val="ListParagraph"/>
        <w:numPr>
          <w:ilvl w:val="0"/>
          <w:numId w:val="21"/>
        </w:numPr>
        <w:spacing w:after="0" w:line="360" w:lineRule="auto"/>
        <w:rPr>
          <w:rFonts w:ascii="Arial" w:hAnsi="Arial" w:cs="Arial"/>
          <w:b/>
          <w:bCs/>
          <w:sz w:val="22"/>
          <w:szCs w:val="22"/>
        </w:rPr>
      </w:pPr>
      <w:r w:rsidRPr="007752AC">
        <w:rPr>
          <w:rFonts w:ascii="Arial" w:hAnsi="Arial" w:cs="Arial"/>
          <w:b/>
          <w:bCs/>
          <w:sz w:val="22"/>
          <w:szCs w:val="22"/>
        </w:rPr>
        <w:t>Introduction to Vodafone</w:t>
      </w:r>
    </w:p>
    <w:p w14:paraId="2863A15A" w14:textId="7ED3FC0E" w:rsidR="00F96B4F" w:rsidRPr="00573891" w:rsidRDefault="009F5662" w:rsidP="00421313">
      <w:pPr>
        <w:spacing w:after="0" w:line="360" w:lineRule="auto"/>
        <w:ind w:firstLine="720"/>
        <w:rPr>
          <w:rFonts w:ascii="Arial" w:hAnsi="Arial" w:cs="Arial"/>
          <w:sz w:val="22"/>
          <w:szCs w:val="22"/>
        </w:rPr>
      </w:pPr>
      <w:r w:rsidRPr="00573891">
        <w:rPr>
          <w:rFonts w:ascii="Arial" w:hAnsi="Arial" w:cs="Arial"/>
          <w:sz w:val="22"/>
          <w:szCs w:val="22"/>
        </w:rPr>
        <w:t xml:space="preserve">Vodafone UK operates within a dynamic telecommunications environment characterized by rapid technological disruption and hyper-competition. The organisation’s core mission is to connect for a better future, a purpose driven by the belief that digital connectivity accelerates socio-economic development and inclusivity (Vodafone Group, 2025). Its strategic vision </w:t>
      </w:r>
      <w:r w:rsidR="002329F1" w:rsidRPr="00573891">
        <w:rPr>
          <w:rFonts w:ascii="Arial" w:hAnsi="Arial" w:cs="Arial"/>
          <w:sz w:val="22"/>
          <w:szCs w:val="22"/>
        </w:rPr>
        <w:t>centres</w:t>
      </w:r>
      <w:r w:rsidRPr="00573891">
        <w:rPr>
          <w:rFonts w:ascii="Arial" w:hAnsi="Arial" w:cs="Arial"/>
          <w:sz w:val="22"/>
          <w:szCs w:val="22"/>
        </w:rPr>
        <w:t xml:space="preserve"> on transforming into a premier digital platform provider, pioneering next-generation standalone 5G integration, IoT architectures, and smart-city infrastructures (Salsberg et al., 2023).</w:t>
      </w:r>
    </w:p>
    <w:p w14:paraId="5FFB595A" w14:textId="5287BE31" w:rsidR="00B14871" w:rsidRDefault="009F5662" w:rsidP="00421313">
      <w:pPr>
        <w:spacing w:after="0" w:line="360" w:lineRule="auto"/>
        <w:rPr>
          <w:rFonts w:ascii="Arial" w:hAnsi="Arial" w:cs="Arial"/>
          <w:sz w:val="22"/>
          <w:szCs w:val="22"/>
        </w:rPr>
      </w:pPr>
      <w:r w:rsidRPr="00573891">
        <w:rPr>
          <w:rFonts w:ascii="Arial" w:hAnsi="Arial" w:cs="Arial"/>
          <w:sz w:val="22"/>
          <w:szCs w:val="22"/>
        </w:rPr>
        <w:t xml:space="preserve">This vision is underpinned by a robust corporate value framework: </w:t>
      </w:r>
      <w:r w:rsidRPr="00573891">
        <w:rPr>
          <w:rFonts w:ascii="Arial" w:hAnsi="Arial" w:cs="Arial"/>
          <w:i/>
          <w:iCs/>
          <w:sz w:val="22"/>
          <w:szCs w:val="22"/>
        </w:rPr>
        <w:t>Earn Customer Trust</w:t>
      </w:r>
      <w:r w:rsidRPr="00573891">
        <w:rPr>
          <w:rFonts w:ascii="Arial" w:hAnsi="Arial" w:cs="Arial"/>
          <w:sz w:val="22"/>
          <w:szCs w:val="22"/>
        </w:rPr>
        <w:t xml:space="preserve">, </w:t>
      </w:r>
      <w:r w:rsidRPr="00573891">
        <w:rPr>
          <w:rFonts w:ascii="Arial" w:hAnsi="Arial" w:cs="Arial"/>
          <w:i/>
          <w:iCs/>
          <w:sz w:val="22"/>
          <w:szCs w:val="22"/>
        </w:rPr>
        <w:t>Create the Future</w:t>
      </w:r>
      <w:r w:rsidRPr="00573891">
        <w:rPr>
          <w:rFonts w:ascii="Arial" w:hAnsi="Arial" w:cs="Arial"/>
          <w:sz w:val="22"/>
          <w:szCs w:val="22"/>
        </w:rPr>
        <w:t xml:space="preserve">, and </w:t>
      </w:r>
      <w:r w:rsidRPr="00573891">
        <w:rPr>
          <w:rFonts w:ascii="Arial" w:hAnsi="Arial" w:cs="Arial"/>
          <w:i/>
          <w:iCs/>
          <w:sz w:val="22"/>
          <w:szCs w:val="22"/>
        </w:rPr>
        <w:t>Deliver Together</w:t>
      </w:r>
      <w:r w:rsidRPr="00573891">
        <w:rPr>
          <w:rFonts w:ascii="Arial" w:hAnsi="Arial" w:cs="Arial"/>
          <w:sz w:val="22"/>
          <w:szCs w:val="22"/>
        </w:rPr>
        <w:t>. Following its strategic transformation and integration with Three UK, these values guide VodafoneThree’s operational integration (Valdar and Morfett, 2024). By embedding structural efficiency into its culture, the newly formed corporate entity seeks to deliver unmatched customer experience while capturing significant scale economies, anchoring its long-term strategic advantage within Europe's most competitive telecom sector (Gerry et al., 2023).</w:t>
      </w:r>
    </w:p>
    <w:p w14:paraId="3A0DD88C" w14:textId="77777777" w:rsidR="00A333DA" w:rsidRPr="00573891" w:rsidRDefault="00A333DA" w:rsidP="00421313">
      <w:pPr>
        <w:spacing w:after="0" w:line="360" w:lineRule="auto"/>
        <w:rPr>
          <w:rFonts w:ascii="Arial" w:hAnsi="Arial" w:cs="Arial"/>
          <w:sz w:val="22"/>
          <w:szCs w:val="22"/>
        </w:rPr>
      </w:pPr>
    </w:p>
    <w:p w14:paraId="7601E67E" w14:textId="622F1D10" w:rsidR="00A333DA" w:rsidRPr="00F43971" w:rsidRDefault="00983494" w:rsidP="00421313">
      <w:pPr>
        <w:pStyle w:val="ListParagraph"/>
        <w:numPr>
          <w:ilvl w:val="0"/>
          <w:numId w:val="21"/>
        </w:numPr>
        <w:spacing w:line="360" w:lineRule="auto"/>
        <w:rPr>
          <w:rFonts w:ascii="Arial" w:hAnsi="Arial" w:cs="Arial"/>
          <w:b/>
          <w:bCs/>
          <w:sz w:val="22"/>
          <w:szCs w:val="22"/>
        </w:rPr>
      </w:pPr>
      <w:r w:rsidRPr="00F43971">
        <w:rPr>
          <w:rFonts w:ascii="Arial" w:hAnsi="Arial" w:cs="Arial"/>
          <w:b/>
          <w:bCs/>
          <w:sz w:val="22"/>
          <w:szCs w:val="22"/>
        </w:rPr>
        <w:t>Evaluation of Current Market Situation</w:t>
      </w:r>
    </w:p>
    <w:p w14:paraId="056FE60B" w14:textId="51F195BC" w:rsidR="00983494" w:rsidRPr="00A333DA" w:rsidRDefault="00983494" w:rsidP="00421313">
      <w:pPr>
        <w:spacing w:line="360" w:lineRule="auto"/>
        <w:ind w:firstLine="360"/>
        <w:rPr>
          <w:rFonts w:ascii="Arial" w:hAnsi="Arial" w:cs="Arial"/>
          <w:b/>
          <w:bCs/>
          <w:sz w:val="22"/>
          <w:szCs w:val="22"/>
        </w:rPr>
      </w:pPr>
      <w:r w:rsidRPr="00573891">
        <w:rPr>
          <w:rFonts w:ascii="Arial" w:hAnsi="Arial" w:cs="Arial"/>
          <w:sz w:val="22"/>
          <w:szCs w:val="22"/>
        </w:rPr>
        <w:t>To accurately assess the business environment of Vodafone UK following its consolidation into VodafoneThree, a comprehensive analytical approach is required. This section utilizes PESTEL</w:t>
      </w:r>
      <w:r w:rsidR="00587A17">
        <w:rPr>
          <w:rFonts w:ascii="Arial" w:hAnsi="Arial" w:cs="Arial"/>
          <w:sz w:val="22"/>
          <w:szCs w:val="22"/>
        </w:rPr>
        <w:t xml:space="preserve">, </w:t>
      </w:r>
      <w:r w:rsidRPr="00573891">
        <w:rPr>
          <w:rFonts w:ascii="Arial" w:hAnsi="Arial" w:cs="Arial"/>
          <w:sz w:val="22"/>
          <w:szCs w:val="22"/>
        </w:rPr>
        <w:t xml:space="preserve">SWOT </w:t>
      </w:r>
      <w:r w:rsidR="00587A17">
        <w:rPr>
          <w:rFonts w:ascii="Arial" w:hAnsi="Arial" w:cs="Arial"/>
          <w:sz w:val="22"/>
          <w:szCs w:val="22"/>
        </w:rPr>
        <w:t xml:space="preserve">and TOWS </w:t>
      </w:r>
      <w:r w:rsidRPr="00573891">
        <w:rPr>
          <w:rFonts w:ascii="Arial" w:hAnsi="Arial" w:cs="Arial"/>
          <w:sz w:val="22"/>
          <w:szCs w:val="22"/>
        </w:rPr>
        <w:t>frameworks to examine the macro-environmental drivers, industry-specific competitive dynamics, and internal strategic positioning shaping the firm's trajectory within the UK telecommunications market.</w:t>
      </w:r>
    </w:p>
    <w:p w14:paraId="30D8E932" w14:textId="103BFFC9" w:rsidR="00983494" w:rsidRPr="00F43971" w:rsidRDefault="00983494" w:rsidP="00421313">
      <w:pPr>
        <w:pStyle w:val="ListParagraph"/>
        <w:numPr>
          <w:ilvl w:val="1"/>
          <w:numId w:val="21"/>
        </w:numPr>
        <w:spacing w:line="360" w:lineRule="auto"/>
        <w:rPr>
          <w:rFonts w:ascii="Arial" w:hAnsi="Arial" w:cs="Arial"/>
          <w:b/>
          <w:bCs/>
          <w:sz w:val="22"/>
          <w:szCs w:val="22"/>
        </w:rPr>
      </w:pPr>
      <w:r w:rsidRPr="00F43971">
        <w:rPr>
          <w:rFonts w:ascii="Arial" w:hAnsi="Arial" w:cs="Arial"/>
          <w:b/>
          <w:bCs/>
          <w:sz w:val="22"/>
          <w:szCs w:val="22"/>
        </w:rPr>
        <w:t>PESTEL Analysis</w:t>
      </w:r>
      <w:r w:rsidR="00C84034" w:rsidRPr="00F43971">
        <w:rPr>
          <w:rFonts w:ascii="Arial" w:hAnsi="Arial" w:cs="Arial"/>
          <w:b/>
          <w:bCs/>
          <w:sz w:val="22"/>
          <w:szCs w:val="22"/>
        </w:rPr>
        <w:t xml:space="preserve"> (A</w:t>
      </w:r>
      <w:r w:rsidR="004601A4" w:rsidRPr="00F43971">
        <w:rPr>
          <w:rFonts w:ascii="Arial" w:hAnsi="Arial" w:cs="Arial"/>
          <w:b/>
          <w:bCs/>
          <w:sz w:val="22"/>
          <w:szCs w:val="22"/>
        </w:rPr>
        <w:t>ppendix A)</w:t>
      </w:r>
    </w:p>
    <w:p w14:paraId="0C76FBA8" w14:textId="77777777" w:rsidR="00983494" w:rsidRPr="00573891" w:rsidRDefault="00983494" w:rsidP="00421313">
      <w:pPr>
        <w:spacing w:line="360" w:lineRule="auto"/>
        <w:rPr>
          <w:rFonts w:ascii="Arial" w:hAnsi="Arial" w:cs="Arial"/>
          <w:sz w:val="22"/>
          <w:szCs w:val="22"/>
        </w:rPr>
      </w:pPr>
      <w:r w:rsidRPr="00573891">
        <w:rPr>
          <w:rFonts w:ascii="Arial" w:hAnsi="Arial" w:cs="Arial"/>
          <w:sz w:val="22"/>
          <w:szCs w:val="22"/>
        </w:rPr>
        <w:t>The macro-environment operates as a highly volatile ecosystem where legislative, economic, and technological shifts dictate infrastructure priorities (Johnson et al., 2023).</w:t>
      </w:r>
    </w:p>
    <w:p w14:paraId="4BA1235D" w14:textId="32C7952E" w:rsidR="00983494" w:rsidRPr="00573891" w:rsidRDefault="00983494" w:rsidP="00421313">
      <w:pPr>
        <w:spacing w:line="360" w:lineRule="auto"/>
        <w:ind w:firstLine="360"/>
        <w:rPr>
          <w:rFonts w:ascii="Arial" w:hAnsi="Arial" w:cs="Arial"/>
          <w:sz w:val="22"/>
          <w:szCs w:val="22"/>
        </w:rPr>
      </w:pPr>
      <w:r w:rsidRPr="00573891">
        <w:rPr>
          <w:rFonts w:ascii="Arial" w:hAnsi="Arial" w:cs="Arial"/>
          <w:b/>
          <w:bCs/>
          <w:sz w:val="22"/>
          <w:szCs w:val="22"/>
        </w:rPr>
        <w:t>Political &amp; Legal</w:t>
      </w:r>
      <w:r w:rsidRPr="00573891">
        <w:rPr>
          <w:rFonts w:ascii="Arial" w:hAnsi="Arial" w:cs="Arial"/>
          <w:sz w:val="22"/>
          <w:szCs w:val="22"/>
        </w:rPr>
        <w:t>: The UK government views digital infrastructure as a primary driver of macroeconomic productivity. The Department for Science, Innovation and Technology (</w:t>
      </w:r>
      <w:r w:rsidR="00501553" w:rsidRPr="00573891">
        <w:rPr>
          <w:rFonts w:ascii="Arial" w:hAnsi="Arial" w:cs="Arial"/>
          <w:sz w:val="22"/>
          <w:szCs w:val="22"/>
        </w:rPr>
        <w:t>DSIT, 2023</w:t>
      </w:r>
      <w:r w:rsidRPr="00573891">
        <w:rPr>
          <w:rFonts w:ascii="Arial" w:hAnsi="Arial" w:cs="Arial"/>
          <w:sz w:val="22"/>
          <w:szCs w:val="22"/>
        </w:rPr>
        <w:t>) actively pushes for nationwide standalone 5G deployment to support cross-sector digitisation. However, national security mandates, such as the Telecommunications (Security) Act, impose strict supplier compliance costs regarding high-risk vendors (Whittington, 2023).</w:t>
      </w:r>
    </w:p>
    <w:p w14:paraId="7FD67DA0" w14:textId="3DE3060F" w:rsidR="00983494" w:rsidRPr="00573891" w:rsidRDefault="00983494" w:rsidP="00421313">
      <w:pPr>
        <w:spacing w:line="360" w:lineRule="auto"/>
        <w:ind w:firstLine="360"/>
        <w:rPr>
          <w:rFonts w:ascii="Arial" w:hAnsi="Arial" w:cs="Arial"/>
          <w:sz w:val="22"/>
          <w:szCs w:val="22"/>
        </w:rPr>
      </w:pPr>
      <w:r w:rsidRPr="00573891">
        <w:rPr>
          <w:rFonts w:ascii="Arial" w:hAnsi="Arial" w:cs="Arial"/>
          <w:b/>
          <w:bCs/>
          <w:sz w:val="22"/>
          <w:szCs w:val="22"/>
        </w:rPr>
        <w:t>Economic</w:t>
      </w:r>
      <w:r w:rsidRPr="00573891">
        <w:rPr>
          <w:rFonts w:ascii="Arial" w:hAnsi="Arial" w:cs="Arial"/>
          <w:sz w:val="22"/>
          <w:szCs w:val="22"/>
        </w:rPr>
        <w:t xml:space="preserve">: High inflation and elevated interest rates have increased the cost of capital for structural network deployment. In response, consumer </w:t>
      </w:r>
      <w:r w:rsidR="00B17B43" w:rsidRPr="00573891">
        <w:rPr>
          <w:rFonts w:ascii="Arial" w:hAnsi="Arial" w:cs="Arial"/>
          <w:sz w:val="22"/>
          <w:szCs w:val="22"/>
        </w:rPr>
        <w:t>behaviour</w:t>
      </w:r>
      <w:r w:rsidRPr="00573891">
        <w:rPr>
          <w:rFonts w:ascii="Arial" w:hAnsi="Arial" w:cs="Arial"/>
          <w:sz w:val="22"/>
          <w:szCs w:val="22"/>
        </w:rPr>
        <w:t xml:space="preserve"> has pivoted toward cost-conscious alternatives, limiting average revenue per user (ARPU) growth. Despite this, </w:t>
      </w:r>
      <w:r w:rsidRPr="00573891">
        <w:rPr>
          <w:rFonts w:ascii="Arial" w:hAnsi="Arial" w:cs="Arial"/>
          <w:sz w:val="22"/>
          <w:szCs w:val="22"/>
        </w:rPr>
        <w:lastRenderedPageBreak/>
        <w:t>total industry revenues are forecasted to grow modestly, driven by enterprise requirements</w:t>
      </w:r>
      <w:r w:rsidR="00E249FA">
        <w:rPr>
          <w:rFonts w:ascii="Arial" w:hAnsi="Arial" w:cs="Arial"/>
          <w:sz w:val="22"/>
          <w:szCs w:val="22"/>
        </w:rPr>
        <w:t xml:space="preserve"> (Ofcom, 2025). </w:t>
      </w:r>
    </w:p>
    <w:p w14:paraId="629E50F8" w14:textId="258A5EA4" w:rsidR="00983494" w:rsidRPr="00573891" w:rsidRDefault="00983494" w:rsidP="00421313">
      <w:pPr>
        <w:spacing w:line="360" w:lineRule="auto"/>
        <w:ind w:firstLine="360"/>
        <w:rPr>
          <w:rFonts w:ascii="Arial" w:hAnsi="Arial" w:cs="Arial"/>
          <w:sz w:val="22"/>
          <w:szCs w:val="22"/>
        </w:rPr>
      </w:pPr>
      <w:r w:rsidRPr="00573891">
        <w:rPr>
          <w:rFonts w:ascii="Arial" w:hAnsi="Arial" w:cs="Arial"/>
          <w:b/>
          <w:bCs/>
          <w:sz w:val="22"/>
          <w:szCs w:val="22"/>
        </w:rPr>
        <w:t>Social</w:t>
      </w:r>
      <w:r w:rsidRPr="00573891">
        <w:rPr>
          <w:rFonts w:ascii="Arial" w:hAnsi="Arial" w:cs="Arial"/>
          <w:sz w:val="22"/>
          <w:szCs w:val="22"/>
        </w:rPr>
        <w:t>: Societal dependence on continuous, low-latency connectivity has intensified due to widespread remote hybrid working. Data consumption in the UK increased by 15.2% year-on-year. This shift elevates cellular networks from consumer options to an essential utility, increasing public scrutiny over network reliability and coverage gaps</w:t>
      </w:r>
      <w:r w:rsidR="00C17985">
        <w:rPr>
          <w:rFonts w:ascii="Arial" w:hAnsi="Arial" w:cs="Arial"/>
          <w:sz w:val="22"/>
          <w:szCs w:val="22"/>
        </w:rPr>
        <w:t xml:space="preserve"> (Ofcom, 2025)</w:t>
      </w:r>
      <w:r w:rsidR="00823EF8">
        <w:rPr>
          <w:rFonts w:ascii="Arial" w:hAnsi="Arial" w:cs="Arial"/>
          <w:sz w:val="22"/>
          <w:szCs w:val="22"/>
        </w:rPr>
        <w:t>.</w:t>
      </w:r>
      <w:r w:rsidR="00C17985">
        <w:rPr>
          <w:rFonts w:ascii="Arial" w:hAnsi="Arial" w:cs="Arial"/>
          <w:sz w:val="22"/>
          <w:szCs w:val="22"/>
        </w:rPr>
        <w:t xml:space="preserve"> </w:t>
      </w:r>
    </w:p>
    <w:p w14:paraId="6E951F05" w14:textId="75DF348D" w:rsidR="00983494" w:rsidRPr="00573891" w:rsidRDefault="00983494" w:rsidP="00421313">
      <w:pPr>
        <w:spacing w:line="360" w:lineRule="auto"/>
        <w:ind w:firstLine="360"/>
        <w:rPr>
          <w:rFonts w:ascii="Arial" w:hAnsi="Arial" w:cs="Arial"/>
          <w:sz w:val="22"/>
          <w:szCs w:val="22"/>
        </w:rPr>
      </w:pPr>
      <w:r w:rsidRPr="00573891">
        <w:rPr>
          <w:rFonts w:ascii="Arial" w:hAnsi="Arial" w:cs="Arial"/>
          <w:b/>
          <w:bCs/>
          <w:sz w:val="22"/>
          <w:szCs w:val="22"/>
        </w:rPr>
        <w:t>Technological</w:t>
      </w:r>
      <w:r w:rsidRPr="00573891">
        <w:rPr>
          <w:rFonts w:ascii="Arial" w:hAnsi="Arial" w:cs="Arial"/>
          <w:sz w:val="22"/>
          <w:szCs w:val="22"/>
        </w:rPr>
        <w:t>: The market is undergoing rapid evolution characterized by Fixed-Mobile Convergence (FMC), network slicing, Multi-Access Edge Computing (MEC), and autonomous industrial internet-of-things (IoT) architectures.</w:t>
      </w:r>
      <w:r w:rsidR="00AA774A">
        <w:rPr>
          <w:rFonts w:ascii="Arial" w:hAnsi="Arial" w:cs="Arial"/>
          <w:sz w:val="22"/>
          <w:szCs w:val="22"/>
        </w:rPr>
        <w:t xml:space="preserve"> (DSIT, 2024), (Ofcom, 2025). </w:t>
      </w:r>
    </w:p>
    <w:p w14:paraId="69D3F65B" w14:textId="77777777" w:rsidR="00983494" w:rsidRPr="00573891" w:rsidRDefault="00983494" w:rsidP="00421313">
      <w:pPr>
        <w:spacing w:line="360" w:lineRule="auto"/>
        <w:ind w:firstLine="360"/>
        <w:rPr>
          <w:rFonts w:ascii="Arial" w:hAnsi="Arial" w:cs="Arial"/>
          <w:sz w:val="22"/>
          <w:szCs w:val="22"/>
        </w:rPr>
      </w:pPr>
      <w:r w:rsidRPr="00573891">
        <w:rPr>
          <w:rFonts w:ascii="Arial" w:hAnsi="Arial" w:cs="Arial"/>
          <w:b/>
          <w:bCs/>
          <w:sz w:val="22"/>
          <w:szCs w:val="22"/>
        </w:rPr>
        <w:t>Environmental</w:t>
      </w:r>
      <w:r w:rsidRPr="00573891">
        <w:rPr>
          <w:rFonts w:ascii="Arial" w:hAnsi="Arial" w:cs="Arial"/>
          <w:sz w:val="22"/>
          <w:szCs w:val="22"/>
        </w:rPr>
        <w:t>: Telecom operators face mounting pressure to minimize their carbon footprint. VodafoneThree must manage the energy demands of rolling out dense, standalone 5G grids while committing to carbon-neutral operations, matching corporate sustainability metrics with green legislative structures (Hill, 2024).</w:t>
      </w:r>
    </w:p>
    <w:p w14:paraId="646ED056" w14:textId="35EEDDE7" w:rsidR="001305A8" w:rsidRDefault="00983494" w:rsidP="00421313">
      <w:pPr>
        <w:spacing w:line="360" w:lineRule="auto"/>
        <w:ind w:firstLine="360"/>
        <w:rPr>
          <w:rFonts w:ascii="Arial" w:hAnsi="Arial" w:cs="Arial"/>
          <w:sz w:val="22"/>
          <w:szCs w:val="22"/>
        </w:rPr>
      </w:pPr>
      <w:r w:rsidRPr="00573891">
        <w:rPr>
          <w:rFonts w:ascii="Arial" w:hAnsi="Arial" w:cs="Arial"/>
          <w:b/>
          <w:bCs/>
          <w:sz w:val="22"/>
          <w:szCs w:val="22"/>
        </w:rPr>
        <w:t>Regulatory</w:t>
      </w:r>
      <w:r w:rsidRPr="00573891">
        <w:rPr>
          <w:rFonts w:ascii="Arial" w:hAnsi="Arial" w:cs="Arial"/>
          <w:sz w:val="22"/>
          <w:szCs w:val="22"/>
        </w:rPr>
        <w:t>: The telecom market is governed by strict regulatory bodies. The Competition and Markets Authority (</w:t>
      </w:r>
      <w:r w:rsidR="00501553" w:rsidRPr="00573891">
        <w:rPr>
          <w:rFonts w:ascii="Arial" w:hAnsi="Arial" w:cs="Arial"/>
          <w:sz w:val="22"/>
          <w:szCs w:val="22"/>
        </w:rPr>
        <w:t>CMA, 2024</w:t>
      </w:r>
      <w:r w:rsidRPr="00573891">
        <w:rPr>
          <w:rFonts w:ascii="Arial" w:hAnsi="Arial" w:cs="Arial"/>
          <w:sz w:val="22"/>
          <w:szCs w:val="22"/>
        </w:rPr>
        <w:t>) and Ofcom (</w:t>
      </w:r>
      <w:r w:rsidR="00F0252B" w:rsidRPr="00573891">
        <w:rPr>
          <w:rFonts w:ascii="Arial" w:hAnsi="Arial" w:cs="Arial"/>
          <w:sz w:val="22"/>
          <w:szCs w:val="22"/>
        </w:rPr>
        <w:t>OFCOM, 2024</w:t>
      </w:r>
      <w:r w:rsidRPr="00573891">
        <w:rPr>
          <w:rFonts w:ascii="Arial" w:hAnsi="Arial" w:cs="Arial"/>
          <w:sz w:val="22"/>
          <w:szCs w:val="22"/>
        </w:rPr>
        <w:t>) shape industry operations through structural interventions. The landmark clearance of the £16.5 billion merger was strictly bound to a 10-year, £11 billion structural investment blueprint alongside 3-year retail tariff protections to guarantee market fairness.</w:t>
      </w:r>
    </w:p>
    <w:p w14:paraId="4D61E1D6" w14:textId="0C7BDABB" w:rsidR="003324A9" w:rsidRPr="00F43971" w:rsidRDefault="003324A9" w:rsidP="00421313">
      <w:pPr>
        <w:pStyle w:val="ListParagraph"/>
        <w:numPr>
          <w:ilvl w:val="1"/>
          <w:numId w:val="21"/>
        </w:numPr>
        <w:spacing w:line="360" w:lineRule="auto"/>
        <w:rPr>
          <w:rFonts w:ascii="Arial" w:hAnsi="Arial" w:cs="Arial"/>
          <w:b/>
          <w:bCs/>
          <w:sz w:val="22"/>
          <w:szCs w:val="22"/>
        </w:rPr>
      </w:pPr>
      <w:r w:rsidRPr="00F43971">
        <w:rPr>
          <w:rFonts w:ascii="Arial" w:hAnsi="Arial" w:cs="Arial"/>
          <w:b/>
          <w:bCs/>
          <w:sz w:val="22"/>
          <w:szCs w:val="22"/>
        </w:rPr>
        <w:t>SWOT Analysis</w:t>
      </w:r>
      <w:r w:rsidR="004601A4" w:rsidRPr="00F43971">
        <w:rPr>
          <w:rFonts w:ascii="Arial" w:hAnsi="Arial" w:cs="Arial"/>
          <w:b/>
          <w:bCs/>
          <w:sz w:val="22"/>
          <w:szCs w:val="22"/>
        </w:rPr>
        <w:t xml:space="preserve"> (Appendix B)</w:t>
      </w:r>
    </w:p>
    <w:p w14:paraId="3F219EEA" w14:textId="77777777" w:rsidR="003324A9" w:rsidRPr="00573891" w:rsidRDefault="003324A9" w:rsidP="00421313">
      <w:pPr>
        <w:spacing w:line="360" w:lineRule="auto"/>
        <w:rPr>
          <w:rFonts w:ascii="Arial" w:hAnsi="Arial" w:cs="Arial"/>
          <w:sz w:val="22"/>
          <w:szCs w:val="22"/>
        </w:rPr>
      </w:pPr>
      <w:r w:rsidRPr="00573891">
        <w:rPr>
          <w:rFonts w:ascii="Arial" w:hAnsi="Arial" w:cs="Arial"/>
          <w:sz w:val="22"/>
          <w:szCs w:val="22"/>
        </w:rPr>
        <w:t>By cross-referencing internal operational capabilities with evolving external dynamics, VodafoneThree can map out sustainable strategic paths (Grant, 2021).</w:t>
      </w:r>
    </w:p>
    <w:p w14:paraId="07DA5E7D" w14:textId="77777777" w:rsidR="003324A9" w:rsidRPr="00573891" w:rsidRDefault="003324A9" w:rsidP="00421313">
      <w:pPr>
        <w:spacing w:line="360" w:lineRule="auto"/>
        <w:rPr>
          <w:rFonts w:ascii="Arial" w:hAnsi="Arial" w:cs="Arial"/>
          <w:b/>
          <w:bCs/>
          <w:sz w:val="22"/>
          <w:szCs w:val="22"/>
        </w:rPr>
      </w:pPr>
      <w:r w:rsidRPr="00573891">
        <w:rPr>
          <w:rFonts w:ascii="Arial" w:hAnsi="Arial" w:cs="Arial"/>
          <w:b/>
          <w:bCs/>
          <w:sz w:val="22"/>
          <w:szCs w:val="22"/>
        </w:rPr>
        <w:t>Strengths</w:t>
      </w:r>
    </w:p>
    <w:p w14:paraId="5F678EF7" w14:textId="3C344F52" w:rsidR="003324A9" w:rsidRPr="00573891" w:rsidRDefault="003324A9" w:rsidP="00421313">
      <w:pPr>
        <w:spacing w:line="360" w:lineRule="auto"/>
        <w:rPr>
          <w:rFonts w:ascii="Arial" w:hAnsi="Arial" w:cs="Arial"/>
          <w:sz w:val="22"/>
          <w:szCs w:val="22"/>
        </w:rPr>
      </w:pPr>
      <w:r w:rsidRPr="00573891">
        <w:rPr>
          <w:rFonts w:ascii="Arial" w:hAnsi="Arial" w:cs="Arial"/>
          <w:b/>
          <w:bCs/>
          <w:sz w:val="22"/>
          <w:szCs w:val="22"/>
        </w:rPr>
        <w:t>Market Scale</w:t>
      </w:r>
      <w:r w:rsidRPr="00573891">
        <w:rPr>
          <w:rFonts w:ascii="Arial" w:hAnsi="Arial" w:cs="Arial"/>
          <w:sz w:val="22"/>
          <w:szCs w:val="22"/>
        </w:rPr>
        <w:t>: Becomes the largest UK mobile provider, managing 27 million customers</w:t>
      </w:r>
      <w:r w:rsidR="00D639DC">
        <w:rPr>
          <w:rFonts w:ascii="Arial" w:hAnsi="Arial" w:cs="Arial"/>
          <w:sz w:val="22"/>
          <w:szCs w:val="22"/>
        </w:rPr>
        <w:t xml:space="preserve"> (CMA, </w:t>
      </w:r>
      <w:r w:rsidR="006D682A">
        <w:rPr>
          <w:rFonts w:ascii="Arial" w:hAnsi="Arial" w:cs="Arial"/>
          <w:sz w:val="22"/>
          <w:szCs w:val="22"/>
        </w:rPr>
        <w:t>2024).</w:t>
      </w:r>
    </w:p>
    <w:p w14:paraId="22E4845B" w14:textId="1BAB375F" w:rsidR="003324A9" w:rsidRPr="00573891" w:rsidRDefault="003324A9" w:rsidP="00421313">
      <w:pPr>
        <w:spacing w:line="360" w:lineRule="auto"/>
        <w:rPr>
          <w:rFonts w:ascii="Arial" w:hAnsi="Arial" w:cs="Arial"/>
          <w:sz w:val="22"/>
          <w:szCs w:val="22"/>
        </w:rPr>
      </w:pPr>
      <w:r w:rsidRPr="00573891">
        <w:rPr>
          <w:rFonts w:ascii="Arial" w:hAnsi="Arial" w:cs="Arial"/>
          <w:b/>
          <w:bCs/>
          <w:sz w:val="22"/>
          <w:szCs w:val="22"/>
        </w:rPr>
        <w:t>Spectrum Optimization</w:t>
      </w:r>
      <w:r w:rsidRPr="00573891">
        <w:rPr>
          <w:rFonts w:ascii="Arial" w:hAnsi="Arial" w:cs="Arial"/>
          <w:sz w:val="22"/>
          <w:szCs w:val="22"/>
        </w:rPr>
        <w:t>: Unmatched network capacity derived from combining spectrum portfolios</w:t>
      </w:r>
      <w:r w:rsidR="008D59AF">
        <w:rPr>
          <w:rFonts w:ascii="Arial" w:hAnsi="Arial" w:cs="Arial"/>
          <w:sz w:val="22"/>
          <w:szCs w:val="22"/>
        </w:rPr>
        <w:t xml:space="preserve"> (Ofcom, 2024)</w:t>
      </w:r>
    </w:p>
    <w:p w14:paraId="33B65CBE" w14:textId="77777777" w:rsidR="003324A9" w:rsidRPr="00573891" w:rsidRDefault="003324A9" w:rsidP="00421313">
      <w:pPr>
        <w:spacing w:line="360" w:lineRule="auto"/>
        <w:rPr>
          <w:rFonts w:ascii="Arial" w:hAnsi="Arial" w:cs="Arial"/>
          <w:sz w:val="22"/>
          <w:szCs w:val="22"/>
        </w:rPr>
      </w:pPr>
      <w:r w:rsidRPr="00573891">
        <w:rPr>
          <w:rFonts w:ascii="Arial" w:hAnsi="Arial" w:cs="Arial"/>
          <w:b/>
          <w:bCs/>
          <w:sz w:val="22"/>
          <w:szCs w:val="22"/>
        </w:rPr>
        <w:t>B2B Infrastructure</w:t>
      </w:r>
      <w:r w:rsidRPr="00573891">
        <w:rPr>
          <w:rFonts w:ascii="Arial" w:hAnsi="Arial" w:cs="Arial"/>
          <w:sz w:val="22"/>
          <w:szCs w:val="22"/>
        </w:rPr>
        <w:t>: Established presence in corporate digital sectors and advanced IoT deployment.</w:t>
      </w:r>
    </w:p>
    <w:p w14:paraId="7610BC03" w14:textId="77777777" w:rsidR="003324A9" w:rsidRPr="00573891" w:rsidRDefault="003324A9" w:rsidP="00421313">
      <w:pPr>
        <w:spacing w:line="360" w:lineRule="auto"/>
        <w:rPr>
          <w:rFonts w:ascii="Arial" w:hAnsi="Arial" w:cs="Arial"/>
          <w:b/>
          <w:bCs/>
          <w:sz w:val="22"/>
          <w:szCs w:val="22"/>
        </w:rPr>
      </w:pPr>
      <w:r w:rsidRPr="00573891">
        <w:rPr>
          <w:rFonts w:ascii="Arial" w:hAnsi="Arial" w:cs="Arial"/>
          <w:b/>
          <w:bCs/>
          <w:sz w:val="22"/>
          <w:szCs w:val="22"/>
        </w:rPr>
        <w:t>Weaknesses</w:t>
      </w:r>
    </w:p>
    <w:p w14:paraId="7B09BADE" w14:textId="64FAF74B" w:rsidR="003324A9" w:rsidRPr="00573891" w:rsidRDefault="003324A9" w:rsidP="00421313">
      <w:pPr>
        <w:spacing w:line="360" w:lineRule="auto"/>
        <w:rPr>
          <w:rFonts w:ascii="Arial" w:hAnsi="Arial" w:cs="Arial"/>
          <w:sz w:val="22"/>
          <w:szCs w:val="22"/>
        </w:rPr>
      </w:pPr>
      <w:r w:rsidRPr="00573891">
        <w:rPr>
          <w:rFonts w:ascii="Arial" w:hAnsi="Arial" w:cs="Arial"/>
          <w:b/>
          <w:bCs/>
          <w:sz w:val="22"/>
          <w:szCs w:val="22"/>
        </w:rPr>
        <w:t>Integration Friction</w:t>
      </w:r>
      <w:r w:rsidRPr="00573891">
        <w:rPr>
          <w:rFonts w:ascii="Arial" w:hAnsi="Arial" w:cs="Arial"/>
          <w:sz w:val="22"/>
          <w:szCs w:val="22"/>
        </w:rPr>
        <w:t>: Complexities in combining disparate legacy systems and corporate cultures</w:t>
      </w:r>
      <w:r w:rsidR="00FA0B34">
        <w:rPr>
          <w:rFonts w:ascii="Arial" w:hAnsi="Arial" w:cs="Arial"/>
          <w:sz w:val="22"/>
          <w:szCs w:val="22"/>
        </w:rPr>
        <w:t xml:space="preserve"> (</w:t>
      </w:r>
      <w:r w:rsidR="00755FD0">
        <w:rPr>
          <w:rFonts w:ascii="Arial" w:hAnsi="Arial" w:cs="Arial"/>
          <w:sz w:val="22"/>
          <w:szCs w:val="22"/>
        </w:rPr>
        <w:t xml:space="preserve">Lights Reading, 2025). </w:t>
      </w:r>
    </w:p>
    <w:p w14:paraId="3F52D98C" w14:textId="4BFF794A" w:rsidR="003324A9" w:rsidRPr="00573891" w:rsidRDefault="003324A9" w:rsidP="00421313">
      <w:pPr>
        <w:spacing w:line="360" w:lineRule="auto"/>
        <w:rPr>
          <w:rFonts w:ascii="Arial" w:hAnsi="Arial" w:cs="Arial"/>
          <w:sz w:val="22"/>
          <w:szCs w:val="22"/>
        </w:rPr>
      </w:pPr>
      <w:r w:rsidRPr="00573891">
        <w:rPr>
          <w:rFonts w:ascii="Arial" w:hAnsi="Arial" w:cs="Arial"/>
          <w:b/>
          <w:bCs/>
          <w:sz w:val="22"/>
          <w:szCs w:val="22"/>
        </w:rPr>
        <w:lastRenderedPageBreak/>
        <w:t>Capex Overhang</w:t>
      </w:r>
      <w:r w:rsidRPr="00573891">
        <w:rPr>
          <w:rFonts w:ascii="Arial" w:hAnsi="Arial" w:cs="Arial"/>
          <w:sz w:val="22"/>
          <w:szCs w:val="22"/>
        </w:rPr>
        <w:t>: Legally binding commitment to spend £11 billion, limiting immediate free cash flow flexibility</w:t>
      </w:r>
      <w:r w:rsidR="00FC73D1">
        <w:rPr>
          <w:rFonts w:ascii="Arial" w:hAnsi="Arial" w:cs="Arial"/>
          <w:sz w:val="22"/>
          <w:szCs w:val="22"/>
        </w:rPr>
        <w:t xml:space="preserve"> (Clifford Chance, 2024).</w:t>
      </w:r>
    </w:p>
    <w:p w14:paraId="6870B649" w14:textId="77777777" w:rsidR="003324A9" w:rsidRPr="00573891" w:rsidRDefault="003324A9" w:rsidP="00421313">
      <w:pPr>
        <w:spacing w:line="360" w:lineRule="auto"/>
        <w:rPr>
          <w:rFonts w:ascii="Arial" w:hAnsi="Arial" w:cs="Arial"/>
          <w:b/>
          <w:bCs/>
          <w:sz w:val="22"/>
          <w:szCs w:val="22"/>
        </w:rPr>
      </w:pPr>
      <w:r w:rsidRPr="00573891">
        <w:rPr>
          <w:rFonts w:ascii="Arial" w:hAnsi="Arial" w:cs="Arial"/>
          <w:b/>
          <w:bCs/>
          <w:sz w:val="22"/>
          <w:szCs w:val="22"/>
        </w:rPr>
        <w:t>Opportunities</w:t>
      </w:r>
    </w:p>
    <w:p w14:paraId="470DF3F9" w14:textId="77777777" w:rsidR="003324A9" w:rsidRPr="00573891" w:rsidRDefault="003324A9" w:rsidP="00421313">
      <w:pPr>
        <w:spacing w:line="360" w:lineRule="auto"/>
        <w:rPr>
          <w:rFonts w:ascii="Arial" w:hAnsi="Arial" w:cs="Arial"/>
          <w:sz w:val="22"/>
          <w:szCs w:val="22"/>
        </w:rPr>
      </w:pPr>
      <w:r w:rsidRPr="00573891">
        <w:rPr>
          <w:rFonts w:ascii="Arial" w:hAnsi="Arial" w:cs="Arial"/>
          <w:b/>
          <w:bCs/>
          <w:sz w:val="22"/>
          <w:szCs w:val="22"/>
        </w:rPr>
        <w:t>5G Enterprise Slicing</w:t>
      </w:r>
      <w:r w:rsidRPr="00573891">
        <w:rPr>
          <w:rFonts w:ascii="Arial" w:hAnsi="Arial" w:cs="Arial"/>
          <w:sz w:val="22"/>
          <w:szCs w:val="22"/>
        </w:rPr>
        <w:t>: First-mover potential in dedicated corporate edge-computing architectures.</w:t>
      </w:r>
    </w:p>
    <w:p w14:paraId="7D556F0B" w14:textId="04E1497A" w:rsidR="003324A9" w:rsidRPr="00573891" w:rsidRDefault="003324A9" w:rsidP="00421313">
      <w:pPr>
        <w:spacing w:line="360" w:lineRule="auto"/>
        <w:rPr>
          <w:rFonts w:ascii="Arial" w:hAnsi="Arial" w:cs="Arial"/>
          <w:sz w:val="22"/>
          <w:szCs w:val="22"/>
        </w:rPr>
      </w:pPr>
      <w:r w:rsidRPr="00573891">
        <w:rPr>
          <w:rFonts w:ascii="Arial" w:hAnsi="Arial" w:cs="Arial"/>
          <w:b/>
          <w:bCs/>
          <w:sz w:val="22"/>
          <w:szCs w:val="22"/>
        </w:rPr>
        <w:t>Synergy Realisation</w:t>
      </w:r>
      <w:r w:rsidRPr="00573891">
        <w:rPr>
          <w:rFonts w:ascii="Arial" w:hAnsi="Arial" w:cs="Arial"/>
          <w:sz w:val="22"/>
          <w:szCs w:val="22"/>
        </w:rPr>
        <w:t>: Unlocking targeted annual cost synergies of £700 million via site streamlining</w:t>
      </w:r>
      <w:r w:rsidR="000F3052">
        <w:rPr>
          <w:rFonts w:ascii="Arial" w:hAnsi="Arial" w:cs="Arial"/>
          <w:sz w:val="22"/>
          <w:szCs w:val="22"/>
        </w:rPr>
        <w:t xml:space="preserve"> (Total Telecom, 2026).</w:t>
      </w:r>
    </w:p>
    <w:p w14:paraId="51920629" w14:textId="77777777" w:rsidR="003324A9" w:rsidRPr="00573891" w:rsidRDefault="003324A9" w:rsidP="00421313">
      <w:pPr>
        <w:spacing w:line="360" w:lineRule="auto"/>
        <w:rPr>
          <w:rFonts w:ascii="Arial" w:hAnsi="Arial" w:cs="Arial"/>
          <w:sz w:val="22"/>
          <w:szCs w:val="22"/>
        </w:rPr>
      </w:pPr>
      <w:r w:rsidRPr="00573891">
        <w:rPr>
          <w:rFonts w:ascii="Arial" w:hAnsi="Arial" w:cs="Arial"/>
          <w:b/>
          <w:bCs/>
          <w:sz w:val="22"/>
          <w:szCs w:val="22"/>
        </w:rPr>
        <w:t>Convergence Bundling</w:t>
      </w:r>
      <w:r w:rsidRPr="00573891">
        <w:rPr>
          <w:rFonts w:ascii="Arial" w:hAnsi="Arial" w:cs="Arial"/>
          <w:sz w:val="22"/>
          <w:szCs w:val="22"/>
        </w:rPr>
        <w:t>: Cross-selling consumer and business offerings into Three's historical customer footprint.</w:t>
      </w:r>
    </w:p>
    <w:p w14:paraId="6A0334D3" w14:textId="77777777" w:rsidR="003324A9" w:rsidRPr="00573891" w:rsidRDefault="003324A9" w:rsidP="00421313">
      <w:pPr>
        <w:spacing w:line="360" w:lineRule="auto"/>
        <w:rPr>
          <w:rFonts w:ascii="Arial" w:hAnsi="Arial" w:cs="Arial"/>
          <w:b/>
          <w:bCs/>
          <w:sz w:val="22"/>
          <w:szCs w:val="22"/>
        </w:rPr>
      </w:pPr>
      <w:r w:rsidRPr="00573891">
        <w:rPr>
          <w:rFonts w:ascii="Arial" w:hAnsi="Arial" w:cs="Arial"/>
          <w:b/>
          <w:bCs/>
          <w:sz w:val="22"/>
          <w:szCs w:val="22"/>
        </w:rPr>
        <w:t>Threats</w:t>
      </w:r>
    </w:p>
    <w:p w14:paraId="180E6C01" w14:textId="5DA29E3D" w:rsidR="003324A9" w:rsidRPr="00573891" w:rsidRDefault="003324A9" w:rsidP="00421313">
      <w:pPr>
        <w:spacing w:line="360" w:lineRule="auto"/>
        <w:rPr>
          <w:rFonts w:ascii="Arial" w:hAnsi="Arial" w:cs="Arial"/>
          <w:sz w:val="22"/>
          <w:szCs w:val="22"/>
        </w:rPr>
      </w:pPr>
      <w:r w:rsidRPr="00573891">
        <w:rPr>
          <w:rFonts w:ascii="Arial" w:hAnsi="Arial" w:cs="Arial"/>
          <w:b/>
          <w:bCs/>
          <w:sz w:val="22"/>
          <w:szCs w:val="22"/>
        </w:rPr>
        <w:t>Regulatory Mandates</w:t>
      </w:r>
      <w:r w:rsidRPr="00573891">
        <w:rPr>
          <w:rFonts w:ascii="Arial" w:hAnsi="Arial" w:cs="Arial"/>
          <w:sz w:val="22"/>
          <w:szCs w:val="22"/>
        </w:rPr>
        <w:t>: Ongoing enforcement of tariff caps by Ofcom and the CMA limiting margin expansio</w:t>
      </w:r>
      <w:r w:rsidR="001F57F9">
        <w:rPr>
          <w:rFonts w:ascii="Arial" w:hAnsi="Arial" w:cs="Arial"/>
          <w:sz w:val="22"/>
          <w:szCs w:val="22"/>
        </w:rPr>
        <w:t xml:space="preserve">n (GOV.UK, 2025) </w:t>
      </w:r>
    </w:p>
    <w:p w14:paraId="7C5224AC" w14:textId="77777777" w:rsidR="003324A9" w:rsidRPr="00573891" w:rsidRDefault="003324A9" w:rsidP="00421313">
      <w:pPr>
        <w:spacing w:line="360" w:lineRule="auto"/>
        <w:rPr>
          <w:rFonts w:ascii="Arial" w:hAnsi="Arial" w:cs="Arial"/>
          <w:sz w:val="22"/>
          <w:szCs w:val="22"/>
        </w:rPr>
      </w:pPr>
      <w:r w:rsidRPr="00573891">
        <w:rPr>
          <w:rFonts w:ascii="Arial" w:hAnsi="Arial" w:cs="Arial"/>
          <w:b/>
          <w:bCs/>
          <w:sz w:val="22"/>
          <w:szCs w:val="22"/>
        </w:rPr>
        <w:t>Macro Shocks</w:t>
      </w:r>
      <w:r w:rsidRPr="00573891">
        <w:rPr>
          <w:rFonts w:ascii="Arial" w:hAnsi="Arial" w:cs="Arial"/>
          <w:sz w:val="22"/>
          <w:szCs w:val="22"/>
        </w:rPr>
        <w:t>: Persistent cost-of-living impacts depressing individual consumer spending profiles.</w:t>
      </w:r>
    </w:p>
    <w:p w14:paraId="4A87519E" w14:textId="4B22A20F" w:rsidR="009C7ED3" w:rsidRDefault="003324A9" w:rsidP="00421313">
      <w:pPr>
        <w:spacing w:line="360" w:lineRule="auto"/>
        <w:rPr>
          <w:rFonts w:ascii="Arial" w:hAnsi="Arial" w:cs="Arial"/>
          <w:sz w:val="22"/>
          <w:szCs w:val="22"/>
        </w:rPr>
      </w:pPr>
      <w:r w:rsidRPr="00573891">
        <w:rPr>
          <w:rFonts w:ascii="Arial" w:hAnsi="Arial" w:cs="Arial"/>
          <w:b/>
          <w:bCs/>
          <w:sz w:val="22"/>
          <w:szCs w:val="22"/>
        </w:rPr>
        <w:t>Aggressive Rivalry</w:t>
      </w:r>
      <w:r w:rsidRPr="00573891">
        <w:rPr>
          <w:rFonts w:ascii="Arial" w:hAnsi="Arial" w:cs="Arial"/>
          <w:sz w:val="22"/>
          <w:szCs w:val="22"/>
        </w:rPr>
        <w:t>: High-capital market defences executed by BT/EE and VMO2.</w:t>
      </w:r>
    </w:p>
    <w:p w14:paraId="31665675" w14:textId="7A60288D" w:rsidR="0023325E" w:rsidRPr="00F43971" w:rsidRDefault="0023325E" w:rsidP="00421313">
      <w:pPr>
        <w:pStyle w:val="ListParagraph"/>
        <w:numPr>
          <w:ilvl w:val="1"/>
          <w:numId w:val="21"/>
        </w:numPr>
        <w:spacing w:line="360" w:lineRule="auto"/>
        <w:rPr>
          <w:rFonts w:ascii="Arial" w:hAnsi="Arial" w:cs="Arial"/>
          <w:b/>
          <w:bCs/>
          <w:sz w:val="22"/>
          <w:szCs w:val="22"/>
        </w:rPr>
      </w:pPr>
      <w:r w:rsidRPr="00F43971">
        <w:rPr>
          <w:rFonts w:ascii="Arial" w:hAnsi="Arial" w:cs="Arial"/>
          <w:b/>
          <w:bCs/>
          <w:sz w:val="22"/>
          <w:szCs w:val="22"/>
        </w:rPr>
        <w:t>TOWS Strategic Matrix</w:t>
      </w:r>
      <w:r w:rsidR="004601A4" w:rsidRPr="00F43971">
        <w:rPr>
          <w:rFonts w:ascii="Arial" w:hAnsi="Arial" w:cs="Arial"/>
          <w:b/>
          <w:bCs/>
          <w:sz w:val="22"/>
          <w:szCs w:val="22"/>
        </w:rPr>
        <w:t xml:space="preserve"> (Appendix C)</w:t>
      </w:r>
    </w:p>
    <w:p w14:paraId="4345A0A6" w14:textId="45034A2E" w:rsidR="00D957E5" w:rsidRPr="00D957E5" w:rsidRDefault="0023325E" w:rsidP="00421313">
      <w:pPr>
        <w:spacing w:line="360" w:lineRule="auto"/>
        <w:rPr>
          <w:rFonts w:ascii="Arial" w:hAnsi="Arial" w:cs="Arial"/>
          <w:sz w:val="22"/>
          <w:szCs w:val="22"/>
        </w:rPr>
      </w:pPr>
      <w:proofErr w:type="gramStart"/>
      <w:r w:rsidRPr="00D957E5">
        <w:rPr>
          <w:rFonts w:ascii="Arial" w:hAnsi="Arial" w:cs="Arial"/>
          <w:b/>
          <w:bCs/>
          <w:sz w:val="22"/>
          <w:szCs w:val="22"/>
        </w:rPr>
        <w:t>SO</w:t>
      </w:r>
      <w:proofErr w:type="gramEnd"/>
      <w:r>
        <w:rPr>
          <w:rFonts w:ascii="Arial" w:hAnsi="Arial" w:cs="Arial"/>
          <w:b/>
          <w:bCs/>
          <w:sz w:val="22"/>
          <w:szCs w:val="22"/>
        </w:rPr>
        <w:t xml:space="preserve"> </w:t>
      </w:r>
      <w:r w:rsidR="00D957E5" w:rsidRPr="00D957E5">
        <w:rPr>
          <w:rFonts w:ascii="Arial" w:hAnsi="Arial" w:cs="Arial"/>
          <w:b/>
          <w:bCs/>
          <w:sz w:val="22"/>
          <w:szCs w:val="22"/>
        </w:rPr>
        <w:t>Strategies (Maxi-Maxi) – Leveraging Strengths to Exploit Opportunities:</w:t>
      </w:r>
    </w:p>
    <w:p w14:paraId="6130E156" w14:textId="77777777" w:rsidR="00D957E5" w:rsidRPr="00D957E5" w:rsidRDefault="00D957E5" w:rsidP="00421313">
      <w:pPr>
        <w:numPr>
          <w:ilvl w:val="0"/>
          <w:numId w:val="17"/>
        </w:numPr>
        <w:spacing w:line="360" w:lineRule="auto"/>
        <w:rPr>
          <w:rFonts w:ascii="Arial" w:hAnsi="Arial" w:cs="Arial"/>
          <w:sz w:val="22"/>
          <w:szCs w:val="22"/>
        </w:rPr>
      </w:pPr>
      <w:r w:rsidRPr="00D957E5">
        <w:rPr>
          <w:rFonts w:ascii="Arial" w:hAnsi="Arial" w:cs="Arial"/>
          <w:b/>
          <w:bCs/>
          <w:sz w:val="22"/>
          <w:szCs w:val="22"/>
        </w:rPr>
        <w:t>SO1 (Enterprise 5G Leadership):</w:t>
      </w:r>
      <w:r w:rsidRPr="00D957E5">
        <w:rPr>
          <w:rFonts w:ascii="Arial" w:hAnsi="Arial" w:cs="Arial"/>
          <w:sz w:val="22"/>
          <w:szCs w:val="22"/>
        </w:rPr>
        <w:t xml:space="preserve"> Deploy the newly optimized, combined spectrum portfolio to scale dedicated 5G network slicing and Multi-Access Edge Computing (MEC) architectures for large corporate clients (Ofcom, 2025; </w:t>
      </w:r>
      <w:hyperlink r:id="rId6" w:tgtFrame="_blank" w:history="1">
        <w:r w:rsidRPr="00D957E5">
          <w:rPr>
            <w:rStyle w:val="Hyperlink"/>
            <w:rFonts w:ascii="Arial" w:hAnsi="Arial" w:cs="Arial"/>
            <w:sz w:val="22"/>
            <w:szCs w:val="22"/>
          </w:rPr>
          <w:t>DSIT, 2024</w:t>
        </w:r>
      </w:hyperlink>
      <w:r w:rsidRPr="00D957E5">
        <w:rPr>
          <w:rFonts w:ascii="Arial" w:hAnsi="Arial" w:cs="Arial"/>
          <w:sz w:val="22"/>
          <w:szCs w:val="22"/>
        </w:rPr>
        <w:t>).</w:t>
      </w:r>
    </w:p>
    <w:p w14:paraId="2B4182B3" w14:textId="77777777" w:rsidR="00D957E5" w:rsidRPr="00D957E5" w:rsidRDefault="00D957E5" w:rsidP="00421313">
      <w:pPr>
        <w:numPr>
          <w:ilvl w:val="0"/>
          <w:numId w:val="17"/>
        </w:numPr>
        <w:spacing w:line="360" w:lineRule="auto"/>
        <w:rPr>
          <w:rFonts w:ascii="Arial" w:hAnsi="Arial" w:cs="Arial"/>
          <w:sz w:val="22"/>
          <w:szCs w:val="22"/>
        </w:rPr>
      </w:pPr>
      <w:r w:rsidRPr="00D957E5">
        <w:rPr>
          <w:rFonts w:ascii="Arial" w:hAnsi="Arial" w:cs="Arial"/>
          <w:b/>
          <w:bCs/>
          <w:sz w:val="22"/>
          <w:szCs w:val="22"/>
        </w:rPr>
        <w:t>SO2 (Convergence Cross-Selling):</w:t>
      </w:r>
      <w:r w:rsidRPr="00D957E5">
        <w:rPr>
          <w:rFonts w:ascii="Arial" w:hAnsi="Arial" w:cs="Arial"/>
          <w:sz w:val="22"/>
          <w:szCs w:val="22"/>
        </w:rPr>
        <w:t xml:space="preserve"> Leverage the combined 27 million customer base to cross-sell Fixed-Mobile Convergence (FMC) bundles into legacy Three UK mobile-only retail accounts (</w:t>
      </w:r>
      <w:hyperlink r:id="rId7" w:tgtFrame="_blank" w:history="1">
        <w:r w:rsidRPr="00D957E5">
          <w:rPr>
            <w:rStyle w:val="Hyperlink"/>
            <w:rFonts w:ascii="Arial" w:hAnsi="Arial" w:cs="Arial"/>
            <w:sz w:val="22"/>
            <w:szCs w:val="22"/>
          </w:rPr>
          <w:t>CMA, 2024</w:t>
        </w:r>
      </w:hyperlink>
      <w:r w:rsidRPr="00D957E5">
        <w:rPr>
          <w:rFonts w:ascii="Arial" w:hAnsi="Arial" w:cs="Arial"/>
          <w:sz w:val="22"/>
          <w:szCs w:val="22"/>
        </w:rPr>
        <w:t>).</w:t>
      </w:r>
    </w:p>
    <w:p w14:paraId="0B3FDA6F" w14:textId="2C991E3A" w:rsidR="00D957E5" w:rsidRPr="00D957E5" w:rsidRDefault="00D957E5" w:rsidP="00421313">
      <w:pPr>
        <w:spacing w:line="360" w:lineRule="auto"/>
        <w:rPr>
          <w:rFonts w:ascii="Arial" w:hAnsi="Arial" w:cs="Arial"/>
          <w:sz w:val="22"/>
          <w:szCs w:val="22"/>
        </w:rPr>
      </w:pPr>
      <w:r w:rsidRPr="00D957E5">
        <w:rPr>
          <w:rFonts w:ascii="Arial" w:hAnsi="Arial" w:cs="Arial"/>
          <w:b/>
          <w:bCs/>
          <w:sz w:val="22"/>
          <w:szCs w:val="22"/>
        </w:rPr>
        <w:t>WO Strategies (Mini-Maxi) – Overcoming Weaknesses by Capitalising on Opportunities:</w:t>
      </w:r>
    </w:p>
    <w:p w14:paraId="2BAB79CA" w14:textId="77777777" w:rsidR="00D957E5" w:rsidRPr="00D957E5" w:rsidRDefault="00D957E5" w:rsidP="00421313">
      <w:pPr>
        <w:numPr>
          <w:ilvl w:val="0"/>
          <w:numId w:val="18"/>
        </w:numPr>
        <w:spacing w:line="360" w:lineRule="auto"/>
        <w:rPr>
          <w:rFonts w:ascii="Arial" w:hAnsi="Arial" w:cs="Arial"/>
          <w:sz w:val="22"/>
          <w:szCs w:val="22"/>
        </w:rPr>
      </w:pPr>
      <w:r w:rsidRPr="00D957E5">
        <w:rPr>
          <w:rFonts w:ascii="Arial" w:hAnsi="Arial" w:cs="Arial"/>
          <w:b/>
          <w:bCs/>
          <w:sz w:val="22"/>
          <w:szCs w:val="22"/>
        </w:rPr>
        <w:t>WO1 (Synergy-Funded Integration):</w:t>
      </w:r>
      <w:r w:rsidRPr="00D957E5">
        <w:rPr>
          <w:rFonts w:ascii="Arial" w:hAnsi="Arial" w:cs="Arial"/>
          <w:sz w:val="22"/>
          <w:szCs w:val="22"/>
        </w:rPr>
        <w:t xml:space="preserve"> Channel the targeted £700 million annual cost synergies directly into streamlining the integration of disparate legacy IT systems and operational infrastructure (</w:t>
      </w:r>
      <w:hyperlink r:id="rId8" w:tgtFrame="_blank" w:history="1">
        <w:r w:rsidRPr="00D957E5">
          <w:rPr>
            <w:rStyle w:val="Hyperlink"/>
            <w:rFonts w:ascii="Arial" w:hAnsi="Arial" w:cs="Arial"/>
            <w:sz w:val="22"/>
            <w:szCs w:val="22"/>
          </w:rPr>
          <w:t>Total Telecom, 2026</w:t>
        </w:r>
      </w:hyperlink>
      <w:r w:rsidRPr="00D957E5">
        <w:rPr>
          <w:rFonts w:ascii="Arial" w:hAnsi="Arial" w:cs="Arial"/>
          <w:sz w:val="22"/>
          <w:szCs w:val="22"/>
        </w:rPr>
        <w:t>).</w:t>
      </w:r>
    </w:p>
    <w:p w14:paraId="1BF88B5A" w14:textId="77777777" w:rsidR="0023325E" w:rsidRDefault="00D957E5" w:rsidP="00421313">
      <w:pPr>
        <w:numPr>
          <w:ilvl w:val="0"/>
          <w:numId w:val="18"/>
        </w:numPr>
        <w:spacing w:line="360" w:lineRule="auto"/>
        <w:rPr>
          <w:rFonts w:ascii="Arial" w:hAnsi="Arial" w:cs="Arial"/>
          <w:sz w:val="22"/>
          <w:szCs w:val="22"/>
        </w:rPr>
      </w:pPr>
      <w:r w:rsidRPr="00D957E5">
        <w:rPr>
          <w:rFonts w:ascii="Arial" w:hAnsi="Arial" w:cs="Arial"/>
          <w:b/>
          <w:bCs/>
          <w:sz w:val="22"/>
          <w:szCs w:val="22"/>
        </w:rPr>
        <w:lastRenderedPageBreak/>
        <w:t>WO2 (Capex ROI Maximisation):</w:t>
      </w:r>
      <w:r w:rsidRPr="00D957E5">
        <w:rPr>
          <w:rFonts w:ascii="Arial" w:hAnsi="Arial" w:cs="Arial"/>
          <w:sz w:val="22"/>
          <w:szCs w:val="22"/>
        </w:rPr>
        <w:t xml:space="preserve"> Direct the legally binding £11 billion investment blueprint toward revenue-generating corporate IoT and B2B edge architectures to offset immediate free cash flow restrictions (</w:t>
      </w:r>
      <w:hyperlink r:id="rId9" w:tgtFrame="_blank" w:history="1">
        <w:r w:rsidRPr="00D957E5">
          <w:rPr>
            <w:rStyle w:val="Hyperlink"/>
            <w:rFonts w:ascii="Arial" w:hAnsi="Arial" w:cs="Arial"/>
            <w:sz w:val="22"/>
            <w:szCs w:val="22"/>
          </w:rPr>
          <w:t>Clifford Chance, 2024</w:t>
        </w:r>
      </w:hyperlink>
      <w:r w:rsidRPr="00D957E5">
        <w:rPr>
          <w:rFonts w:ascii="Arial" w:hAnsi="Arial" w:cs="Arial"/>
          <w:sz w:val="22"/>
          <w:szCs w:val="22"/>
        </w:rPr>
        <w:t>).</w:t>
      </w:r>
    </w:p>
    <w:p w14:paraId="08482C48" w14:textId="1C0236AF" w:rsidR="00D957E5" w:rsidRPr="0023325E" w:rsidRDefault="00D957E5" w:rsidP="00421313">
      <w:pPr>
        <w:spacing w:line="360" w:lineRule="auto"/>
        <w:rPr>
          <w:rFonts w:ascii="Arial" w:hAnsi="Arial" w:cs="Arial"/>
          <w:sz w:val="22"/>
          <w:szCs w:val="22"/>
        </w:rPr>
      </w:pPr>
      <w:r w:rsidRPr="0023325E">
        <w:rPr>
          <w:rFonts w:ascii="Arial" w:hAnsi="Arial" w:cs="Arial"/>
          <w:b/>
          <w:bCs/>
          <w:sz w:val="22"/>
          <w:szCs w:val="22"/>
        </w:rPr>
        <w:t>ST Strategies (Maxi-Mini) – Using Strengths to Neutralise Threats:</w:t>
      </w:r>
    </w:p>
    <w:p w14:paraId="53D774D6" w14:textId="52B4A861" w:rsidR="00D957E5" w:rsidRPr="00D957E5" w:rsidRDefault="00D957E5" w:rsidP="00421313">
      <w:pPr>
        <w:numPr>
          <w:ilvl w:val="0"/>
          <w:numId w:val="19"/>
        </w:numPr>
        <w:spacing w:line="360" w:lineRule="auto"/>
        <w:rPr>
          <w:rFonts w:ascii="Arial" w:hAnsi="Arial" w:cs="Arial"/>
          <w:sz w:val="22"/>
          <w:szCs w:val="22"/>
        </w:rPr>
      </w:pPr>
      <w:r w:rsidRPr="00D957E5">
        <w:rPr>
          <w:rFonts w:ascii="Arial" w:hAnsi="Arial" w:cs="Arial"/>
          <w:b/>
          <w:bCs/>
          <w:sz w:val="22"/>
          <w:szCs w:val="22"/>
        </w:rPr>
        <w:t xml:space="preserve">ST1 (Premium B2B Margin </w:t>
      </w:r>
      <w:r w:rsidR="004A737C" w:rsidRPr="00D957E5">
        <w:rPr>
          <w:rFonts w:ascii="Arial" w:hAnsi="Arial" w:cs="Arial"/>
          <w:b/>
          <w:bCs/>
          <w:sz w:val="22"/>
          <w:szCs w:val="22"/>
        </w:rPr>
        <w:t>Defence</w:t>
      </w:r>
      <w:r w:rsidRPr="00D957E5">
        <w:rPr>
          <w:rFonts w:ascii="Arial" w:hAnsi="Arial" w:cs="Arial"/>
          <w:b/>
          <w:bCs/>
          <w:sz w:val="22"/>
          <w:szCs w:val="22"/>
        </w:rPr>
        <w:t>):</w:t>
      </w:r>
      <w:r w:rsidRPr="00D957E5">
        <w:rPr>
          <w:rFonts w:ascii="Arial" w:hAnsi="Arial" w:cs="Arial"/>
          <w:sz w:val="22"/>
          <w:szCs w:val="22"/>
        </w:rPr>
        <w:t xml:space="preserve"> Counter aggressive high-capital market </w:t>
      </w:r>
      <w:r w:rsidR="004A737C" w:rsidRPr="00D957E5">
        <w:rPr>
          <w:rFonts w:ascii="Arial" w:hAnsi="Arial" w:cs="Arial"/>
          <w:sz w:val="22"/>
          <w:szCs w:val="22"/>
        </w:rPr>
        <w:t>defences</w:t>
      </w:r>
      <w:r w:rsidRPr="00D957E5">
        <w:rPr>
          <w:rFonts w:ascii="Arial" w:hAnsi="Arial" w:cs="Arial"/>
          <w:sz w:val="22"/>
          <w:szCs w:val="22"/>
        </w:rPr>
        <w:t xml:space="preserve"> from BT/EE and VMO2 by securing high-margin enterprise and industrial IoT contracts that are less sensitive to retail tariff caps (CMA, 2024).</w:t>
      </w:r>
    </w:p>
    <w:p w14:paraId="0BAA15CE" w14:textId="77777777" w:rsidR="00D957E5" w:rsidRPr="00D957E5" w:rsidRDefault="00D957E5" w:rsidP="00421313">
      <w:pPr>
        <w:numPr>
          <w:ilvl w:val="0"/>
          <w:numId w:val="19"/>
        </w:numPr>
        <w:spacing w:line="360" w:lineRule="auto"/>
        <w:rPr>
          <w:rFonts w:ascii="Arial" w:hAnsi="Arial" w:cs="Arial"/>
          <w:sz w:val="22"/>
          <w:szCs w:val="22"/>
        </w:rPr>
      </w:pPr>
      <w:r w:rsidRPr="00D957E5">
        <w:rPr>
          <w:rFonts w:ascii="Arial" w:hAnsi="Arial" w:cs="Arial"/>
          <w:b/>
          <w:bCs/>
          <w:sz w:val="22"/>
          <w:szCs w:val="22"/>
        </w:rPr>
        <w:t>ST2 (Value-Driven Scale Safeguards):</w:t>
      </w:r>
      <w:r w:rsidRPr="00D957E5">
        <w:rPr>
          <w:rFonts w:ascii="Arial" w:hAnsi="Arial" w:cs="Arial"/>
          <w:sz w:val="22"/>
          <w:szCs w:val="22"/>
        </w:rPr>
        <w:t xml:space="preserve"> Utilize unmatched combined network capacity to maintain high service reliability, defending the massive 27 million subscriber footprint during the ongoing cost-of-living crisis without dropping prices.</w:t>
      </w:r>
    </w:p>
    <w:p w14:paraId="17132E12" w14:textId="53925BAA" w:rsidR="00D957E5" w:rsidRPr="00D957E5" w:rsidRDefault="00D957E5" w:rsidP="00421313">
      <w:pPr>
        <w:spacing w:line="360" w:lineRule="auto"/>
        <w:rPr>
          <w:rFonts w:ascii="Arial" w:hAnsi="Arial" w:cs="Arial"/>
          <w:sz w:val="22"/>
          <w:szCs w:val="22"/>
        </w:rPr>
      </w:pPr>
      <w:r w:rsidRPr="00D957E5">
        <w:rPr>
          <w:rFonts w:ascii="Arial" w:hAnsi="Arial" w:cs="Arial"/>
          <w:b/>
          <w:bCs/>
          <w:sz w:val="22"/>
          <w:szCs w:val="22"/>
        </w:rPr>
        <w:t>WT Strategies (Mini-Mini) – Minimising Weaknesses and Avoiding Threats:</w:t>
      </w:r>
    </w:p>
    <w:p w14:paraId="55DB1EC9" w14:textId="77777777" w:rsidR="00D957E5" w:rsidRPr="00D957E5" w:rsidRDefault="00D957E5" w:rsidP="00421313">
      <w:pPr>
        <w:numPr>
          <w:ilvl w:val="0"/>
          <w:numId w:val="20"/>
        </w:numPr>
        <w:spacing w:line="360" w:lineRule="auto"/>
        <w:rPr>
          <w:rFonts w:ascii="Arial" w:hAnsi="Arial" w:cs="Arial"/>
          <w:sz w:val="22"/>
          <w:szCs w:val="22"/>
        </w:rPr>
      </w:pPr>
      <w:r w:rsidRPr="00D957E5">
        <w:rPr>
          <w:rFonts w:ascii="Arial" w:hAnsi="Arial" w:cs="Arial"/>
          <w:b/>
          <w:bCs/>
          <w:sz w:val="22"/>
          <w:szCs w:val="22"/>
        </w:rPr>
        <w:t>WT1 (Compliant Infrastructure Consolidation):</w:t>
      </w:r>
      <w:r w:rsidRPr="00D957E5">
        <w:rPr>
          <w:rFonts w:ascii="Arial" w:hAnsi="Arial" w:cs="Arial"/>
          <w:sz w:val="22"/>
          <w:szCs w:val="22"/>
        </w:rPr>
        <w:t xml:space="preserve"> Execute site decommissioning carefully during consolidation to ensure compliance with the 3-year retail tariff protections, avoiding regulatory fines from Ofcom while cutting costs (</w:t>
      </w:r>
      <w:hyperlink r:id="rId10" w:tgtFrame="_blank" w:history="1">
        <w:r w:rsidRPr="00D957E5">
          <w:rPr>
            <w:rStyle w:val="Hyperlink"/>
            <w:rFonts w:ascii="Arial" w:hAnsi="Arial" w:cs="Arial"/>
            <w:sz w:val="22"/>
            <w:szCs w:val="22"/>
          </w:rPr>
          <w:t>GOV.UK, 2025</w:t>
        </w:r>
      </w:hyperlink>
      <w:r w:rsidRPr="00D957E5">
        <w:rPr>
          <w:rFonts w:ascii="Arial" w:hAnsi="Arial" w:cs="Arial"/>
          <w:sz w:val="22"/>
          <w:szCs w:val="22"/>
        </w:rPr>
        <w:t>).</w:t>
      </w:r>
    </w:p>
    <w:p w14:paraId="5238F257" w14:textId="77777777" w:rsidR="00D957E5" w:rsidRPr="00D957E5" w:rsidRDefault="00D957E5" w:rsidP="00421313">
      <w:pPr>
        <w:numPr>
          <w:ilvl w:val="0"/>
          <w:numId w:val="20"/>
        </w:numPr>
        <w:spacing w:line="360" w:lineRule="auto"/>
        <w:rPr>
          <w:rFonts w:ascii="Arial" w:hAnsi="Arial" w:cs="Arial"/>
          <w:sz w:val="22"/>
          <w:szCs w:val="22"/>
        </w:rPr>
      </w:pPr>
      <w:r w:rsidRPr="00D957E5">
        <w:rPr>
          <w:rFonts w:ascii="Arial" w:hAnsi="Arial" w:cs="Arial"/>
          <w:b/>
          <w:bCs/>
          <w:sz w:val="22"/>
          <w:szCs w:val="22"/>
        </w:rPr>
        <w:t>WT2 (Legacy Risk Mitigation):</w:t>
      </w:r>
      <w:r w:rsidRPr="00D957E5">
        <w:rPr>
          <w:rFonts w:ascii="Arial" w:hAnsi="Arial" w:cs="Arial"/>
          <w:sz w:val="22"/>
          <w:szCs w:val="22"/>
        </w:rPr>
        <w:t xml:space="preserve"> Phase out problematic legacy core systems rapidly to decrease cybersecurity and operational vulnerabilities, ensuring strict compliance with the UK Telecommunications (Security) Act under strict budget controls.</w:t>
      </w:r>
    </w:p>
    <w:p w14:paraId="23827F4F" w14:textId="494FB5EC" w:rsidR="00983494" w:rsidRPr="009C7ED3" w:rsidRDefault="00983494" w:rsidP="00421313">
      <w:pPr>
        <w:spacing w:line="360" w:lineRule="auto"/>
        <w:rPr>
          <w:rFonts w:ascii="Arial" w:hAnsi="Arial" w:cs="Arial"/>
          <w:b/>
          <w:bCs/>
          <w:sz w:val="22"/>
          <w:szCs w:val="22"/>
        </w:rPr>
      </w:pPr>
      <w:r w:rsidRPr="009C7ED3">
        <w:rPr>
          <w:rFonts w:ascii="Arial" w:hAnsi="Arial" w:cs="Arial"/>
          <w:b/>
          <w:bCs/>
          <w:sz w:val="22"/>
          <w:szCs w:val="22"/>
        </w:rPr>
        <w:t>Summary of Market Situation</w:t>
      </w:r>
    </w:p>
    <w:p w14:paraId="00AFD976" w14:textId="3A4CBEC4" w:rsidR="009F5662" w:rsidRPr="00573891" w:rsidRDefault="00983494" w:rsidP="00421313">
      <w:pPr>
        <w:spacing w:line="360" w:lineRule="auto"/>
        <w:ind w:firstLine="720"/>
        <w:rPr>
          <w:rFonts w:ascii="Arial" w:hAnsi="Arial" w:cs="Arial"/>
          <w:sz w:val="22"/>
          <w:szCs w:val="22"/>
        </w:rPr>
      </w:pPr>
      <w:r w:rsidRPr="00573891">
        <w:rPr>
          <w:rFonts w:ascii="Arial" w:hAnsi="Arial" w:cs="Arial"/>
          <w:sz w:val="22"/>
          <w:szCs w:val="22"/>
        </w:rPr>
        <w:t xml:space="preserve">VodafoneThree occupies a leading position in the UK telecom landscape by </w:t>
      </w:r>
      <w:r w:rsidR="00402AB4" w:rsidRPr="00573891">
        <w:rPr>
          <w:rFonts w:ascii="Arial" w:hAnsi="Arial" w:cs="Arial"/>
          <w:sz w:val="22"/>
          <w:szCs w:val="22"/>
        </w:rPr>
        <w:t>scale but</w:t>
      </w:r>
      <w:r w:rsidRPr="00573891">
        <w:rPr>
          <w:rFonts w:ascii="Arial" w:hAnsi="Arial" w:cs="Arial"/>
          <w:sz w:val="22"/>
          <w:szCs w:val="22"/>
        </w:rPr>
        <w:t xml:space="preserve"> remains bound to strict regulatory performance parameters. The macro-environment </w:t>
      </w:r>
      <w:r w:rsidR="00402AB4" w:rsidRPr="00573891">
        <w:rPr>
          <w:rFonts w:ascii="Arial" w:hAnsi="Arial" w:cs="Arial"/>
          <w:sz w:val="22"/>
          <w:szCs w:val="22"/>
        </w:rPr>
        <w:t>favours</w:t>
      </w:r>
      <w:r w:rsidRPr="00573891">
        <w:rPr>
          <w:rFonts w:ascii="Arial" w:hAnsi="Arial" w:cs="Arial"/>
          <w:sz w:val="22"/>
          <w:szCs w:val="22"/>
        </w:rPr>
        <w:t xml:space="preserve"> rapid technological adoption, while sector economics dictate that profitability depends on structural integration and capturing high-value corporate B2B revenue streams.</w:t>
      </w:r>
    </w:p>
    <w:p w14:paraId="64E392D2" w14:textId="78F9992C" w:rsidR="0041389C" w:rsidRPr="00F43971" w:rsidRDefault="0041389C" w:rsidP="00421313">
      <w:pPr>
        <w:pStyle w:val="ListParagraph"/>
        <w:numPr>
          <w:ilvl w:val="0"/>
          <w:numId w:val="21"/>
        </w:numPr>
        <w:spacing w:line="360" w:lineRule="auto"/>
        <w:rPr>
          <w:rFonts w:ascii="Arial" w:hAnsi="Arial" w:cs="Arial"/>
          <w:b/>
          <w:bCs/>
          <w:sz w:val="22"/>
          <w:szCs w:val="22"/>
        </w:rPr>
      </w:pPr>
      <w:r w:rsidRPr="00F43971">
        <w:rPr>
          <w:rFonts w:ascii="Arial" w:hAnsi="Arial" w:cs="Arial"/>
          <w:b/>
          <w:bCs/>
          <w:sz w:val="22"/>
          <w:szCs w:val="22"/>
        </w:rPr>
        <w:t>Strategic Growth Options and Proposed Strategy</w:t>
      </w:r>
    </w:p>
    <w:p w14:paraId="09847FCC" w14:textId="77777777" w:rsidR="0041389C" w:rsidRPr="00573891" w:rsidRDefault="0041389C" w:rsidP="00421313">
      <w:pPr>
        <w:spacing w:line="360" w:lineRule="auto"/>
        <w:ind w:firstLine="720"/>
        <w:rPr>
          <w:rFonts w:ascii="Arial" w:hAnsi="Arial" w:cs="Arial"/>
          <w:sz w:val="22"/>
          <w:szCs w:val="22"/>
        </w:rPr>
      </w:pPr>
      <w:r w:rsidRPr="00573891">
        <w:rPr>
          <w:rFonts w:ascii="Arial" w:hAnsi="Arial" w:cs="Arial"/>
          <w:sz w:val="22"/>
          <w:szCs w:val="22"/>
        </w:rPr>
        <w:t>To secure sustainable market leadership post-merger, VodafoneThree must evaluate its strategic growth trajectories using established corporate frameworks. This section evaluates potential strategic alternatives and justifies a definitive path forward that aligns with Vodafone’s corporate values.</w:t>
      </w:r>
    </w:p>
    <w:p w14:paraId="3B27721A" w14:textId="0E324E1E" w:rsidR="0041389C" w:rsidRPr="00F43971" w:rsidRDefault="0041389C" w:rsidP="00421313">
      <w:pPr>
        <w:pStyle w:val="ListParagraph"/>
        <w:numPr>
          <w:ilvl w:val="1"/>
          <w:numId w:val="21"/>
        </w:numPr>
        <w:spacing w:line="360" w:lineRule="auto"/>
        <w:rPr>
          <w:rFonts w:ascii="Arial" w:hAnsi="Arial" w:cs="Arial"/>
          <w:b/>
          <w:bCs/>
          <w:sz w:val="22"/>
          <w:szCs w:val="22"/>
        </w:rPr>
      </w:pPr>
      <w:r w:rsidRPr="00F43971">
        <w:rPr>
          <w:rFonts w:ascii="Arial" w:hAnsi="Arial" w:cs="Arial"/>
          <w:b/>
          <w:bCs/>
          <w:sz w:val="22"/>
          <w:szCs w:val="22"/>
        </w:rPr>
        <w:t>Evaluation of Growth Paths via Ansoff Matrix</w:t>
      </w:r>
    </w:p>
    <w:p w14:paraId="735123BD" w14:textId="77777777" w:rsidR="0041389C" w:rsidRPr="00573891" w:rsidRDefault="0041389C" w:rsidP="00421313">
      <w:pPr>
        <w:spacing w:line="360" w:lineRule="auto"/>
        <w:rPr>
          <w:rFonts w:ascii="Arial" w:hAnsi="Arial" w:cs="Arial"/>
          <w:sz w:val="22"/>
          <w:szCs w:val="22"/>
        </w:rPr>
      </w:pPr>
      <w:r w:rsidRPr="00573891">
        <w:rPr>
          <w:rFonts w:ascii="Arial" w:hAnsi="Arial" w:cs="Arial"/>
          <w:sz w:val="22"/>
          <w:szCs w:val="22"/>
        </w:rPr>
        <w:t>The Ansoff Matrix provides a structural framework to identify growth options by cross-referencing products against markets (Ansoff, 1957; Grant, 2021).</w:t>
      </w:r>
    </w:p>
    <w:p w14:paraId="0AD4F0C4" w14:textId="77777777" w:rsidR="0041389C" w:rsidRPr="00573891" w:rsidRDefault="0041389C" w:rsidP="00421313">
      <w:pPr>
        <w:numPr>
          <w:ilvl w:val="0"/>
          <w:numId w:val="8"/>
        </w:numPr>
        <w:spacing w:line="360" w:lineRule="auto"/>
        <w:rPr>
          <w:rFonts w:ascii="Arial" w:hAnsi="Arial" w:cs="Arial"/>
          <w:sz w:val="22"/>
          <w:szCs w:val="22"/>
        </w:rPr>
      </w:pPr>
      <w:r w:rsidRPr="00573891">
        <w:rPr>
          <w:rFonts w:ascii="Arial" w:hAnsi="Arial" w:cs="Arial"/>
          <w:b/>
          <w:bCs/>
          <w:sz w:val="22"/>
          <w:szCs w:val="22"/>
        </w:rPr>
        <w:lastRenderedPageBreak/>
        <w:t>Market Penetration (Existing Products, Existing Markets)</w:t>
      </w:r>
      <w:r w:rsidRPr="00573891">
        <w:rPr>
          <w:rFonts w:ascii="Arial" w:hAnsi="Arial" w:cs="Arial"/>
          <w:sz w:val="22"/>
          <w:szCs w:val="22"/>
        </w:rPr>
        <w:t>: VodafoneThree can leverage its combined infrastructure to aggressively acquire retail subscribers from BT/EE and VMO2. While the newly expanded 4G and standalone 5G network speeds immediately eliminate regional "not spots" (Vodafone Group, 2025), relying solely on price-driven acquisition risks low margins due to regulatory retail tariff caps imposed by the CMA.</w:t>
      </w:r>
    </w:p>
    <w:p w14:paraId="26254048" w14:textId="77777777" w:rsidR="0041389C" w:rsidRPr="00573891" w:rsidRDefault="0041389C" w:rsidP="00421313">
      <w:pPr>
        <w:numPr>
          <w:ilvl w:val="0"/>
          <w:numId w:val="8"/>
        </w:numPr>
        <w:spacing w:line="360" w:lineRule="auto"/>
        <w:rPr>
          <w:rFonts w:ascii="Arial" w:hAnsi="Arial" w:cs="Arial"/>
          <w:sz w:val="22"/>
          <w:szCs w:val="22"/>
        </w:rPr>
      </w:pPr>
      <w:r w:rsidRPr="00573891">
        <w:rPr>
          <w:rFonts w:ascii="Arial" w:hAnsi="Arial" w:cs="Arial"/>
          <w:b/>
          <w:bCs/>
          <w:sz w:val="22"/>
          <w:szCs w:val="22"/>
        </w:rPr>
        <w:t>Market Development (Existing Products, New Markets)</w:t>
      </w:r>
      <w:r w:rsidRPr="00573891">
        <w:rPr>
          <w:rFonts w:ascii="Arial" w:hAnsi="Arial" w:cs="Arial"/>
          <w:sz w:val="22"/>
          <w:szCs w:val="22"/>
        </w:rPr>
        <w:t>: This path would involve leveraging the corporate entity's massive UK scale to push consumer telecom services into entirely fresh territories. However, since the UK telecom sector is highly saturated and geographically finite, geographic market expansion within the core telecom sector yields low incremental value.</w:t>
      </w:r>
    </w:p>
    <w:p w14:paraId="7E1FE305" w14:textId="77777777" w:rsidR="0041389C" w:rsidRPr="00573891" w:rsidRDefault="0041389C" w:rsidP="00421313">
      <w:pPr>
        <w:numPr>
          <w:ilvl w:val="0"/>
          <w:numId w:val="8"/>
        </w:numPr>
        <w:spacing w:line="360" w:lineRule="auto"/>
        <w:rPr>
          <w:rFonts w:ascii="Arial" w:hAnsi="Arial" w:cs="Arial"/>
          <w:sz w:val="22"/>
          <w:szCs w:val="22"/>
        </w:rPr>
      </w:pPr>
      <w:r w:rsidRPr="00573891">
        <w:rPr>
          <w:rFonts w:ascii="Arial" w:hAnsi="Arial" w:cs="Arial"/>
          <w:b/>
          <w:bCs/>
          <w:sz w:val="22"/>
          <w:szCs w:val="22"/>
        </w:rPr>
        <w:t>Diversification (New Products, New Markets)</w:t>
      </w:r>
      <w:r w:rsidRPr="00573891">
        <w:rPr>
          <w:rFonts w:ascii="Arial" w:hAnsi="Arial" w:cs="Arial"/>
          <w:sz w:val="22"/>
          <w:szCs w:val="22"/>
        </w:rPr>
        <w:t>: Entering entirely unrelated industries presents high operational friction and risks diluting corporate resources during a critical multi-year post-merger integration phase (Johnson et al., 2023).</w:t>
      </w:r>
    </w:p>
    <w:p w14:paraId="285520FE" w14:textId="77777777" w:rsidR="0041389C" w:rsidRPr="00573891" w:rsidRDefault="0041389C" w:rsidP="00421313">
      <w:pPr>
        <w:numPr>
          <w:ilvl w:val="0"/>
          <w:numId w:val="8"/>
        </w:numPr>
        <w:spacing w:line="360" w:lineRule="auto"/>
        <w:rPr>
          <w:rFonts w:ascii="Arial" w:hAnsi="Arial" w:cs="Arial"/>
          <w:sz w:val="22"/>
          <w:szCs w:val="22"/>
        </w:rPr>
      </w:pPr>
      <w:r w:rsidRPr="00573891">
        <w:rPr>
          <w:rFonts w:ascii="Arial" w:hAnsi="Arial" w:cs="Arial"/>
          <w:b/>
          <w:bCs/>
          <w:sz w:val="22"/>
          <w:szCs w:val="22"/>
        </w:rPr>
        <w:t>Product Development (New Products, Existing Markets)</w:t>
      </w:r>
      <w:r w:rsidRPr="00573891">
        <w:rPr>
          <w:rFonts w:ascii="Arial" w:hAnsi="Arial" w:cs="Arial"/>
          <w:sz w:val="22"/>
          <w:szCs w:val="22"/>
        </w:rPr>
        <w:t>: This represents the most viable strategic path. By exploiting the unprecedented £11 billion structural investment plan, VodafoneThree can develop next-generation B2B architectures. These include advanced Multi-Access Edge Computing (MEC), ultra-secure network slicing, and custom Internet of Things (IoT) ecosystems tailored for smart cities and autonomous logistics (Salsberg et al., 2023).</w:t>
      </w:r>
    </w:p>
    <w:p w14:paraId="64DF7295" w14:textId="36186BD6" w:rsidR="0041389C" w:rsidRPr="00F43971" w:rsidRDefault="0041389C" w:rsidP="00421313">
      <w:pPr>
        <w:pStyle w:val="ListParagraph"/>
        <w:numPr>
          <w:ilvl w:val="1"/>
          <w:numId w:val="21"/>
        </w:numPr>
        <w:spacing w:line="360" w:lineRule="auto"/>
        <w:rPr>
          <w:rFonts w:ascii="Arial" w:hAnsi="Arial" w:cs="Arial"/>
          <w:b/>
          <w:bCs/>
          <w:sz w:val="22"/>
          <w:szCs w:val="22"/>
        </w:rPr>
      </w:pPr>
      <w:r w:rsidRPr="00F43971">
        <w:rPr>
          <w:rFonts w:ascii="Arial" w:hAnsi="Arial" w:cs="Arial"/>
          <w:b/>
          <w:bCs/>
          <w:sz w:val="22"/>
          <w:szCs w:val="22"/>
        </w:rPr>
        <w:t>Proposed Strategy via Porter’s Generic Framework</w:t>
      </w:r>
    </w:p>
    <w:p w14:paraId="6B3BB4D0" w14:textId="5F487B32" w:rsidR="0041389C" w:rsidRPr="00573891" w:rsidRDefault="0041389C" w:rsidP="00421313">
      <w:pPr>
        <w:spacing w:line="360" w:lineRule="auto"/>
        <w:rPr>
          <w:rFonts w:ascii="Arial" w:hAnsi="Arial" w:cs="Arial"/>
          <w:sz w:val="22"/>
          <w:szCs w:val="22"/>
        </w:rPr>
      </w:pPr>
      <w:r w:rsidRPr="00573891">
        <w:rPr>
          <w:rFonts w:ascii="Arial" w:hAnsi="Arial" w:cs="Arial"/>
          <w:sz w:val="22"/>
          <w:szCs w:val="22"/>
        </w:rPr>
        <w:t xml:space="preserve">Applying Porter’s Generic Strategies (Porter, 1985; Hill, 2024), VodafoneThree should reject a pure "Cost Leadership" approach. Although the merger targets £700 million in annual operational synergies, competing solely on </w:t>
      </w:r>
      <w:r w:rsidR="00290836" w:rsidRPr="00573891">
        <w:rPr>
          <w:rFonts w:ascii="Arial" w:hAnsi="Arial" w:cs="Arial"/>
          <w:sz w:val="22"/>
          <w:szCs w:val="22"/>
        </w:rPr>
        <w:t>low-cost</w:t>
      </w:r>
      <w:r w:rsidRPr="00573891">
        <w:rPr>
          <w:rFonts w:ascii="Arial" w:hAnsi="Arial" w:cs="Arial"/>
          <w:sz w:val="22"/>
          <w:szCs w:val="22"/>
        </w:rPr>
        <w:t xml:space="preserve"> triggers margin erosion.</w:t>
      </w:r>
    </w:p>
    <w:p w14:paraId="6C9484F9" w14:textId="77777777" w:rsidR="0041389C" w:rsidRPr="00573891" w:rsidRDefault="0041389C" w:rsidP="00421313">
      <w:pPr>
        <w:spacing w:line="360" w:lineRule="auto"/>
        <w:rPr>
          <w:rFonts w:ascii="Arial" w:hAnsi="Arial" w:cs="Arial"/>
          <w:sz w:val="22"/>
          <w:szCs w:val="22"/>
        </w:rPr>
      </w:pPr>
      <w:r w:rsidRPr="00573891">
        <w:rPr>
          <w:rFonts w:ascii="Arial" w:hAnsi="Arial" w:cs="Arial"/>
          <w:sz w:val="22"/>
          <w:szCs w:val="22"/>
        </w:rPr>
        <w:t xml:space="preserve">Instead, the recommended approach is a </w:t>
      </w:r>
      <w:r w:rsidRPr="00573891">
        <w:rPr>
          <w:rFonts w:ascii="Arial" w:hAnsi="Arial" w:cs="Arial"/>
          <w:b/>
          <w:bCs/>
          <w:sz w:val="22"/>
          <w:szCs w:val="22"/>
        </w:rPr>
        <w:t>Focused Differentiation strategy</w:t>
      </w:r>
      <w:r w:rsidRPr="00573891">
        <w:rPr>
          <w:rFonts w:ascii="Arial" w:hAnsi="Arial" w:cs="Arial"/>
          <w:sz w:val="22"/>
          <w:szCs w:val="22"/>
        </w:rPr>
        <w:t xml:space="preserve"> aimed directly at the high-margin </w:t>
      </w:r>
      <w:r w:rsidRPr="00573891">
        <w:rPr>
          <w:rFonts w:ascii="Arial" w:hAnsi="Arial" w:cs="Arial"/>
          <w:b/>
          <w:bCs/>
          <w:sz w:val="22"/>
          <w:szCs w:val="22"/>
        </w:rPr>
        <w:t>Enterprise B2B and Smart Infrastructure sectors</w:t>
      </w:r>
      <w:r w:rsidRPr="00573891">
        <w:rPr>
          <w:rFonts w:ascii="Arial" w:hAnsi="Arial" w:cs="Arial"/>
          <w:sz w:val="22"/>
          <w:szCs w:val="22"/>
        </w:rPr>
        <w:t>. By deploying the UK’s leading standalone 5G network, VodafoneThree can offer corporate clients bespoke, zero-latency digital platforms that competitors with fragmented legacy assets cannot match. This creates a powerful competitive advantage built on premium, specialized utility rather than commoditized pricing.</w:t>
      </w:r>
    </w:p>
    <w:p w14:paraId="18BE3693" w14:textId="107A75EE" w:rsidR="0041389C" w:rsidRPr="00F43971" w:rsidRDefault="0041389C" w:rsidP="00421313">
      <w:pPr>
        <w:pStyle w:val="ListParagraph"/>
        <w:numPr>
          <w:ilvl w:val="1"/>
          <w:numId w:val="22"/>
        </w:numPr>
        <w:spacing w:line="360" w:lineRule="auto"/>
        <w:rPr>
          <w:rFonts w:ascii="Arial" w:hAnsi="Arial" w:cs="Arial"/>
          <w:b/>
          <w:bCs/>
          <w:sz w:val="22"/>
          <w:szCs w:val="22"/>
        </w:rPr>
      </w:pPr>
      <w:r w:rsidRPr="00F43971">
        <w:rPr>
          <w:rFonts w:ascii="Arial" w:hAnsi="Arial" w:cs="Arial"/>
          <w:b/>
          <w:bCs/>
          <w:sz w:val="22"/>
          <w:szCs w:val="22"/>
        </w:rPr>
        <w:t>Strategic Justification and Value Alignment</w:t>
      </w:r>
    </w:p>
    <w:p w14:paraId="3C80B1B6" w14:textId="77777777" w:rsidR="00F43971" w:rsidRDefault="0041389C" w:rsidP="00421313">
      <w:pPr>
        <w:spacing w:line="360" w:lineRule="auto"/>
        <w:rPr>
          <w:rFonts w:ascii="Arial" w:hAnsi="Arial" w:cs="Arial"/>
          <w:sz w:val="22"/>
          <w:szCs w:val="22"/>
        </w:rPr>
      </w:pPr>
      <w:r w:rsidRPr="00573891">
        <w:rPr>
          <w:rFonts w:ascii="Arial" w:hAnsi="Arial" w:cs="Arial"/>
          <w:sz w:val="22"/>
          <w:szCs w:val="22"/>
        </w:rPr>
        <w:t>The Board of Directors should adopt this Focused Differentiation strategy for two key reasons:</w:t>
      </w:r>
    </w:p>
    <w:p w14:paraId="3A18436A" w14:textId="77777777" w:rsidR="00F43971" w:rsidRDefault="0041389C" w:rsidP="00421313">
      <w:pPr>
        <w:spacing w:line="360" w:lineRule="auto"/>
        <w:rPr>
          <w:rFonts w:ascii="Arial" w:hAnsi="Arial" w:cs="Arial"/>
          <w:sz w:val="22"/>
          <w:szCs w:val="22"/>
        </w:rPr>
      </w:pPr>
      <w:r w:rsidRPr="00573891">
        <w:rPr>
          <w:rFonts w:ascii="Arial" w:hAnsi="Arial" w:cs="Arial"/>
          <w:b/>
          <w:bCs/>
          <w:sz w:val="22"/>
          <w:szCs w:val="22"/>
        </w:rPr>
        <w:lastRenderedPageBreak/>
        <w:t>Economic Value Realisation</w:t>
      </w:r>
      <w:r w:rsidRPr="00573891">
        <w:rPr>
          <w:rFonts w:ascii="Arial" w:hAnsi="Arial" w:cs="Arial"/>
          <w:sz w:val="22"/>
          <w:szCs w:val="22"/>
        </w:rPr>
        <w:t>: Capitalizing on the B2B sector unlocks high-margin revenue streams that directly offset the massive £11 billion decade-long capital expenditure commitment, avoiding the restrictive price caps of the retail consumer market.</w:t>
      </w:r>
    </w:p>
    <w:p w14:paraId="7D0F1EAB" w14:textId="4C7B87DF" w:rsidR="0041389C" w:rsidRPr="00573891" w:rsidRDefault="0041389C" w:rsidP="00421313">
      <w:pPr>
        <w:spacing w:line="360" w:lineRule="auto"/>
        <w:rPr>
          <w:rFonts w:ascii="Arial" w:hAnsi="Arial" w:cs="Arial"/>
          <w:sz w:val="22"/>
          <w:szCs w:val="22"/>
        </w:rPr>
      </w:pPr>
      <w:r w:rsidRPr="00573891">
        <w:rPr>
          <w:rFonts w:ascii="Arial" w:hAnsi="Arial" w:cs="Arial"/>
          <w:b/>
          <w:bCs/>
          <w:sz w:val="22"/>
          <w:szCs w:val="22"/>
        </w:rPr>
        <w:t>Corporate Value Alignment</w:t>
      </w:r>
      <w:r w:rsidRPr="00573891">
        <w:rPr>
          <w:rFonts w:ascii="Arial" w:hAnsi="Arial" w:cs="Arial"/>
          <w:sz w:val="22"/>
          <w:szCs w:val="22"/>
        </w:rPr>
        <w:t>: This strategy aligns directly with Vodafone's core purpose and corporate values (Vodafone Group, 2025; Valdar and Morfett, 2024):</w:t>
      </w:r>
    </w:p>
    <w:p w14:paraId="48188280" w14:textId="7AAB08F3" w:rsidR="0041389C" w:rsidRPr="00573891" w:rsidRDefault="0041389C" w:rsidP="00421313">
      <w:pPr>
        <w:numPr>
          <w:ilvl w:val="1"/>
          <w:numId w:val="9"/>
        </w:numPr>
        <w:spacing w:line="360" w:lineRule="auto"/>
        <w:rPr>
          <w:rFonts w:ascii="Arial" w:hAnsi="Arial" w:cs="Arial"/>
          <w:sz w:val="22"/>
          <w:szCs w:val="22"/>
        </w:rPr>
      </w:pPr>
      <w:r w:rsidRPr="00573891">
        <w:rPr>
          <w:rFonts w:ascii="Arial" w:hAnsi="Arial" w:cs="Arial"/>
          <w:i/>
          <w:iCs/>
          <w:sz w:val="22"/>
          <w:szCs w:val="22"/>
        </w:rPr>
        <w:t>Create the Future</w:t>
      </w:r>
      <w:r w:rsidRPr="00573891">
        <w:rPr>
          <w:rFonts w:ascii="Arial" w:hAnsi="Arial" w:cs="Arial"/>
          <w:sz w:val="22"/>
          <w:szCs w:val="22"/>
        </w:rPr>
        <w:t>: Developing smart-city infrastructures and supporting autonomous vehicles directly positions the company as a pioneering digital platform provider rather than a utility provider.</w:t>
      </w:r>
    </w:p>
    <w:p w14:paraId="6F53566B" w14:textId="77777777" w:rsidR="0041389C" w:rsidRPr="00573891" w:rsidRDefault="0041389C" w:rsidP="00421313">
      <w:pPr>
        <w:numPr>
          <w:ilvl w:val="1"/>
          <w:numId w:val="9"/>
        </w:numPr>
        <w:spacing w:line="360" w:lineRule="auto"/>
        <w:rPr>
          <w:rFonts w:ascii="Arial" w:hAnsi="Arial" w:cs="Arial"/>
          <w:sz w:val="22"/>
          <w:szCs w:val="22"/>
        </w:rPr>
      </w:pPr>
      <w:r w:rsidRPr="00573891">
        <w:rPr>
          <w:rFonts w:ascii="Arial" w:hAnsi="Arial" w:cs="Arial"/>
          <w:i/>
          <w:iCs/>
          <w:sz w:val="22"/>
          <w:szCs w:val="22"/>
        </w:rPr>
        <w:t>Earn Customer Trust</w:t>
      </w:r>
      <w:r w:rsidRPr="00573891">
        <w:rPr>
          <w:rFonts w:ascii="Arial" w:hAnsi="Arial" w:cs="Arial"/>
          <w:sz w:val="22"/>
          <w:szCs w:val="22"/>
        </w:rPr>
        <w:t>: Providing dedicated corporate network slicing ensures unmatched uptime and data security, cementing corporate reliability.</w:t>
      </w:r>
    </w:p>
    <w:p w14:paraId="59CDB907" w14:textId="39A51CEB" w:rsidR="0041389C" w:rsidRPr="00573891" w:rsidRDefault="0041389C" w:rsidP="00421313">
      <w:pPr>
        <w:numPr>
          <w:ilvl w:val="1"/>
          <w:numId w:val="9"/>
        </w:numPr>
        <w:spacing w:line="360" w:lineRule="auto"/>
        <w:rPr>
          <w:rFonts w:ascii="Arial" w:hAnsi="Arial" w:cs="Arial"/>
          <w:sz w:val="22"/>
          <w:szCs w:val="22"/>
        </w:rPr>
      </w:pPr>
      <w:r w:rsidRPr="00573891">
        <w:rPr>
          <w:rFonts w:ascii="Arial" w:hAnsi="Arial" w:cs="Arial"/>
          <w:i/>
          <w:iCs/>
          <w:sz w:val="22"/>
          <w:szCs w:val="22"/>
        </w:rPr>
        <w:t>Deliver Together</w:t>
      </w:r>
      <w:r w:rsidRPr="00573891">
        <w:rPr>
          <w:rFonts w:ascii="Arial" w:hAnsi="Arial" w:cs="Arial"/>
          <w:sz w:val="22"/>
          <w:szCs w:val="22"/>
        </w:rPr>
        <w:t>: Collaborating with engineering, technology, and public sectors to generate up to £102 billion for the wider UK economy embodies a shared commitment to national digital transformation.</w:t>
      </w:r>
    </w:p>
    <w:p w14:paraId="3D74589A" w14:textId="020AFB6E" w:rsidR="003E2059" w:rsidRPr="00EB009F" w:rsidRDefault="003E2059" w:rsidP="00421313">
      <w:pPr>
        <w:pStyle w:val="ListParagraph"/>
        <w:numPr>
          <w:ilvl w:val="0"/>
          <w:numId w:val="21"/>
        </w:numPr>
        <w:spacing w:line="360" w:lineRule="auto"/>
        <w:rPr>
          <w:rFonts w:ascii="Arial" w:hAnsi="Arial" w:cs="Arial"/>
          <w:b/>
          <w:bCs/>
          <w:sz w:val="22"/>
          <w:szCs w:val="22"/>
        </w:rPr>
      </w:pPr>
      <w:r w:rsidRPr="00EB009F">
        <w:rPr>
          <w:rFonts w:ascii="Arial" w:hAnsi="Arial" w:cs="Arial"/>
          <w:b/>
          <w:bCs/>
          <w:sz w:val="22"/>
          <w:szCs w:val="22"/>
        </w:rPr>
        <w:t>Strategy Evaluation</w:t>
      </w:r>
    </w:p>
    <w:p w14:paraId="3377D959" w14:textId="77777777" w:rsidR="003E2059" w:rsidRPr="00573891" w:rsidRDefault="003E2059" w:rsidP="00421313">
      <w:pPr>
        <w:spacing w:line="360" w:lineRule="auto"/>
        <w:rPr>
          <w:rFonts w:ascii="Arial" w:hAnsi="Arial" w:cs="Arial"/>
          <w:sz w:val="22"/>
          <w:szCs w:val="22"/>
        </w:rPr>
      </w:pPr>
      <w:r w:rsidRPr="00573891">
        <w:rPr>
          <w:rFonts w:ascii="Arial" w:hAnsi="Arial" w:cs="Arial"/>
          <w:sz w:val="22"/>
          <w:szCs w:val="22"/>
        </w:rPr>
        <w:t xml:space="preserve">To justify the proposed B2B 5G Standalone (5GSA) enterprise strategy for VodafoneThree, this section conducts a strategic evaluation using Johnson, Whittington and Scholes’ </w:t>
      </w:r>
      <w:r w:rsidRPr="00573891">
        <w:rPr>
          <w:rFonts w:ascii="Arial" w:hAnsi="Arial" w:cs="Arial"/>
          <w:b/>
          <w:bCs/>
          <w:sz w:val="22"/>
          <w:szCs w:val="22"/>
        </w:rPr>
        <w:t>Suitability, Feasibility, and Acceptability (SFA) framework</w:t>
      </w:r>
      <w:r w:rsidRPr="00573891">
        <w:rPr>
          <w:rFonts w:ascii="Arial" w:hAnsi="Arial" w:cs="Arial"/>
          <w:sz w:val="22"/>
          <w:szCs w:val="22"/>
        </w:rPr>
        <w:t xml:space="preserve"> (Johnson et al., 2020).</w:t>
      </w:r>
    </w:p>
    <w:p w14:paraId="17D9F72A" w14:textId="77777777" w:rsidR="003E2059" w:rsidRPr="00573891" w:rsidRDefault="003E2059" w:rsidP="00421313">
      <w:pPr>
        <w:spacing w:line="360" w:lineRule="auto"/>
        <w:rPr>
          <w:rFonts w:ascii="Arial" w:hAnsi="Arial" w:cs="Arial"/>
          <w:b/>
          <w:bCs/>
          <w:sz w:val="22"/>
          <w:szCs w:val="22"/>
        </w:rPr>
      </w:pPr>
      <w:r w:rsidRPr="00573891">
        <w:rPr>
          <w:rFonts w:ascii="Arial" w:hAnsi="Arial" w:cs="Arial"/>
          <w:b/>
          <w:bCs/>
          <w:sz w:val="22"/>
          <w:szCs w:val="22"/>
        </w:rPr>
        <w:t>Suitability</w:t>
      </w:r>
    </w:p>
    <w:p w14:paraId="1FEBB2D8" w14:textId="65425626" w:rsidR="003E2059" w:rsidRPr="00573891" w:rsidRDefault="003E2059" w:rsidP="00421313">
      <w:pPr>
        <w:spacing w:line="360" w:lineRule="auto"/>
        <w:rPr>
          <w:rFonts w:ascii="Arial" w:hAnsi="Arial" w:cs="Arial"/>
          <w:sz w:val="22"/>
          <w:szCs w:val="22"/>
        </w:rPr>
      </w:pPr>
      <w:r w:rsidRPr="00573891">
        <w:rPr>
          <w:rFonts w:ascii="Arial" w:hAnsi="Arial" w:cs="Arial"/>
          <w:sz w:val="22"/>
          <w:szCs w:val="22"/>
        </w:rPr>
        <w:t>The strategy is highly suitable as it directly leverages the newly formed entity's structural advantages to counter competitive pressures from BT/EE. The £16.5 billion merger creates the UK’s largest mobile operator with 27 million customers, establishing the necessary market scale to dominate the enterprise sector (</w:t>
      </w:r>
      <w:r w:rsidR="00D528B5" w:rsidRPr="00573891">
        <w:rPr>
          <w:rFonts w:ascii="Arial" w:hAnsi="Arial" w:cs="Arial"/>
          <w:sz w:val="22"/>
          <w:szCs w:val="22"/>
        </w:rPr>
        <w:t>VODAFONE GROUP</w:t>
      </w:r>
      <w:r w:rsidRPr="00573891">
        <w:rPr>
          <w:rFonts w:ascii="Arial" w:hAnsi="Arial" w:cs="Arial"/>
          <w:sz w:val="22"/>
          <w:szCs w:val="22"/>
        </w:rPr>
        <w:t>, 2025). 5GSA infrastructure directly addresses the strategic gap in high-margin business solutions, such as private networks, industrial IoT, and smart city architectures. By deploying a dedicated network slice for corporate clients, VodafoneThree exploits an asset base that rivals cannot easily replicate without massive capital layout, aligning perfectly with Vodafone Group’s core objective of portfolio optimisation and long-term profitability (Vodafone, 2025).</w:t>
      </w:r>
    </w:p>
    <w:p w14:paraId="3038BEDE" w14:textId="77777777" w:rsidR="003E2059" w:rsidRPr="00573891" w:rsidRDefault="003E2059" w:rsidP="00421313">
      <w:pPr>
        <w:spacing w:line="360" w:lineRule="auto"/>
        <w:rPr>
          <w:rFonts w:ascii="Arial" w:hAnsi="Arial" w:cs="Arial"/>
          <w:b/>
          <w:bCs/>
          <w:sz w:val="22"/>
          <w:szCs w:val="22"/>
        </w:rPr>
      </w:pPr>
      <w:r w:rsidRPr="00573891">
        <w:rPr>
          <w:rFonts w:ascii="Arial" w:hAnsi="Arial" w:cs="Arial"/>
          <w:b/>
          <w:bCs/>
          <w:sz w:val="22"/>
          <w:szCs w:val="22"/>
        </w:rPr>
        <w:t>Feasibility</w:t>
      </w:r>
    </w:p>
    <w:p w14:paraId="0BFF1F8C" w14:textId="3CE25CB0" w:rsidR="003E2059" w:rsidRPr="00573891" w:rsidRDefault="003E2059" w:rsidP="00421313">
      <w:pPr>
        <w:spacing w:line="360" w:lineRule="auto"/>
        <w:rPr>
          <w:rFonts w:ascii="Arial" w:hAnsi="Arial" w:cs="Arial"/>
          <w:sz w:val="22"/>
          <w:szCs w:val="22"/>
        </w:rPr>
      </w:pPr>
      <w:r w:rsidRPr="00573891">
        <w:rPr>
          <w:rFonts w:ascii="Arial" w:hAnsi="Arial" w:cs="Arial"/>
          <w:sz w:val="22"/>
          <w:szCs w:val="22"/>
        </w:rPr>
        <w:t>Feasibility evaluates whether VodafoneThree possesses the resources and capabilities to deliver this strategy. The implementation is underpinned by an unprecedented £11 billion investment plan spanning the next decade (</w:t>
      </w:r>
      <w:r w:rsidR="00247892" w:rsidRPr="00573891">
        <w:rPr>
          <w:rFonts w:ascii="Arial" w:hAnsi="Arial" w:cs="Arial"/>
          <w:sz w:val="22"/>
          <w:szCs w:val="22"/>
        </w:rPr>
        <w:t>VODAFONE GROUP</w:t>
      </w:r>
      <w:r w:rsidRPr="00573891">
        <w:rPr>
          <w:rFonts w:ascii="Arial" w:hAnsi="Arial" w:cs="Arial"/>
          <w:sz w:val="22"/>
          <w:szCs w:val="22"/>
        </w:rPr>
        <w:t xml:space="preserve">, 2025). Furthermore, the </w:t>
      </w:r>
      <w:r w:rsidRPr="00573891">
        <w:rPr>
          <w:rFonts w:ascii="Arial" w:hAnsi="Arial" w:cs="Arial"/>
          <w:sz w:val="22"/>
          <w:szCs w:val="22"/>
        </w:rPr>
        <w:lastRenderedPageBreak/>
        <w:t>operational integration is projected to yield £700 million in annual cost synergies (Thompson, 2025).</w:t>
      </w:r>
    </w:p>
    <w:p w14:paraId="5569E99E" w14:textId="77777777" w:rsidR="003E2059" w:rsidRPr="00573891" w:rsidRDefault="003E2059" w:rsidP="00421313">
      <w:pPr>
        <w:spacing w:line="360" w:lineRule="auto"/>
        <w:rPr>
          <w:rFonts w:ascii="Arial" w:hAnsi="Arial" w:cs="Arial"/>
          <w:sz w:val="22"/>
          <w:szCs w:val="22"/>
        </w:rPr>
      </w:pPr>
      <w:r w:rsidRPr="00573891">
        <w:rPr>
          <w:rFonts w:ascii="Arial" w:hAnsi="Arial" w:cs="Arial"/>
          <w:i/>
          <w:iCs/>
          <w:sz w:val="22"/>
          <w:szCs w:val="22"/>
        </w:rPr>
        <w:t>Assumption:</w:t>
      </w:r>
      <w:r w:rsidRPr="00573891">
        <w:rPr>
          <w:rFonts w:ascii="Arial" w:hAnsi="Arial" w:cs="Arial"/>
          <w:sz w:val="22"/>
          <w:szCs w:val="22"/>
        </w:rPr>
        <w:t xml:space="preserve"> It is assumed that approximately 35% of these annual cost synergies (£245 million per year) will be directly ring-fenced to fund B2B technical integration, specialized sales force training, and localized edge-computing hubs.</w:t>
      </w:r>
    </w:p>
    <w:p w14:paraId="5B342F3C" w14:textId="77777777" w:rsidR="003E2059" w:rsidRPr="00573891" w:rsidRDefault="003E2059" w:rsidP="00421313">
      <w:pPr>
        <w:spacing w:line="360" w:lineRule="auto"/>
        <w:rPr>
          <w:rFonts w:ascii="Arial" w:hAnsi="Arial" w:cs="Arial"/>
          <w:sz w:val="22"/>
          <w:szCs w:val="22"/>
        </w:rPr>
      </w:pPr>
      <w:r w:rsidRPr="00573891">
        <w:rPr>
          <w:rFonts w:ascii="Arial" w:hAnsi="Arial" w:cs="Arial"/>
          <w:sz w:val="22"/>
          <w:szCs w:val="22"/>
        </w:rPr>
        <w:t>Financially, the availability of front-loaded capital from the combined group eliminates reliance on volatile external debt markets. Technologically, the 40% improvement in 4G speeds realized during the initial 2025 reciprocal network access phase demonstrates that rapid, large-scale technical integration is operationally viable for the combined engineering teams (Vodafone, 2025).</w:t>
      </w:r>
    </w:p>
    <w:p w14:paraId="7C04ECA8" w14:textId="77777777" w:rsidR="003E2059" w:rsidRPr="00573891" w:rsidRDefault="003E2059" w:rsidP="00421313">
      <w:pPr>
        <w:spacing w:line="360" w:lineRule="auto"/>
        <w:rPr>
          <w:rFonts w:ascii="Arial" w:hAnsi="Arial" w:cs="Arial"/>
          <w:b/>
          <w:bCs/>
          <w:sz w:val="22"/>
          <w:szCs w:val="22"/>
        </w:rPr>
      </w:pPr>
      <w:r w:rsidRPr="00573891">
        <w:rPr>
          <w:rFonts w:ascii="Arial" w:hAnsi="Arial" w:cs="Arial"/>
          <w:b/>
          <w:bCs/>
          <w:sz w:val="22"/>
          <w:szCs w:val="22"/>
        </w:rPr>
        <w:t>Acceptability</w:t>
      </w:r>
    </w:p>
    <w:p w14:paraId="63F7DD65" w14:textId="77777777" w:rsidR="003E2059" w:rsidRPr="00573891" w:rsidRDefault="003E2059" w:rsidP="00421313">
      <w:pPr>
        <w:spacing w:line="360" w:lineRule="auto"/>
        <w:rPr>
          <w:rFonts w:ascii="Arial" w:hAnsi="Arial" w:cs="Arial"/>
          <w:sz w:val="22"/>
          <w:szCs w:val="22"/>
        </w:rPr>
      </w:pPr>
      <w:r w:rsidRPr="00573891">
        <w:rPr>
          <w:rFonts w:ascii="Arial" w:hAnsi="Arial" w:cs="Arial"/>
          <w:sz w:val="22"/>
          <w:szCs w:val="22"/>
        </w:rPr>
        <w:t>Acceptability assesses the strategy from the perspective of key stakeholders, focusing on risk, return, and political alignment.</w:t>
      </w:r>
    </w:p>
    <w:p w14:paraId="36F548FA" w14:textId="77777777" w:rsidR="003E2059" w:rsidRPr="00573891" w:rsidRDefault="003E2059" w:rsidP="00421313">
      <w:pPr>
        <w:numPr>
          <w:ilvl w:val="0"/>
          <w:numId w:val="10"/>
        </w:numPr>
        <w:spacing w:line="360" w:lineRule="auto"/>
        <w:rPr>
          <w:rFonts w:ascii="Arial" w:hAnsi="Arial" w:cs="Arial"/>
          <w:sz w:val="22"/>
          <w:szCs w:val="22"/>
        </w:rPr>
      </w:pPr>
      <w:r w:rsidRPr="00573891">
        <w:rPr>
          <w:rFonts w:ascii="Arial" w:hAnsi="Arial" w:cs="Arial"/>
          <w:b/>
          <w:bCs/>
          <w:sz w:val="22"/>
          <w:szCs w:val="22"/>
        </w:rPr>
        <w:t>Returns:</w:t>
      </w:r>
      <w:r w:rsidRPr="00573891">
        <w:rPr>
          <w:rFonts w:ascii="Arial" w:hAnsi="Arial" w:cs="Arial"/>
          <w:sz w:val="22"/>
          <w:szCs w:val="22"/>
        </w:rPr>
        <w:t xml:space="preserve"> Enterprise 5GSA services command premium pricing tiers and long-term contractual commitments, offering a superior Return on Capital Employed (ROCE) compared to highly commoditized consumer mobile plans.</w:t>
      </w:r>
    </w:p>
    <w:p w14:paraId="7AFD7E20" w14:textId="77777777" w:rsidR="003E2059" w:rsidRPr="00573891" w:rsidRDefault="003E2059" w:rsidP="00421313">
      <w:pPr>
        <w:numPr>
          <w:ilvl w:val="0"/>
          <w:numId w:val="10"/>
        </w:numPr>
        <w:spacing w:line="360" w:lineRule="auto"/>
        <w:rPr>
          <w:rFonts w:ascii="Arial" w:hAnsi="Arial" w:cs="Arial"/>
          <w:sz w:val="22"/>
          <w:szCs w:val="22"/>
        </w:rPr>
      </w:pPr>
      <w:r w:rsidRPr="00573891">
        <w:rPr>
          <w:rFonts w:ascii="Arial" w:hAnsi="Arial" w:cs="Arial"/>
          <w:b/>
          <w:bCs/>
          <w:sz w:val="22"/>
          <w:szCs w:val="22"/>
        </w:rPr>
        <w:t>Risk:</w:t>
      </w:r>
      <w:r w:rsidRPr="00573891">
        <w:rPr>
          <w:rFonts w:ascii="Arial" w:hAnsi="Arial" w:cs="Arial"/>
          <w:sz w:val="22"/>
          <w:szCs w:val="22"/>
        </w:rPr>
        <w:t xml:space="preserve"> The primary risk is regulatory scrutiny regarding market dominance. However, because the network expansion is projected to contribute up to £102 billion to the UK economy between 2025 and 2035 while creating thousands of skilled technology jobs, political and regulatory acceptability remains exceptionally high (Vodafone, 2025).</w:t>
      </w:r>
    </w:p>
    <w:p w14:paraId="69DC93A0" w14:textId="77777777" w:rsidR="003E2059" w:rsidRPr="00573891" w:rsidRDefault="003E2059" w:rsidP="00421313">
      <w:pPr>
        <w:spacing w:line="360" w:lineRule="auto"/>
        <w:rPr>
          <w:rFonts w:ascii="Arial" w:hAnsi="Arial" w:cs="Arial"/>
          <w:sz w:val="22"/>
          <w:szCs w:val="22"/>
        </w:rPr>
      </w:pPr>
      <w:r w:rsidRPr="00573891">
        <w:rPr>
          <w:rFonts w:ascii="Arial" w:hAnsi="Arial" w:cs="Arial"/>
          <w:i/>
          <w:iCs/>
          <w:sz w:val="22"/>
          <w:szCs w:val="22"/>
        </w:rPr>
        <w:t>Assumption:</w:t>
      </w:r>
      <w:r w:rsidRPr="00573891">
        <w:rPr>
          <w:rFonts w:ascii="Arial" w:hAnsi="Arial" w:cs="Arial"/>
          <w:sz w:val="22"/>
          <w:szCs w:val="22"/>
        </w:rPr>
        <w:t xml:space="preserve"> It is assumed that corporate customer churn during the migration phase will not exceed 3%, as the immediate benefits of eliminating geographical "not spots" outweigh the friction of contract alignment.</w:t>
      </w:r>
    </w:p>
    <w:p w14:paraId="4E1840A8" w14:textId="77777777" w:rsidR="003E2059" w:rsidRPr="00573891" w:rsidRDefault="003E2059" w:rsidP="00421313">
      <w:pPr>
        <w:spacing w:line="360" w:lineRule="auto"/>
        <w:rPr>
          <w:rFonts w:ascii="Arial" w:hAnsi="Arial" w:cs="Arial"/>
          <w:sz w:val="22"/>
          <w:szCs w:val="22"/>
        </w:rPr>
      </w:pPr>
      <w:r w:rsidRPr="00573891">
        <w:rPr>
          <w:rFonts w:ascii="Arial" w:hAnsi="Arial" w:cs="Arial"/>
          <w:sz w:val="22"/>
          <w:szCs w:val="22"/>
        </w:rPr>
        <w:t>Ultimately, the strategy meets the board's expectations for sustainable growth, balancing capital expenditure with low operational risk and high macroeconomic support.</w:t>
      </w:r>
    </w:p>
    <w:p w14:paraId="5C6976B4" w14:textId="0D7CD900" w:rsidR="007A4990" w:rsidRPr="00EB009F" w:rsidRDefault="007A4990" w:rsidP="00421313">
      <w:pPr>
        <w:pStyle w:val="ListParagraph"/>
        <w:numPr>
          <w:ilvl w:val="0"/>
          <w:numId w:val="21"/>
        </w:numPr>
        <w:spacing w:line="360" w:lineRule="auto"/>
        <w:rPr>
          <w:rFonts w:ascii="Arial" w:hAnsi="Arial" w:cs="Arial"/>
          <w:b/>
          <w:bCs/>
          <w:sz w:val="22"/>
          <w:szCs w:val="22"/>
        </w:rPr>
      </w:pPr>
      <w:r w:rsidRPr="00EB009F">
        <w:rPr>
          <w:rFonts w:ascii="Arial" w:hAnsi="Arial" w:cs="Arial"/>
          <w:b/>
          <w:bCs/>
          <w:sz w:val="22"/>
          <w:szCs w:val="22"/>
        </w:rPr>
        <w:t>Stakeholder Analysis</w:t>
      </w:r>
    </w:p>
    <w:p w14:paraId="54FBBC8B" w14:textId="77777777" w:rsidR="007A4990" w:rsidRPr="00573891" w:rsidRDefault="007A4990" w:rsidP="00421313">
      <w:pPr>
        <w:spacing w:line="360" w:lineRule="auto"/>
        <w:rPr>
          <w:rFonts w:ascii="Arial" w:hAnsi="Arial" w:cs="Arial"/>
          <w:sz w:val="22"/>
          <w:szCs w:val="22"/>
        </w:rPr>
      </w:pPr>
      <w:r w:rsidRPr="00573891">
        <w:rPr>
          <w:rFonts w:ascii="Arial" w:hAnsi="Arial" w:cs="Arial"/>
          <w:sz w:val="22"/>
          <w:szCs w:val="22"/>
        </w:rPr>
        <w:t xml:space="preserve">The deployment of the proposed B2B 5G Standalone (5GSA) strategy directly reshapes VodafoneThree’s stakeholder ecosystem, requiring structured management to safeguard the enterprise expansion (Freeman, 2020). Building upon the strategic evaluation conducted in Section 5, this analysis uses </w:t>
      </w:r>
      <w:r w:rsidRPr="00573891">
        <w:rPr>
          <w:rFonts w:ascii="Arial" w:hAnsi="Arial" w:cs="Arial"/>
          <w:b/>
          <w:bCs/>
          <w:sz w:val="22"/>
          <w:szCs w:val="22"/>
        </w:rPr>
        <w:t>Mendelow’s Power-Interest Matrix</w:t>
      </w:r>
      <w:r w:rsidRPr="00573891">
        <w:rPr>
          <w:rFonts w:ascii="Arial" w:hAnsi="Arial" w:cs="Arial"/>
          <w:sz w:val="22"/>
          <w:szCs w:val="22"/>
        </w:rPr>
        <w:t xml:space="preserve"> to categorise key stakeholders and establish a targeted engagement plan that mitigates integration risks.</w:t>
      </w:r>
    </w:p>
    <w:p w14:paraId="587D0293" w14:textId="77777777" w:rsidR="007A4990" w:rsidRPr="00573891" w:rsidRDefault="007A4990" w:rsidP="00421313">
      <w:pPr>
        <w:spacing w:line="360" w:lineRule="auto"/>
        <w:rPr>
          <w:rFonts w:ascii="Arial" w:hAnsi="Arial" w:cs="Arial"/>
          <w:b/>
          <w:bCs/>
          <w:sz w:val="22"/>
          <w:szCs w:val="22"/>
        </w:rPr>
      </w:pPr>
      <w:r w:rsidRPr="00573891">
        <w:rPr>
          <w:rFonts w:ascii="Arial" w:hAnsi="Arial" w:cs="Arial"/>
          <w:b/>
          <w:bCs/>
          <w:sz w:val="22"/>
          <w:szCs w:val="22"/>
        </w:rPr>
        <w:lastRenderedPageBreak/>
        <w:t>Key Players (High Power / High Interest) – Manage Closely</w:t>
      </w:r>
    </w:p>
    <w:p w14:paraId="4ED8B8B0" w14:textId="7150DED0" w:rsidR="007A4990" w:rsidRPr="00573891" w:rsidRDefault="007A4990" w:rsidP="00421313">
      <w:pPr>
        <w:numPr>
          <w:ilvl w:val="0"/>
          <w:numId w:val="11"/>
        </w:numPr>
        <w:spacing w:line="360" w:lineRule="auto"/>
        <w:rPr>
          <w:rFonts w:ascii="Arial" w:hAnsi="Arial" w:cs="Arial"/>
          <w:sz w:val="22"/>
          <w:szCs w:val="22"/>
        </w:rPr>
      </w:pPr>
      <w:r w:rsidRPr="00573891">
        <w:rPr>
          <w:rFonts w:ascii="Arial" w:hAnsi="Arial" w:cs="Arial"/>
          <w:b/>
          <w:bCs/>
          <w:sz w:val="22"/>
          <w:szCs w:val="22"/>
        </w:rPr>
        <w:t>Corporate and B2B Clients:</w:t>
      </w:r>
      <w:r w:rsidRPr="00573891">
        <w:rPr>
          <w:rFonts w:ascii="Arial" w:hAnsi="Arial" w:cs="Arial"/>
          <w:sz w:val="22"/>
          <w:szCs w:val="22"/>
        </w:rPr>
        <w:t xml:space="preserve"> British enterprises require robust network slicing, secure IoT frameworks, and seamless contract migration. Recent empirical evidence demonstrates that up to 86% of UK businesses view 5GSA infrastructure as a critical pillar for their long-term digital survival (Vodafone </w:t>
      </w:r>
      <w:r w:rsidR="00CA24A9" w:rsidRPr="00573891">
        <w:rPr>
          <w:rFonts w:ascii="Arial" w:hAnsi="Arial" w:cs="Arial"/>
          <w:sz w:val="22"/>
          <w:szCs w:val="22"/>
        </w:rPr>
        <w:t>Group</w:t>
      </w:r>
      <w:r w:rsidRPr="00573891">
        <w:rPr>
          <w:rFonts w:ascii="Arial" w:hAnsi="Arial" w:cs="Arial"/>
          <w:sz w:val="22"/>
          <w:szCs w:val="22"/>
        </w:rPr>
        <w:t>, 2023). Engagement involves dedicating specialized account managers to co-design bespoke private 5G networks, ensuring customer churn stays well under the 3% threshold assumed in Section 5.</w:t>
      </w:r>
    </w:p>
    <w:p w14:paraId="6B32185E" w14:textId="527A887B" w:rsidR="007A4990" w:rsidRPr="00573891" w:rsidRDefault="007A4990" w:rsidP="00421313">
      <w:pPr>
        <w:numPr>
          <w:ilvl w:val="0"/>
          <w:numId w:val="11"/>
        </w:numPr>
        <w:spacing w:line="360" w:lineRule="auto"/>
        <w:rPr>
          <w:rFonts w:ascii="Arial" w:hAnsi="Arial" w:cs="Arial"/>
          <w:sz w:val="22"/>
          <w:szCs w:val="22"/>
        </w:rPr>
      </w:pPr>
      <w:r w:rsidRPr="00573891">
        <w:rPr>
          <w:rFonts w:ascii="Arial" w:hAnsi="Arial" w:cs="Arial"/>
          <w:b/>
          <w:bCs/>
          <w:sz w:val="22"/>
          <w:szCs w:val="22"/>
        </w:rPr>
        <w:t>Ofcom and the UK Government:</w:t>
      </w:r>
      <w:r w:rsidRPr="00573891">
        <w:rPr>
          <w:rFonts w:ascii="Arial" w:hAnsi="Arial" w:cs="Arial"/>
          <w:sz w:val="22"/>
          <w:szCs w:val="22"/>
        </w:rPr>
        <w:t xml:space="preserve"> Regulators possess statutory veto power over infrastructure rollout compliance and market competition. Because this 5GSA enterprise strategy directly enables the projected £102 billion contribution to the UK economy (Vodafone</w:t>
      </w:r>
      <w:r w:rsidR="00682300" w:rsidRPr="00573891">
        <w:rPr>
          <w:rFonts w:ascii="Arial" w:hAnsi="Arial" w:cs="Arial"/>
          <w:sz w:val="22"/>
          <w:szCs w:val="22"/>
        </w:rPr>
        <w:t xml:space="preserve"> Group</w:t>
      </w:r>
      <w:r w:rsidRPr="00573891">
        <w:rPr>
          <w:rFonts w:ascii="Arial" w:hAnsi="Arial" w:cs="Arial"/>
          <w:sz w:val="22"/>
          <w:szCs w:val="22"/>
        </w:rPr>
        <w:t>, 2025), VodafoneThree must engage through transparent quarterly compliance audits and formal parliamentary progress submissions to maintain political alignment.</w:t>
      </w:r>
    </w:p>
    <w:p w14:paraId="7BDDC595" w14:textId="77777777" w:rsidR="007A4990" w:rsidRPr="00573891" w:rsidRDefault="007A4990" w:rsidP="00421313">
      <w:pPr>
        <w:spacing w:line="360" w:lineRule="auto"/>
        <w:rPr>
          <w:rFonts w:ascii="Arial" w:hAnsi="Arial" w:cs="Arial"/>
          <w:b/>
          <w:bCs/>
          <w:sz w:val="22"/>
          <w:szCs w:val="22"/>
        </w:rPr>
      </w:pPr>
      <w:r w:rsidRPr="00573891">
        <w:rPr>
          <w:rFonts w:ascii="Arial" w:hAnsi="Arial" w:cs="Arial"/>
          <w:b/>
          <w:bCs/>
          <w:sz w:val="22"/>
          <w:szCs w:val="22"/>
        </w:rPr>
        <w:t>Keep Satisfied (High Power / Low Interest) – Maintain Compliance</w:t>
      </w:r>
    </w:p>
    <w:p w14:paraId="05F1D3A7" w14:textId="77777777" w:rsidR="007A4990" w:rsidRPr="00573891" w:rsidRDefault="007A4990" w:rsidP="00421313">
      <w:pPr>
        <w:numPr>
          <w:ilvl w:val="0"/>
          <w:numId w:val="12"/>
        </w:numPr>
        <w:spacing w:line="360" w:lineRule="auto"/>
        <w:rPr>
          <w:rFonts w:ascii="Arial" w:hAnsi="Arial" w:cs="Arial"/>
          <w:sz w:val="22"/>
          <w:szCs w:val="22"/>
        </w:rPr>
      </w:pPr>
      <w:r w:rsidRPr="00573891">
        <w:rPr>
          <w:rFonts w:ascii="Arial" w:hAnsi="Arial" w:cs="Arial"/>
          <w:b/>
          <w:bCs/>
          <w:sz w:val="22"/>
          <w:szCs w:val="22"/>
        </w:rPr>
        <w:t>Institutional Shareholders:</w:t>
      </w:r>
      <w:r w:rsidRPr="00573891">
        <w:rPr>
          <w:rFonts w:ascii="Arial" w:hAnsi="Arial" w:cs="Arial"/>
          <w:sz w:val="22"/>
          <w:szCs w:val="22"/>
        </w:rPr>
        <w:t xml:space="preserve"> Group investors expect the integration to deliver the targeted £700 million in annual cost synergies (Thompson, 2025). The board will engage them through rigorous financial consensus reporting, proving that the assumed 35% re-investment into B2B infrastructure yields superior ROCE compared to consumer markets.</w:t>
      </w:r>
    </w:p>
    <w:p w14:paraId="29515E26" w14:textId="77777777" w:rsidR="007A4990" w:rsidRPr="00573891" w:rsidRDefault="007A4990" w:rsidP="00421313">
      <w:pPr>
        <w:spacing w:line="360" w:lineRule="auto"/>
        <w:rPr>
          <w:rFonts w:ascii="Arial" w:hAnsi="Arial" w:cs="Arial"/>
          <w:b/>
          <w:bCs/>
          <w:sz w:val="22"/>
          <w:szCs w:val="22"/>
        </w:rPr>
      </w:pPr>
      <w:r w:rsidRPr="00573891">
        <w:rPr>
          <w:rFonts w:ascii="Arial" w:hAnsi="Arial" w:cs="Arial"/>
          <w:b/>
          <w:bCs/>
          <w:sz w:val="22"/>
          <w:szCs w:val="22"/>
        </w:rPr>
        <w:t>Keep Informed (Low Power / High Interest) – Build Consensus</w:t>
      </w:r>
    </w:p>
    <w:p w14:paraId="7FB8FB81" w14:textId="77777777" w:rsidR="0074144C" w:rsidRPr="00573891" w:rsidRDefault="007A4990" w:rsidP="00421313">
      <w:pPr>
        <w:numPr>
          <w:ilvl w:val="0"/>
          <w:numId w:val="13"/>
        </w:numPr>
        <w:spacing w:line="360" w:lineRule="auto"/>
        <w:rPr>
          <w:rFonts w:ascii="Arial" w:hAnsi="Arial" w:cs="Arial"/>
          <w:sz w:val="22"/>
          <w:szCs w:val="22"/>
        </w:rPr>
      </w:pPr>
      <w:r w:rsidRPr="00573891">
        <w:rPr>
          <w:rFonts w:ascii="Arial" w:hAnsi="Arial" w:cs="Arial"/>
          <w:b/>
          <w:bCs/>
          <w:sz w:val="22"/>
          <w:szCs w:val="22"/>
        </w:rPr>
        <w:t>Enterprise Network Engineers:</w:t>
      </w:r>
      <w:r w:rsidRPr="00573891">
        <w:rPr>
          <w:rFonts w:ascii="Arial" w:hAnsi="Arial" w:cs="Arial"/>
          <w:sz w:val="22"/>
          <w:szCs w:val="22"/>
        </w:rPr>
        <w:t xml:space="preserve"> Internal technical teams face the complex task of merging disparate architectures. They will be engaged via continuous training programs funded directly by the ring-fenced operational synergies.</w:t>
      </w:r>
    </w:p>
    <w:p w14:paraId="42195FB8" w14:textId="79E81659" w:rsidR="00673489" w:rsidRPr="00421313" w:rsidRDefault="00673489" w:rsidP="00421313">
      <w:pPr>
        <w:pStyle w:val="ListParagraph"/>
        <w:numPr>
          <w:ilvl w:val="0"/>
          <w:numId w:val="21"/>
        </w:numPr>
        <w:spacing w:line="360" w:lineRule="auto"/>
        <w:rPr>
          <w:rFonts w:ascii="Arial" w:hAnsi="Arial" w:cs="Arial"/>
          <w:sz w:val="22"/>
          <w:szCs w:val="22"/>
        </w:rPr>
      </w:pPr>
      <w:r w:rsidRPr="00421313">
        <w:rPr>
          <w:rFonts w:ascii="Arial" w:hAnsi="Arial" w:cs="Arial"/>
          <w:b/>
          <w:bCs/>
          <w:sz w:val="22"/>
          <w:szCs w:val="22"/>
        </w:rPr>
        <w:t>Implementation and Monitoring</w:t>
      </w:r>
    </w:p>
    <w:p w14:paraId="6279FBE5" w14:textId="77777777" w:rsidR="00673489" w:rsidRPr="00573891" w:rsidRDefault="00673489" w:rsidP="00421313">
      <w:pPr>
        <w:spacing w:line="360" w:lineRule="auto"/>
        <w:rPr>
          <w:rFonts w:ascii="Arial" w:hAnsi="Arial" w:cs="Arial"/>
          <w:sz w:val="22"/>
          <w:szCs w:val="22"/>
        </w:rPr>
      </w:pPr>
      <w:r w:rsidRPr="00573891">
        <w:rPr>
          <w:rFonts w:ascii="Arial" w:hAnsi="Arial" w:cs="Arial"/>
          <w:sz w:val="22"/>
          <w:szCs w:val="22"/>
        </w:rPr>
        <w:t>Translating the VodafoneThree merger from a justified strategic vision into reality requires an actionable implementation framework. This plan coordinates operational capabilities while actively addressing the critical requirements of regulators, shareholders, and internal teams. Strategic implementation depends on balancing clear structural deadlines with robust performance metrics (Gerry et al., 2023).</w:t>
      </w:r>
    </w:p>
    <w:p w14:paraId="7CC1692A" w14:textId="77777777" w:rsidR="00673489" w:rsidRPr="00573891" w:rsidRDefault="00673489" w:rsidP="00421313">
      <w:pPr>
        <w:spacing w:line="360" w:lineRule="auto"/>
        <w:rPr>
          <w:rFonts w:ascii="Arial" w:hAnsi="Arial" w:cs="Arial"/>
          <w:b/>
          <w:bCs/>
          <w:sz w:val="22"/>
          <w:szCs w:val="22"/>
        </w:rPr>
      </w:pPr>
      <w:r w:rsidRPr="00573891">
        <w:rPr>
          <w:rFonts w:ascii="Arial" w:hAnsi="Arial" w:cs="Arial"/>
          <w:b/>
          <w:bCs/>
          <w:sz w:val="22"/>
          <w:szCs w:val="22"/>
        </w:rPr>
        <w:t>Actionable Implementation Plan</w:t>
      </w:r>
    </w:p>
    <w:p w14:paraId="22EC5C75" w14:textId="77777777" w:rsidR="00673489" w:rsidRPr="00573891" w:rsidRDefault="00673489" w:rsidP="00421313">
      <w:pPr>
        <w:spacing w:line="360" w:lineRule="auto"/>
        <w:rPr>
          <w:rFonts w:ascii="Arial" w:hAnsi="Arial" w:cs="Arial"/>
          <w:sz w:val="22"/>
          <w:szCs w:val="22"/>
        </w:rPr>
      </w:pPr>
      <w:r w:rsidRPr="00573891">
        <w:rPr>
          <w:rFonts w:ascii="Arial" w:hAnsi="Arial" w:cs="Arial"/>
          <w:b/>
          <w:bCs/>
          <w:sz w:val="22"/>
          <w:szCs w:val="22"/>
        </w:rPr>
        <w:t>Objective 1: Achieve Network Integration &amp; 5G Rollout</w:t>
      </w:r>
    </w:p>
    <w:p w14:paraId="60A3B311" w14:textId="77777777" w:rsidR="00673489" w:rsidRPr="00573891" w:rsidRDefault="00673489" w:rsidP="00421313">
      <w:pPr>
        <w:numPr>
          <w:ilvl w:val="1"/>
          <w:numId w:val="14"/>
        </w:numPr>
        <w:spacing w:line="360" w:lineRule="auto"/>
        <w:rPr>
          <w:rFonts w:ascii="Arial" w:hAnsi="Arial" w:cs="Arial"/>
          <w:sz w:val="22"/>
          <w:szCs w:val="22"/>
        </w:rPr>
      </w:pPr>
      <w:r w:rsidRPr="00573891">
        <w:rPr>
          <w:rFonts w:ascii="Arial" w:hAnsi="Arial" w:cs="Arial"/>
          <w:i/>
          <w:iCs/>
          <w:sz w:val="22"/>
          <w:szCs w:val="22"/>
        </w:rPr>
        <w:lastRenderedPageBreak/>
        <w:t>Actions Needed:</w:t>
      </w:r>
      <w:r w:rsidRPr="00573891">
        <w:rPr>
          <w:rFonts w:ascii="Arial" w:hAnsi="Arial" w:cs="Arial"/>
          <w:sz w:val="22"/>
          <w:szCs w:val="22"/>
        </w:rPr>
        <w:t xml:space="preserve"> Expand the Multi-Operator Core Network framework to consolidate physical masts. Dedicate a portion of the committed £11 billion capital expenditure to deploy Standalone 5G infrastructure. Rationalise duplicate radio access network locations.</w:t>
      </w:r>
    </w:p>
    <w:p w14:paraId="031986B8" w14:textId="77777777" w:rsidR="00673489" w:rsidRPr="00573891" w:rsidRDefault="00673489" w:rsidP="00421313">
      <w:pPr>
        <w:numPr>
          <w:ilvl w:val="1"/>
          <w:numId w:val="14"/>
        </w:numPr>
        <w:spacing w:line="360" w:lineRule="auto"/>
        <w:rPr>
          <w:rFonts w:ascii="Arial" w:hAnsi="Arial" w:cs="Arial"/>
          <w:sz w:val="22"/>
          <w:szCs w:val="22"/>
        </w:rPr>
      </w:pPr>
      <w:r w:rsidRPr="00573891">
        <w:rPr>
          <w:rFonts w:ascii="Arial" w:hAnsi="Arial" w:cs="Arial"/>
          <w:i/>
          <w:iCs/>
          <w:sz w:val="22"/>
          <w:szCs w:val="22"/>
        </w:rPr>
        <w:t>Key Performance Indicators (KPIs):</w:t>
      </w:r>
      <w:r w:rsidRPr="00573891">
        <w:rPr>
          <w:rFonts w:ascii="Arial" w:hAnsi="Arial" w:cs="Arial"/>
          <w:sz w:val="22"/>
          <w:szCs w:val="22"/>
        </w:rPr>
        <w:t xml:space="preserve"> Total square kilometres of geographic "not spots" eliminated; Percentage of UK population covered by Standalone 5G (Vodafone Group, 2025).</w:t>
      </w:r>
    </w:p>
    <w:p w14:paraId="0551F7C5" w14:textId="77777777" w:rsidR="00673489" w:rsidRPr="00573891" w:rsidRDefault="00673489" w:rsidP="00421313">
      <w:pPr>
        <w:spacing w:line="360" w:lineRule="auto"/>
        <w:rPr>
          <w:rFonts w:ascii="Arial" w:hAnsi="Arial" w:cs="Arial"/>
          <w:sz w:val="22"/>
          <w:szCs w:val="22"/>
        </w:rPr>
      </w:pPr>
      <w:r w:rsidRPr="00573891">
        <w:rPr>
          <w:rFonts w:ascii="Arial" w:hAnsi="Arial" w:cs="Arial"/>
          <w:b/>
          <w:bCs/>
          <w:sz w:val="22"/>
          <w:szCs w:val="22"/>
        </w:rPr>
        <w:t>Objective 2: Realise Financial Synergies</w:t>
      </w:r>
    </w:p>
    <w:p w14:paraId="349AF984" w14:textId="77777777" w:rsidR="00673489" w:rsidRPr="00573891" w:rsidRDefault="00673489" w:rsidP="00421313">
      <w:pPr>
        <w:numPr>
          <w:ilvl w:val="1"/>
          <w:numId w:val="14"/>
        </w:numPr>
        <w:spacing w:line="360" w:lineRule="auto"/>
        <w:rPr>
          <w:rFonts w:ascii="Arial" w:hAnsi="Arial" w:cs="Arial"/>
          <w:sz w:val="22"/>
          <w:szCs w:val="22"/>
        </w:rPr>
      </w:pPr>
      <w:r w:rsidRPr="00573891">
        <w:rPr>
          <w:rFonts w:ascii="Arial" w:hAnsi="Arial" w:cs="Arial"/>
          <w:i/>
          <w:iCs/>
          <w:sz w:val="22"/>
          <w:szCs w:val="22"/>
        </w:rPr>
        <w:t>Actions Needed:</w:t>
      </w:r>
      <w:r w:rsidRPr="00573891">
        <w:rPr>
          <w:rFonts w:ascii="Arial" w:hAnsi="Arial" w:cs="Arial"/>
          <w:sz w:val="22"/>
          <w:szCs w:val="22"/>
        </w:rPr>
        <w:t xml:space="preserve"> Eliminate overlapping administrative overheads and corporate footprints. Consolidate procurement channels for technology vendors. Streamline retail store networks.</w:t>
      </w:r>
    </w:p>
    <w:p w14:paraId="38630939" w14:textId="77777777" w:rsidR="00673489" w:rsidRPr="00573891" w:rsidRDefault="00673489" w:rsidP="00421313">
      <w:pPr>
        <w:numPr>
          <w:ilvl w:val="1"/>
          <w:numId w:val="14"/>
        </w:numPr>
        <w:spacing w:line="360" w:lineRule="auto"/>
        <w:rPr>
          <w:rFonts w:ascii="Arial" w:hAnsi="Arial" w:cs="Arial"/>
          <w:sz w:val="22"/>
          <w:szCs w:val="22"/>
        </w:rPr>
      </w:pPr>
      <w:r w:rsidRPr="00573891">
        <w:rPr>
          <w:rFonts w:ascii="Arial" w:hAnsi="Arial" w:cs="Arial"/>
          <w:i/>
          <w:iCs/>
          <w:sz w:val="22"/>
          <w:szCs w:val="22"/>
        </w:rPr>
        <w:t>Key Performance Indicators (KPIs):</w:t>
      </w:r>
      <w:r w:rsidRPr="00573891">
        <w:rPr>
          <w:rFonts w:ascii="Arial" w:hAnsi="Arial" w:cs="Arial"/>
          <w:sz w:val="22"/>
          <w:szCs w:val="22"/>
        </w:rPr>
        <w:t xml:space="preserve"> Run-rate of annual cost and capex synergies achieved, targeting £700 million (Vodafone Group, 2025); Post-merger Adjusted EBITDAaL growth margin.</w:t>
      </w:r>
    </w:p>
    <w:p w14:paraId="4A6596DA" w14:textId="77777777" w:rsidR="00673489" w:rsidRPr="00573891" w:rsidRDefault="00673489" w:rsidP="00421313">
      <w:pPr>
        <w:spacing w:line="360" w:lineRule="auto"/>
        <w:rPr>
          <w:rFonts w:ascii="Arial" w:hAnsi="Arial" w:cs="Arial"/>
          <w:sz w:val="22"/>
          <w:szCs w:val="22"/>
        </w:rPr>
      </w:pPr>
      <w:r w:rsidRPr="00573891">
        <w:rPr>
          <w:rFonts w:ascii="Arial" w:hAnsi="Arial" w:cs="Arial"/>
          <w:b/>
          <w:bCs/>
          <w:sz w:val="22"/>
          <w:szCs w:val="22"/>
        </w:rPr>
        <w:t>Objective 3: Manage Stakeholder Retention &amp; Compliance</w:t>
      </w:r>
    </w:p>
    <w:p w14:paraId="365901C3" w14:textId="0C405448" w:rsidR="00673489" w:rsidRPr="00573891" w:rsidRDefault="00673489" w:rsidP="00421313">
      <w:pPr>
        <w:numPr>
          <w:ilvl w:val="1"/>
          <w:numId w:val="14"/>
        </w:numPr>
        <w:spacing w:line="360" w:lineRule="auto"/>
        <w:rPr>
          <w:rFonts w:ascii="Arial" w:hAnsi="Arial" w:cs="Arial"/>
          <w:sz w:val="22"/>
          <w:szCs w:val="22"/>
        </w:rPr>
      </w:pPr>
      <w:r w:rsidRPr="00573891">
        <w:rPr>
          <w:rFonts w:ascii="Arial" w:hAnsi="Arial" w:cs="Arial"/>
          <w:i/>
          <w:iCs/>
          <w:sz w:val="22"/>
          <w:szCs w:val="22"/>
        </w:rPr>
        <w:t>Actions Needed:</w:t>
      </w:r>
      <w:r w:rsidRPr="00573891">
        <w:rPr>
          <w:rFonts w:ascii="Arial" w:hAnsi="Arial" w:cs="Arial"/>
          <w:sz w:val="22"/>
          <w:szCs w:val="22"/>
        </w:rPr>
        <w:t xml:space="preserve"> Execute the legally binding </w:t>
      </w:r>
      <w:r w:rsidR="007161F3" w:rsidRPr="00573891">
        <w:rPr>
          <w:rFonts w:ascii="Arial" w:hAnsi="Arial" w:cs="Arial"/>
          <w:sz w:val="22"/>
          <w:szCs w:val="22"/>
        </w:rPr>
        <w:t>behavioural</w:t>
      </w:r>
      <w:r w:rsidRPr="00573891">
        <w:rPr>
          <w:rFonts w:ascii="Arial" w:hAnsi="Arial" w:cs="Arial"/>
          <w:sz w:val="22"/>
          <w:szCs w:val="22"/>
        </w:rPr>
        <w:t xml:space="preserve"> remedies mandated to protect the consumer base (Competition and Markets Authority, 2024). Harmonise customer service and billing systems. Roll out transparent internal talent allocation pools to navigate corporate restructuring anxiety.</w:t>
      </w:r>
    </w:p>
    <w:p w14:paraId="0FA56425" w14:textId="77777777" w:rsidR="00673489" w:rsidRPr="00573891" w:rsidRDefault="00673489" w:rsidP="00421313">
      <w:pPr>
        <w:numPr>
          <w:ilvl w:val="1"/>
          <w:numId w:val="14"/>
        </w:numPr>
        <w:spacing w:line="360" w:lineRule="auto"/>
        <w:rPr>
          <w:rFonts w:ascii="Arial" w:hAnsi="Arial" w:cs="Arial"/>
          <w:sz w:val="22"/>
          <w:szCs w:val="22"/>
        </w:rPr>
      </w:pPr>
      <w:r w:rsidRPr="00573891">
        <w:rPr>
          <w:rFonts w:ascii="Arial" w:hAnsi="Arial" w:cs="Arial"/>
          <w:i/>
          <w:iCs/>
          <w:sz w:val="22"/>
          <w:szCs w:val="22"/>
        </w:rPr>
        <w:t>Key Performance Indicators (KPIs):</w:t>
      </w:r>
      <w:r w:rsidRPr="00573891">
        <w:rPr>
          <w:rFonts w:ascii="Arial" w:hAnsi="Arial" w:cs="Arial"/>
          <w:sz w:val="22"/>
          <w:szCs w:val="22"/>
        </w:rPr>
        <w:t xml:space="preserve"> Monthly customer churn rate; Employee morale index rating; Annual regulatory compliance audit clearances from Ofcom and the CMA (Competition and Markets Authority, 2024).</w:t>
      </w:r>
    </w:p>
    <w:p w14:paraId="56FF8BCC" w14:textId="77777777" w:rsidR="00673489" w:rsidRPr="00573891" w:rsidRDefault="00673489" w:rsidP="00421313">
      <w:pPr>
        <w:spacing w:line="360" w:lineRule="auto"/>
        <w:rPr>
          <w:rFonts w:ascii="Arial" w:hAnsi="Arial" w:cs="Arial"/>
          <w:b/>
          <w:bCs/>
          <w:sz w:val="22"/>
          <w:szCs w:val="22"/>
        </w:rPr>
      </w:pPr>
      <w:r w:rsidRPr="00573891">
        <w:rPr>
          <w:rFonts w:ascii="Arial" w:hAnsi="Arial" w:cs="Arial"/>
          <w:b/>
          <w:bCs/>
          <w:sz w:val="22"/>
          <w:szCs w:val="22"/>
        </w:rPr>
        <w:t>Monitoring and Control Matrix</w:t>
      </w:r>
    </w:p>
    <w:p w14:paraId="24A2FF55" w14:textId="77777777" w:rsidR="00673489" w:rsidRPr="00573891" w:rsidRDefault="00673489" w:rsidP="00421313">
      <w:pPr>
        <w:spacing w:line="360" w:lineRule="auto"/>
        <w:rPr>
          <w:rFonts w:ascii="Arial" w:hAnsi="Arial" w:cs="Arial"/>
          <w:sz w:val="22"/>
          <w:szCs w:val="22"/>
        </w:rPr>
      </w:pPr>
      <w:r w:rsidRPr="00573891">
        <w:rPr>
          <w:rFonts w:ascii="Arial" w:hAnsi="Arial" w:cs="Arial"/>
          <w:sz w:val="22"/>
          <w:szCs w:val="22"/>
        </w:rPr>
        <w:t>To prevent operational drift, VodafoneThree implements a dual-layered governance loop (Lynch, 2021). The executive board conducts monthly variance analyses comparing actual integration expenditure against the budgeted joint business plan. Simultaneously, an independent oversight committee submits progress tracking data directly to external regulators. This continuous monitoring ensures the organisation maintains the legal legitimacy required by state actors while delivering the financial returns demanded by institutional investors (Whittington et al., 2023).</w:t>
      </w:r>
    </w:p>
    <w:p w14:paraId="35C68113" w14:textId="0318935F" w:rsidR="00EE0A0F" w:rsidRPr="00421313" w:rsidRDefault="00EE0A0F" w:rsidP="00421313">
      <w:pPr>
        <w:pStyle w:val="ListParagraph"/>
        <w:numPr>
          <w:ilvl w:val="0"/>
          <w:numId w:val="21"/>
        </w:numPr>
        <w:spacing w:line="360" w:lineRule="auto"/>
        <w:rPr>
          <w:rFonts w:ascii="Arial" w:hAnsi="Arial" w:cs="Arial"/>
          <w:b/>
          <w:bCs/>
          <w:sz w:val="22"/>
          <w:szCs w:val="22"/>
        </w:rPr>
      </w:pPr>
      <w:r w:rsidRPr="00421313">
        <w:rPr>
          <w:rFonts w:ascii="Arial" w:hAnsi="Arial" w:cs="Arial"/>
          <w:b/>
          <w:bCs/>
          <w:sz w:val="22"/>
          <w:szCs w:val="22"/>
        </w:rPr>
        <w:t>Conclusion</w:t>
      </w:r>
    </w:p>
    <w:p w14:paraId="1B528A59" w14:textId="77777777" w:rsidR="00EE0A0F" w:rsidRPr="00573891" w:rsidRDefault="00EE0A0F" w:rsidP="00421313">
      <w:pPr>
        <w:spacing w:line="360" w:lineRule="auto"/>
        <w:rPr>
          <w:rFonts w:ascii="Arial" w:hAnsi="Arial" w:cs="Arial"/>
          <w:sz w:val="22"/>
          <w:szCs w:val="22"/>
        </w:rPr>
      </w:pPr>
      <w:r w:rsidRPr="00573891">
        <w:rPr>
          <w:rFonts w:ascii="Arial" w:hAnsi="Arial" w:cs="Arial"/>
          <w:sz w:val="22"/>
          <w:szCs w:val="22"/>
        </w:rPr>
        <w:lastRenderedPageBreak/>
        <w:t>In conclusion, the establishment of VodafoneThree represents a definitive strategic response to the aggressive competitive pressures within the UK telecommunications ecosystem (Gerry et al., 2023). By integrating 27 million customers, the newly formed entity successfully rectifies longstanding scale deficiencies, positioning itself as a dominant force against BT/EE and Virgin Media O2 (Vodafone Group, 2025). The rigorous application of the SFA framework confirms that the £11 billion investment plan is highly suitable for building infrastructure, operationally feasible through immediate network upgrades, and financially acceptable via £700 million in annual synergies (Lynch, 2021).</w:t>
      </w:r>
    </w:p>
    <w:p w14:paraId="48924702" w14:textId="77777777" w:rsidR="00EE0A0F" w:rsidRDefault="00EE0A0F" w:rsidP="00421313">
      <w:pPr>
        <w:spacing w:line="360" w:lineRule="auto"/>
        <w:rPr>
          <w:rFonts w:ascii="Arial" w:hAnsi="Arial" w:cs="Arial"/>
          <w:sz w:val="22"/>
          <w:szCs w:val="22"/>
        </w:rPr>
      </w:pPr>
      <w:r w:rsidRPr="00573891">
        <w:rPr>
          <w:rFonts w:ascii="Arial" w:hAnsi="Arial" w:cs="Arial"/>
          <w:sz w:val="22"/>
          <w:szCs w:val="22"/>
        </w:rPr>
        <w:t>Furthermore, navigating this transition requires strict adherence to Mendelow’s matrix, ensuring legally binding regulatory compliance with the CMA while mitigating employee and consumer anxieties (Whittington et al., 2023). Ultimately, if VodafoneThree maintains its dual-layered governance and monitors its rollout KPIs diligently, this merger will successfully secure long-term profitability and drive widespread technological modernization across the digital economy (Competition and Markets Authority, 2024).</w:t>
      </w:r>
    </w:p>
    <w:p w14:paraId="45CF7C7C" w14:textId="6073AD85" w:rsidR="00CA7ECE" w:rsidRPr="00421313" w:rsidRDefault="00CA7ECE" w:rsidP="00421313">
      <w:pPr>
        <w:pStyle w:val="ListParagraph"/>
        <w:numPr>
          <w:ilvl w:val="0"/>
          <w:numId w:val="21"/>
        </w:numPr>
        <w:spacing w:after="0" w:line="360" w:lineRule="auto"/>
        <w:rPr>
          <w:rFonts w:ascii="Arial" w:hAnsi="Arial" w:cs="Arial"/>
          <w:b/>
          <w:bCs/>
          <w:sz w:val="22"/>
          <w:szCs w:val="22"/>
        </w:rPr>
      </w:pPr>
      <w:r w:rsidRPr="00421313">
        <w:rPr>
          <w:rFonts w:ascii="Arial" w:hAnsi="Arial" w:cs="Arial"/>
          <w:b/>
          <w:bCs/>
          <w:sz w:val="22"/>
          <w:szCs w:val="22"/>
        </w:rPr>
        <w:t>Executive Summary</w:t>
      </w:r>
    </w:p>
    <w:p w14:paraId="43E77EEF" w14:textId="77777777" w:rsidR="00CA7ECE" w:rsidRPr="00573891" w:rsidRDefault="00CA7ECE" w:rsidP="00421313">
      <w:pPr>
        <w:spacing w:after="0" w:line="360" w:lineRule="auto"/>
        <w:ind w:firstLine="360"/>
        <w:rPr>
          <w:rFonts w:ascii="Arial" w:hAnsi="Arial" w:cs="Arial"/>
          <w:sz w:val="22"/>
          <w:szCs w:val="22"/>
        </w:rPr>
      </w:pPr>
      <w:r w:rsidRPr="00573891">
        <w:rPr>
          <w:rFonts w:ascii="Arial" w:hAnsi="Arial" w:cs="Arial"/>
          <w:sz w:val="22"/>
          <w:szCs w:val="22"/>
        </w:rPr>
        <w:t>This report evaluates the strategic repositioning of Vodafone UK following its landmark £16.5 billion merger with Three UK to establish VodafoneThree (CMA, 2024). Positioned as a market leader serving 27 million customers, the joint venture leverages an £11 billion investment program to expand standalone 5G networks, remove connectivity "not spots," and secure a projected £700 million in annual cost synergies (Vodafone Group, 2025). By examining competitive pressures from BT/EE and Virgin Media O2, this analysis delivers strategic recommendations designed to exploit expanded infrastructural capabilities. Ultimately, it provides a blueprint for sustainable growth, operational optimization, and B2B market leadership across the UK digital landscape (Grant, 2021).</w:t>
      </w:r>
    </w:p>
    <w:p w14:paraId="48678112" w14:textId="77777777" w:rsidR="00CA7ECE" w:rsidRDefault="00CA7ECE" w:rsidP="00421313">
      <w:pPr>
        <w:spacing w:line="360" w:lineRule="auto"/>
        <w:rPr>
          <w:rFonts w:ascii="Arial" w:hAnsi="Arial" w:cs="Arial"/>
          <w:sz w:val="22"/>
          <w:szCs w:val="22"/>
        </w:rPr>
      </w:pPr>
    </w:p>
    <w:p w14:paraId="34B55EB3" w14:textId="77777777" w:rsidR="00613603" w:rsidRPr="00613603" w:rsidRDefault="00613603" w:rsidP="00421313">
      <w:pPr>
        <w:spacing w:line="360" w:lineRule="auto"/>
        <w:rPr>
          <w:rFonts w:ascii="Arial" w:hAnsi="Arial" w:cs="Arial"/>
          <w:b/>
          <w:bCs/>
          <w:sz w:val="22"/>
          <w:szCs w:val="22"/>
        </w:rPr>
      </w:pPr>
      <w:r w:rsidRPr="00613603">
        <w:rPr>
          <w:rFonts w:ascii="Arial" w:hAnsi="Arial" w:cs="Arial"/>
          <w:b/>
          <w:bCs/>
          <w:sz w:val="22"/>
          <w:szCs w:val="22"/>
        </w:rPr>
        <w:t>REFERENCES:</w:t>
      </w:r>
    </w:p>
    <w:p w14:paraId="7356E341" w14:textId="317CEAC9" w:rsidR="00D74E25" w:rsidRDefault="00D74E25" w:rsidP="00421313">
      <w:pPr>
        <w:pStyle w:val="ListParagraph"/>
        <w:numPr>
          <w:ilvl w:val="0"/>
          <w:numId w:val="15"/>
        </w:numPr>
        <w:spacing w:line="360" w:lineRule="auto"/>
        <w:rPr>
          <w:rFonts w:ascii="Arial" w:hAnsi="Arial" w:cs="Arial"/>
          <w:sz w:val="22"/>
          <w:szCs w:val="22"/>
        </w:rPr>
      </w:pPr>
      <w:r w:rsidRPr="009D08F5">
        <w:rPr>
          <w:rFonts w:ascii="Arial" w:hAnsi="Arial" w:cs="Arial"/>
          <w:sz w:val="22"/>
          <w:szCs w:val="22"/>
        </w:rPr>
        <w:t>Ansoff, H.I. (1957) Strategies for Diversification. Harvard Business Review, 35(5), pp. 113-124.</w:t>
      </w:r>
    </w:p>
    <w:p w14:paraId="2C4EC1E4" w14:textId="090A5F0E" w:rsidR="00967BEF" w:rsidRPr="009D08F5" w:rsidRDefault="00967BEF" w:rsidP="00421313">
      <w:pPr>
        <w:pStyle w:val="ListParagraph"/>
        <w:numPr>
          <w:ilvl w:val="0"/>
          <w:numId w:val="15"/>
        </w:numPr>
        <w:spacing w:line="360" w:lineRule="auto"/>
        <w:rPr>
          <w:rFonts w:ascii="Arial" w:hAnsi="Arial" w:cs="Arial"/>
          <w:sz w:val="22"/>
          <w:szCs w:val="22"/>
        </w:rPr>
      </w:pPr>
      <w:r w:rsidRPr="00967BEF">
        <w:rPr>
          <w:rFonts w:ascii="Arial" w:hAnsi="Arial" w:cs="Arial"/>
          <w:sz w:val="22"/>
          <w:szCs w:val="22"/>
        </w:rPr>
        <w:t xml:space="preserve">Clifford Chance. (2024). </w:t>
      </w:r>
      <w:r w:rsidRPr="00967BEF">
        <w:rPr>
          <w:rFonts w:ascii="Arial" w:hAnsi="Arial" w:cs="Arial"/>
          <w:i/>
          <w:iCs/>
          <w:sz w:val="22"/>
          <w:szCs w:val="22"/>
        </w:rPr>
        <w:t>CMA Clears Vodafone/Three UK Merger: A Landmark Decision and its Implications</w:t>
      </w:r>
      <w:r w:rsidRPr="00967BEF">
        <w:rPr>
          <w:rFonts w:ascii="Arial" w:hAnsi="Arial" w:cs="Arial"/>
          <w:sz w:val="22"/>
          <w:szCs w:val="22"/>
        </w:rPr>
        <w:t>. Clifford Chance Briefings</w:t>
      </w:r>
    </w:p>
    <w:p w14:paraId="675916FE" w14:textId="0A7D836A" w:rsidR="00D74E25" w:rsidRPr="00125CD7" w:rsidRDefault="00D74E25" w:rsidP="00421313">
      <w:pPr>
        <w:pStyle w:val="ListParagraph"/>
        <w:numPr>
          <w:ilvl w:val="0"/>
          <w:numId w:val="15"/>
        </w:numPr>
        <w:spacing w:line="360" w:lineRule="auto"/>
        <w:rPr>
          <w:rFonts w:ascii="Arial" w:hAnsi="Arial" w:cs="Arial"/>
          <w:sz w:val="22"/>
          <w:szCs w:val="22"/>
        </w:rPr>
      </w:pPr>
      <w:r w:rsidRPr="009D08F5">
        <w:rPr>
          <w:rFonts w:ascii="Arial" w:hAnsi="Arial" w:cs="Arial"/>
          <w:sz w:val="22"/>
          <w:szCs w:val="22"/>
        </w:rPr>
        <w:t xml:space="preserve">Competition and Markets Authority (2024) Vodafone / CK Hutchison merger inquiry. </w:t>
      </w:r>
      <w:hyperlink r:id="rId11" w:history="1">
        <w:r w:rsidR="00C42E79" w:rsidRPr="009D08F5">
          <w:rPr>
            <w:rStyle w:val="Hyperlink"/>
            <w:rFonts w:ascii="Arial" w:hAnsi="Arial" w:cs="Arial"/>
            <w:sz w:val="22"/>
            <w:szCs w:val="22"/>
            <w:u w:val="none"/>
          </w:rPr>
          <w:t>https://www.gov.uk/government/news/cma-clears-vodafone-three-merger-subject-to-legally-binding-commitments</w:t>
        </w:r>
      </w:hyperlink>
    </w:p>
    <w:p w14:paraId="2AE4C425" w14:textId="183C2A1C" w:rsidR="00125CD7" w:rsidRPr="009D08F5" w:rsidRDefault="00125CD7" w:rsidP="00421313">
      <w:pPr>
        <w:pStyle w:val="ListParagraph"/>
        <w:numPr>
          <w:ilvl w:val="0"/>
          <w:numId w:val="15"/>
        </w:numPr>
        <w:spacing w:line="360" w:lineRule="auto"/>
        <w:rPr>
          <w:rFonts w:ascii="Arial" w:hAnsi="Arial" w:cs="Arial"/>
          <w:sz w:val="22"/>
          <w:szCs w:val="22"/>
        </w:rPr>
      </w:pPr>
      <w:r w:rsidRPr="00125CD7">
        <w:rPr>
          <w:rFonts w:ascii="Arial" w:hAnsi="Arial" w:cs="Arial"/>
          <w:sz w:val="22"/>
          <w:szCs w:val="22"/>
        </w:rPr>
        <w:t xml:space="preserve">Competition and Markets Authority (CMA). (2024). </w:t>
      </w:r>
      <w:r w:rsidRPr="00125CD7">
        <w:rPr>
          <w:rFonts w:ascii="Arial" w:hAnsi="Arial" w:cs="Arial"/>
          <w:i/>
          <w:iCs/>
          <w:sz w:val="22"/>
          <w:szCs w:val="22"/>
        </w:rPr>
        <w:t>Anticipated joint venture between Vodafone Group PLC and CK Hutchison Holdings Limited:</w:t>
      </w:r>
    </w:p>
    <w:p w14:paraId="003AEC3A" w14:textId="77E4E545" w:rsidR="005965CE" w:rsidRPr="009D08F5" w:rsidRDefault="005965CE" w:rsidP="00421313">
      <w:pPr>
        <w:pStyle w:val="ListParagraph"/>
        <w:numPr>
          <w:ilvl w:val="0"/>
          <w:numId w:val="15"/>
        </w:numPr>
        <w:spacing w:line="360" w:lineRule="auto"/>
        <w:rPr>
          <w:rFonts w:ascii="Arial" w:hAnsi="Arial" w:cs="Arial"/>
          <w:sz w:val="22"/>
          <w:szCs w:val="22"/>
        </w:rPr>
      </w:pPr>
      <w:r w:rsidRPr="009D08F5">
        <w:rPr>
          <w:rFonts w:ascii="Arial" w:hAnsi="Arial" w:cs="Arial"/>
          <w:sz w:val="22"/>
          <w:szCs w:val="22"/>
        </w:rPr>
        <w:lastRenderedPageBreak/>
        <w:t xml:space="preserve">Department for Science, Innovation and Technology (DSIT). (2023). </w:t>
      </w:r>
      <w:hyperlink r:id="rId12" w:tgtFrame="_blank" w:history="1">
        <w:r w:rsidRPr="009D08F5">
          <w:rPr>
            <w:rStyle w:val="Hyperlink"/>
            <w:rFonts w:ascii="Arial" w:hAnsi="Arial" w:cs="Arial"/>
            <w:sz w:val="22"/>
            <w:szCs w:val="22"/>
            <w:u w:val="none"/>
          </w:rPr>
          <w:t>UK Wireless Infrastructu</w:t>
        </w:r>
        <w:r w:rsidRPr="009D08F5">
          <w:rPr>
            <w:rStyle w:val="Hyperlink"/>
            <w:rFonts w:ascii="Arial" w:hAnsi="Arial" w:cs="Arial"/>
            <w:sz w:val="22"/>
            <w:szCs w:val="22"/>
            <w:u w:val="none"/>
          </w:rPr>
          <w:t>re Strategy</w:t>
        </w:r>
      </w:hyperlink>
      <w:r w:rsidRPr="009D08F5">
        <w:rPr>
          <w:rFonts w:ascii="Arial" w:hAnsi="Arial" w:cs="Arial"/>
          <w:sz w:val="22"/>
          <w:szCs w:val="22"/>
        </w:rPr>
        <w:t xml:space="preserve">. </w:t>
      </w:r>
      <w:hyperlink r:id="rId13" w:tgtFrame="_blank" w:history="1">
        <w:r w:rsidRPr="009D08F5">
          <w:rPr>
            <w:rStyle w:val="Hyperlink"/>
            <w:rFonts w:ascii="Arial" w:hAnsi="Arial" w:cs="Arial"/>
            <w:sz w:val="22"/>
            <w:szCs w:val="22"/>
            <w:u w:val="none"/>
          </w:rPr>
          <w:t>GOV.UK</w:t>
        </w:r>
      </w:hyperlink>
      <w:r w:rsidRPr="009D08F5">
        <w:rPr>
          <w:rFonts w:ascii="Arial" w:hAnsi="Arial" w:cs="Arial"/>
          <w:sz w:val="22"/>
          <w:szCs w:val="22"/>
        </w:rPr>
        <w:t>.</w:t>
      </w:r>
    </w:p>
    <w:p w14:paraId="5FD3FB25" w14:textId="4F194C8D" w:rsidR="00D74E25" w:rsidRPr="009D08F5" w:rsidRDefault="00D74E25" w:rsidP="00421313">
      <w:pPr>
        <w:pStyle w:val="ListParagraph"/>
        <w:numPr>
          <w:ilvl w:val="0"/>
          <w:numId w:val="15"/>
        </w:numPr>
        <w:spacing w:line="360" w:lineRule="auto"/>
        <w:rPr>
          <w:rFonts w:ascii="Arial" w:hAnsi="Arial" w:cs="Arial"/>
          <w:sz w:val="22"/>
          <w:szCs w:val="22"/>
        </w:rPr>
      </w:pPr>
      <w:r w:rsidRPr="009D08F5">
        <w:rPr>
          <w:rFonts w:ascii="Arial" w:hAnsi="Arial" w:cs="Arial"/>
          <w:sz w:val="22"/>
          <w:szCs w:val="22"/>
        </w:rPr>
        <w:t xml:space="preserve">Department for Science, Innovation and Technology (2024) UK Digital Infrastructure Strategy. Available at: </w:t>
      </w:r>
      <w:hyperlink r:id="rId14" w:history="1">
        <w:r w:rsidR="00E70171" w:rsidRPr="009D08F5">
          <w:rPr>
            <w:rStyle w:val="Hyperlink"/>
            <w:rFonts w:ascii="Arial" w:hAnsi="Arial" w:cs="Arial"/>
            <w:sz w:val="22"/>
            <w:szCs w:val="22"/>
            <w:u w:val="none"/>
          </w:rPr>
          <w:t>https://www.gov.uk/government/publications/uk-wireless-infrastructure-strategy</w:t>
        </w:r>
      </w:hyperlink>
    </w:p>
    <w:p w14:paraId="6256915B" w14:textId="28C91088" w:rsidR="00D74E25" w:rsidRPr="009D08F5" w:rsidRDefault="00D74E25" w:rsidP="00421313">
      <w:pPr>
        <w:pStyle w:val="ListParagraph"/>
        <w:numPr>
          <w:ilvl w:val="0"/>
          <w:numId w:val="15"/>
        </w:numPr>
        <w:spacing w:line="360" w:lineRule="auto"/>
        <w:rPr>
          <w:rFonts w:ascii="Arial" w:hAnsi="Arial" w:cs="Arial"/>
          <w:sz w:val="22"/>
          <w:szCs w:val="22"/>
        </w:rPr>
      </w:pPr>
      <w:r w:rsidRPr="009D08F5">
        <w:rPr>
          <w:rFonts w:ascii="Arial" w:hAnsi="Arial" w:cs="Arial"/>
          <w:sz w:val="22"/>
          <w:szCs w:val="22"/>
        </w:rPr>
        <w:t>Freeman, R.E. (2020) Strategic Management: A Stakeholder Approach. Cambridge: Cambridge University Press.</w:t>
      </w:r>
    </w:p>
    <w:p w14:paraId="2E1344E0" w14:textId="53808FB4" w:rsidR="00D74E25" w:rsidRPr="009D08F5" w:rsidRDefault="00D74E25" w:rsidP="00421313">
      <w:pPr>
        <w:pStyle w:val="ListParagraph"/>
        <w:numPr>
          <w:ilvl w:val="0"/>
          <w:numId w:val="15"/>
        </w:numPr>
        <w:spacing w:line="360" w:lineRule="auto"/>
        <w:rPr>
          <w:rFonts w:ascii="Arial" w:hAnsi="Arial" w:cs="Arial"/>
          <w:sz w:val="22"/>
          <w:szCs w:val="22"/>
        </w:rPr>
      </w:pPr>
      <w:r w:rsidRPr="009D08F5">
        <w:rPr>
          <w:rFonts w:ascii="Arial" w:hAnsi="Arial" w:cs="Arial"/>
          <w:sz w:val="22"/>
          <w:szCs w:val="22"/>
        </w:rPr>
        <w:t xml:space="preserve">Gerry, J., Scholes, K., Whittington, R., </w:t>
      </w:r>
      <w:proofErr w:type="spellStart"/>
      <w:r w:rsidRPr="009D08F5">
        <w:rPr>
          <w:rFonts w:ascii="Arial" w:hAnsi="Arial" w:cs="Arial"/>
          <w:sz w:val="22"/>
          <w:szCs w:val="22"/>
        </w:rPr>
        <w:t>Regnér</w:t>
      </w:r>
      <w:proofErr w:type="spellEnd"/>
      <w:r w:rsidRPr="009D08F5">
        <w:rPr>
          <w:rFonts w:ascii="Arial" w:hAnsi="Arial" w:cs="Arial"/>
          <w:sz w:val="22"/>
          <w:szCs w:val="22"/>
        </w:rPr>
        <w:t xml:space="preserve">, P. and Angwin, D. (2023) Exploring Strategy: Text and Cases. 13th </w:t>
      </w:r>
      <w:proofErr w:type="spellStart"/>
      <w:r w:rsidRPr="009D08F5">
        <w:rPr>
          <w:rFonts w:ascii="Arial" w:hAnsi="Arial" w:cs="Arial"/>
          <w:sz w:val="22"/>
          <w:szCs w:val="22"/>
        </w:rPr>
        <w:t>edn</w:t>
      </w:r>
      <w:proofErr w:type="spellEnd"/>
      <w:r w:rsidRPr="009D08F5">
        <w:rPr>
          <w:rFonts w:ascii="Arial" w:hAnsi="Arial" w:cs="Arial"/>
          <w:sz w:val="22"/>
          <w:szCs w:val="22"/>
        </w:rPr>
        <w:t>. London: Pearson.</w:t>
      </w:r>
    </w:p>
    <w:p w14:paraId="3445FFAC" w14:textId="7E158105" w:rsidR="00D74E25" w:rsidRPr="009D08F5" w:rsidRDefault="00D74E25" w:rsidP="00421313">
      <w:pPr>
        <w:pStyle w:val="ListParagraph"/>
        <w:numPr>
          <w:ilvl w:val="0"/>
          <w:numId w:val="15"/>
        </w:numPr>
        <w:spacing w:line="360" w:lineRule="auto"/>
        <w:rPr>
          <w:rFonts w:ascii="Arial" w:hAnsi="Arial" w:cs="Arial"/>
          <w:sz w:val="22"/>
          <w:szCs w:val="22"/>
        </w:rPr>
      </w:pPr>
      <w:r w:rsidRPr="009D08F5">
        <w:rPr>
          <w:rFonts w:ascii="Arial" w:hAnsi="Arial" w:cs="Arial"/>
          <w:sz w:val="22"/>
          <w:szCs w:val="22"/>
        </w:rPr>
        <w:t xml:space="preserve">Grant, R.M. (2021) Contemporary Strategy Analysis. 11th </w:t>
      </w:r>
      <w:proofErr w:type="spellStart"/>
      <w:r w:rsidRPr="009D08F5">
        <w:rPr>
          <w:rFonts w:ascii="Arial" w:hAnsi="Arial" w:cs="Arial"/>
          <w:sz w:val="22"/>
          <w:szCs w:val="22"/>
        </w:rPr>
        <w:t>edn</w:t>
      </w:r>
      <w:proofErr w:type="spellEnd"/>
      <w:r w:rsidRPr="009D08F5">
        <w:rPr>
          <w:rFonts w:ascii="Arial" w:hAnsi="Arial" w:cs="Arial"/>
          <w:sz w:val="22"/>
          <w:szCs w:val="22"/>
        </w:rPr>
        <w:t>. Hoboken: John Wiley &amp; Sons.</w:t>
      </w:r>
    </w:p>
    <w:p w14:paraId="7C6E2918" w14:textId="58A35D61" w:rsidR="00D74E25" w:rsidRPr="009D08F5" w:rsidRDefault="00D74E25" w:rsidP="00421313">
      <w:pPr>
        <w:pStyle w:val="ListParagraph"/>
        <w:numPr>
          <w:ilvl w:val="0"/>
          <w:numId w:val="15"/>
        </w:numPr>
        <w:spacing w:line="360" w:lineRule="auto"/>
        <w:rPr>
          <w:rFonts w:ascii="Arial" w:hAnsi="Arial" w:cs="Arial"/>
          <w:sz w:val="22"/>
          <w:szCs w:val="22"/>
        </w:rPr>
      </w:pPr>
      <w:r w:rsidRPr="009D08F5">
        <w:rPr>
          <w:rFonts w:ascii="Arial" w:hAnsi="Arial" w:cs="Arial"/>
          <w:sz w:val="22"/>
          <w:szCs w:val="22"/>
        </w:rPr>
        <w:t xml:space="preserve">Hill, C.W. (2024) Strategic Management: An Integrated Approach. 15th </w:t>
      </w:r>
      <w:proofErr w:type="spellStart"/>
      <w:r w:rsidRPr="009D08F5">
        <w:rPr>
          <w:rFonts w:ascii="Arial" w:hAnsi="Arial" w:cs="Arial"/>
          <w:sz w:val="22"/>
          <w:szCs w:val="22"/>
        </w:rPr>
        <w:t>edn</w:t>
      </w:r>
      <w:proofErr w:type="spellEnd"/>
      <w:r w:rsidRPr="009D08F5">
        <w:rPr>
          <w:rFonts w:ascii="Arial" w:hAnsi="Arial" w:cs="Arial"/>
          <w:sz w:val="22"/>
          <w:szCs w:val="22"/>
        </w:rPr>
        <w:t>. Boston: Cengage Learning.</w:t>
      </w:r>
    </w:p>
    <w:p w14:paraId="292B8617" w14:textId="1B1605D7" w:rsidR="00D74E25" w:rsidRPr="009D08F5" w:rsidRDefault="00D74E25" w:rsidP="00421313">
      <w:pPr>
        <w:pStyle w:val="ListParagraph"/>
        <w:numPr>
          <w:ilvl w:val="0"/>
          <w:numId w:val="15"/>
        </w:numPr>
        <w:spacing w:line="360" w:lineRule="auto"/>
        <w:rPr>
          <w:rFonts w:ascii="Arial" w:hAnsi="Arial" w:cs="Arial"/>
          <w:sz w:val="22"/>
          <w:szCs w:val="22"/>
        </w:rPr>
      </w:pPr>
      <w:r w:rsidRPr="009D08F5">
        <w:rPr>
          <w:rFonts w:ascii="Arial" w:hAnsi="Arial" w:cs="Arial"/>
          <w:sz w:val="22"/>
          <w:szCs w:val="22"/>
        </w:rPr>
        <w:t xml:space="preserve">Johnson, G., Whittington, R., </w:t>
      </w:r>
      <w:proofErr w:type="spellStart"/>
      <w:r w:rsidRPr="009D08F5">
        <w:rPr>
          <w:rFonts w:ascii="Arial" w:hAnsi="Arial" w:cs="Arial"/>
          <w:sz w:val="22"/>
          <w:szCs w:val="22"/>
        </w:rPr>
        <w:t>Regnér</w:t>
      </w:r>
      <w:proofErr w:type="spellEnd"/>
      <w:r w:rsidRPr="009D08F5">
        <w:rPr>
          <w:rFonts w:ascii="Arial" w:hAnsi="Arial" w:cs="Arial"/>
          <w:sz w:val="22"/>
          <w:szCs w:val="22"/>
        </w:rPr>
        <w:t xml:space="preserve">, P., Angwin, D. and Burger, P. (2023) Fundamentals of Strategy. 6th </w:t>
      </w:r>
      <w:proofErr w:type="spellStart"/>
      <w:r w:rsidRPr="009D08F5">
        <w:rPr>
          <w:rFonts w:ascii="Arial" w:hAnsi="Arial" w:cs="Arial"/>
          <w:sz w:val="22"/>
          <w:szCs w:val="22"/>
        </w:rPr>
        <w:t>edn</w:t>
      </w:r>
      <w:proofErr w:type="spellEnd"/>
      <w:r w:rsidRPr="009D08F5">
        <w:rPr>
          <w:rFonts w:ascii="Arial" w:hAnsi="Arial" w:cs="Arial"/>
          <w:sz w:val="22"/>
          <w:szCs w:val="22"/>
        </w:rPr>
        <w:t>. Harlow: Pearson.</w:t>
      </w:r>
    </w:p>
    <w:p w14:paraId="05C3EA50" w14:textId="03829381" w:rsidR="00D74E25" w:rsidRPr="009D08F5" w:rsidRDefault="00D74E25" w:rsidP="00421313">
      <w:pPr>
        <w:pStyle w:val="ListParagraph"/>
        <w:numPr>
          <w:ilvl w:val="0"/>
          <w:numId w:val="15"/>
        </w:numPr>
        <w:spacing w:line="360" w:lineRule="auto"/>
        <w:rPr>
          <w:rFonts w:ascii="Arial" w:hAnsi="Arial" w:cs="Arial"/>
          <w:sz w:val="22"/>
          <w:szCs w:val="22"/>
        </w:rPr>
      </w:pPr>
      <w:r w:rsidRPr="009D08F5">
        <w:rPr>
          <w:rFonts w:ascii="Arial" w:hAnsi="Arial" w:cs="Arial"/>
          <w:sz w:val="22"/>
          <w:szCs w:val="22"/>
        </w:rPr>
        <w:t xml:space="preserve">Johnson, G., Whittington, R., </w:t>
      </w:r>
      <w:proofErr w:type="spellStart"/>
      <w:r w:rsidRPr="009D08F5">
        <w:rPr>
          <w:rFonts w:ascii="Arial" w:hAnsi="Arial" w:cs="Arial"/>
          <w:sz w:val="22"/>
          <w:szCs w:val="22"/>
        </w:rPr>
        <w:t>Regnér</w:t>
      </w:r>
      <w:proofErr w:type="spellEnd"/>
      <w:r w:rsidRPr="009D08F5">
        <w:rPr>
          <w:rFonts w:ascii="Arial" w:hAnsi="Arial" w:cs="Arial"/>
          <w:sz w:val="22"/>
          <w:szCs w:val="22"/>
        </w:rPr>
        <w:t xml:space="preserve">, P., Scholes, K. and Angwin, D. (2020) Exploring Strategy: Text and Cases. 12th </w:t>
      </w:r>
      <w:proofErr w:type="spellStart"/>
      <w:r w:rsidRPr="009D08F5">
        <w:rPr>
          <w:rFonts w:ascii="Arial" w:hAnsi="Arial" w:cs="Arial"/>
          <w:sz w:val="22"/>
          <w:szCs w:val="22"/>
        </w:rPr>
        <w:t>edn</w:t>
      </w:r>
      <w:proofErr w:type="spellEnd"/>
      <w:r w:rsidRPr="009D08F5">
        <w:rPr>
          <w:rFonts w:ascii="Arial" w:hAnsi="Arial" w:cs="Arial"/>
          <w:sz w:val="22"/>
          <w:szCs w:val="22"/>
        </w:rPr>
        <w:t>. Harlow: Pearson.</w:t>
      </w:r>
    </w:p>
    <w:p w14:paraId="4800BD41" w14:textId="3625C0B9" w:rsidR="00D74E25" w:rsidRPr="009D08F5" w:rsidRDefault="00D74E25" w:rsidP="00421313">
      <w:pPr>
        <w:pStyle w:val="ListParagraph"/>
        <w:numPr>
          <w:ilvl w:val="0"/>
          <w:numId w:val="15"/>
        </w:numPr>
        <w:spacing w:line="360" w:lineRule="auto"/>
        <w:rPr>
          <w:rFonts w:ascii="Arial" w:hAnsi="Arial" w:cs="Arial"/>
          <w:sz w:val="22"/>
          <w:szCs w:val="22"/>
        </w:rPr>
      </w:pPr>
      <w:r w:rsidRPr="009D08F5">
        <w:rPr>
          <w:rFonts w:ascii="Arial" w:hAnsi="Arial" w:cs="Arial"/>
          <w:sz w:val="22"/>
          <w:szCs w:val="22"/>
        </w:rPr>
        <w:t xml:space="preserve">Lynch, R. (2021) Strategic Management. 9th </w:t>
      </w:r>
      <w:proofErr w:type="spellStart"/>
      <w:r w:rsidRPr="009D08F5">
        <w:rPr>
          <w:rFonts w:ascii="Arial" w:hAnsi="Arial" w:cs="Arial"/>
          <w:sz w:val="22"/>
          <w:szCs w:val="22"/>
        </w:rPr>
        <w:t>edn</w:t>
      </w:r>
      <w:proofErr w:type="spellEnd"/>
      <w:r w:rsidRPr="009D08F5">
        <w:rPr>
          <w:rFonts w:ascii="Arial" w:hAnsi="Arial" w:cs="Arial"/>
          <w:sz w:val="22"/>
          <w:szCs w:val="22"/>
        </w:rPr>
        <w:t>. London: SAGE Publications.</w:t>
      </w:r>
    </w:p>
    <w:p w14:paraId="5F69374F" w14:textId="781E0981" w:rsidR="00D74E25" w:rsidRPr="009D08F5" w:rsidRDefault="00D74E25" w:rsidP="00421313">
      <w:pPr>
        <w:pStyle w:val="ListParagraph"/>
        <w:numPr>
          <w:ilvl w:val="0"/>
          <w:numId w:val="15"/>
        </w:numPr>
        <w:spacing w:line="360" w:lineRule="auto"/>
        <w:rPr>
          <w:rFonts w:ascii="Arial" w:hAnsi="Arial" w:cs="Arial"/>
          <w:sz w:val="22"/>
          <w:szCs w:val="22"/>
        </w:rPr>
      </w:pPr>
      <w:r w:rsidRPr="009D08F5">
        <w:rPr>
          <w:rFonts w:ascii="Arial" w:hAnsi="Arial" w:cs="Arial"/>
          <w:sz w:val="22"/>
          <w:szCs w:val="22"/>
        </w:rPr>
        <w:t xml:space="preserve">Ofcom (2024) Connected Nations Report. Available at: </w:t>
      </w:r>
      <w:hyperlink r:id="rId15" w:history="1">
        <w:r w:rsidR="00845437" w:rsidRPr="009D08F5">
          <w:rPr>
            <w:rStyle w:val="Hyperlink"/>
            <w:rFonts w:ascii="Arial" w:hAnsi="Arial" w:cs="Arial"/>
            <w:sz w:val="22"/>
            <w:szCs w:val="22"/>
            <w:u w:val="none"/>
          </w:rPr>
          <w:t>https://ofcom.org.uk</w:t>
        </w:r>
      </w:hyperlink>
      <w:r w:rsidR="00845437" w:rsidRPr="009D08F5">
        <w:rPr>
          <w:rFonts w:ascii="Arial" w:hAnsi="Arial" w:cs="Arial"/>
          <w:sz w:val="22"/>
          <w:szCs w:val="22"/>
        </w:rPr>
        <w:t xml:space="preserve"> </w:t>
      </w:r>
    </w:p>
    <w:p w14:paraId="210BDBC9" w14:textId="74730098" w:rsidR="009F707E" w:rsidRPr="009D08F5" w:rsidRDefault="009F707E" w:rsidP="00421313">
      <w:pPr>
        <w:pStyle w:val="ListParagraph"/>
        <w:numPr>
          <w:ilvl w:val="0"/>
          <w:numId w:val="15"/>
        </w:numPr>
        <w:spacing w:line="360" w:lineRule="auto"/>
        <w:rPr>
          <w:rFonts w:ascii="Arial" w:hAnsi="Arial" w:cs="Arial"/>
          <w:sz w:val="22"/>
          <w:szCs w:val="22"/>
        </w:rPr>
      </w:pPr>
      <w:r w:rsidRPr="009D08F5">
        <w:rPr>
          <w:rFonts w:ascii="Arial" w:hAnsi="Arial" w:cs="Arial"/>
          <w:sz w:val="22"/>
          <w:szCs w:val="22"/>
        </w:rPr>
        <w:t xml:space="preserve">Ofcom. (2025). Communications Market Report 2025. Office of Communications. </w:t>
      </w:r>
      <w:hyperlink r:id="rId16" w:tgtFrame="_blank" w:history="1">
        <w:r w:rsidRPr="009D08F5">
          <w:rPr>
            <w:rStyle w:val="Hyperlink"/>
            <w:rFonts w:ascii="Arial" w:hAnsi="Arial" w:cs="Arial"/>
            <w:sz w:val="22"/>
            <w:szCs w:val="22"/>
            <w:u w:val="none"/>
          </w:rPr>
          <w:t>Ofcom Official Portal</w:t>
        </w:r>
      </w:hyperlink>
      <w:r w:rsidRPr="009D08F5">
        <w:rPr>
          <w:rFonts w:ascii="Arial" w:hAnsi="Arial" w:cs="Arial"/>
          <w:sz w:val="22"/>
          <w:szCs w:val="22"/>
        </w:rPr>
        <w:t>.</w:t>
      </w:r>
    </w:p>
    <w:p w14:paraId="627BC397" w14:textId="28E293D0" w:rsidR="00D74E25" w:rsidRPr="009D08F5" w:rsidRDefault="00D74E25" w:rsidP="00421313">
      <w:pPr>
        <w:pStyle w:val="ListParagraph"/>
        <w:numPr>
          <w:ilvl w:val="0"/>
          <w:numId w:val="15"/>
        </w:numPr>
        <w:spacing w:line="360" w:lineRule="auto"/>
        <w:rPr>
          <w:rFonts w:ascii="Arial" w:hAnsi="Arial" w:cs="Arial"/>
          <w:sz w:val="22"/>
          <w:szCs w:val="22"/>
        </w:rPr>
      </w:pPr>
      <w:r w:rsidRPr="009D08F5">
        <w:rPr>
          <w:rFonts w:ascii="Arial" w:hAnsi="Arial" w:cs="Arial"/>
          <w:sz w:val="22"/>
          <w:szCs w:val="22"/>
        </w:rPr>
        <w:t xml:space="preserve">Porter, M.E. (2021) Competitive Strategy: Techniques for </w:t>
      </w:r>
      <w:proofErr w:type="spellStart"/>
      <w:r w:rsidRPr="009D08F5">
        <w:rPr>
          <w:rFonts w:ascii="Arial" w:hAnsi="Arial" w:cs="Arial"/>
          <w:sz w:val="22"/>
          <w:szCs w:val="22"/>
        </w:rPr>
        <w:t>Analyzing</w:t>
      </w:r>
      <w:proofErr w:type="spellEnd"/>
      <w:r w:rsidRPr="009D08F5">
        <w:rPr>
          <w:rFonts w:ascii="Arial" w:hAnsi="Arial" w:cs="Arial"/>
          <w:sz w:val="22"/>
          <w:szCs w:val="22"/>
        </w:rPr>
        <w:t xml:space="preserve"> Industries and Competitors. Reissue </w:t>
      </w:r>
      <w:proofErr w:type="spellStart"/>
      <w:r w:rsidRPr="009D08F5">
        <w:rPr>
          <w:rFonts w:ascii="Arial" w:hAnsi="Arial" w:cs="Arial"/>
          <w:sz w:val="22"/>
          <w:szCs w:val="22"/>
        </w:rPr>
        <w:t>edn</w:t>
      </w:r>
      <w:proofErr w:type="spellEnd"/>
      <w:r w:rsidRPr="009D08F5">
        <w:rPr>
          <w:rFonts w:ascii="Arial" w:hAnsi="Arial" w:cs="Arial"/>
          <w:sz w:val="22"/>
          <w:szCs w:val="22"/>
        </w:rPr>
        <w:t>. New York: Free Press.</w:t>
      </w:r>
    </w:p>
    <w:p w14:paraId="410B554B" w14:textId="487BA4E5" w:rsidR="00D74E25" w:rsidRPr="009D08F5" w:rsidRDefault="00D74E25" w:rsidP="00421313">
      <w:pPr>
        <w:pStyle w:val="ListParagraph"/>
        <w:numPr>
          <w:ilvl w:val="0"/>
          <w:numId w:val="15"/>
        </w:numPr>
        <w:spacing w:line="360" w:lineRule="auto"/>
        <w:rPr>
          <w:rFonts w:ascii="Arial" w:hAnsi="Arial" w:cs="Arial"/>
          <w:sz w:val="22"/>
          <w:szCs w:val="22"/>
        </w:rPr>
      </w:pPr>
      <w:r w:rsidRPr="009D08F5">
        <w:rPr>
          <w:rFonts w:ascii="Arial" w:hAnsi="Arial" w:cs="Arial"/>
          <w:sz w:val="22"/>
          <w:szCs w:val="22"/>
        </w:rPr>
        <w:t xml:space="preserve">Salsberg, B., Khanna, S. and </w:t>
      </w:r>
      <w:proofErr w:type="spellStart"/>
      <w:r w:rsidRPr="009D08F5">
        <w:rPr>
          <w:rFonts w:ascii="Arial" w:hAnsi="Arial" w:cs="Arial"/>
          <w:sz w:val="22"/>
          <w:szCs w:val="22"/>
        </w:rPr>
        <w:t>Gualdi</w:t>
      </w:r>
      <w:proofErr w:type="spellEnd"/>
      <w:r w:rsidRPr="009D08F5">
        <w:rPr>
          <w:rFonts w:ascii="Arial" w:hAnsi="Arial" w:cs="Arial"/>
          <w:sz w:val="22"/>
          <w:szCs w:val="22"/>
        </w:rPr>
        <w:t>, M. (2023) The Next Generation of Digital Connectivity: Standalone 5G and Edge Computing. London: McKinsey &amp; Company Utilities Report.</w:t>
      </w:r>
    </w:p>
    <w:p w14:paraId="6AD3E520" w14:textId="5F91C1C2" w:rsidR="00D74E25" w:rsidRDefault="00D74E25" w:rsidP="00421313">
      <w:pPr>
        <w:pStyle w:val="ListParagraph"/>
        <w:numPr>
          <w:ilvl w:val="0"/>
          <w:numId w:val="15"/>
        </w:numPr>
        <w:spacing w:line="360" w:lineRule="auto"/>
        <w:rPr>
          <w:rFonts w:ascii="Arial" w:hAnsi="Arial" w:cs="Arial"/>
          <w:sz w:val="22"/>
          <w:szCs w:val="22"/>
        </w:rPr>
      </w:pPr>
      <w:r w:rsidRPr="009D08F5">
        <w:rPr>
          <w:rFonts w:ascii="Arial" w:hAnsi="Arial" w:cs="Arial"/>
          <w:sz w:val="22"/>
          <w:szCs w:val="22"/>
        </w:rPr>
        <w:t>Thompson, J. (2025) Telecom Consolidations and Cost Synergies in the UK Market. Edinburgh: Corporate Finance Press.</w:t>
      </w:r>
    </w:p>
    <w:p w14:paraId="59DE12AA" w14:textId="4112BAB8" w:rsidR="00967BEF" w:rsidRPr="009D08F5" w:rsidRDefault="00967BEF" w:rsidP="00421313">
      <w:pPr>
        <w:pStyle w:val="ListParagraph"/>
        <w:numPr>
          <w:ilvl w:val="0"/>
          <w:numId w:val="15"/>
        </w:numPr>
        <w:spacing w:line="360" w:lineRule="auto"/>
        <w:rPr>
          <w:rFonts w:ascii="Arial" w:hAnsi="Arial" w:cs="Arial"/>
          <w:sz w:val="22"/>
          <w:szCs w:val="22"/>
        </w:rPr>
      </w:pPr>
      <w:r w:rsidRPr="00967BEF">
        <w:rPr>
          <w:rFonts w:ascii="Arial" w:hAnsi="Arial" w:cs="Arial"/>
          <w:sz w:val="22"/>
          <w:szCs w:val="22"/>
        </w:rPr>
        <w:t xml:space="preserve">Total Telecom. (2026). </w:t>
      </w:r>
      <w:r w:rsidRPr="00967BEF">
        <w:rPr>
          <w:rFonts w:ascii="Arial" w:hAnsi="Arial" w:cs="Arial"/>
          <w:i/>
          <w:iCs/>
          <w:sz w:val="22"/>
          <w:szCs w:val="22"/>
        </w:rPr>
        <w:t>Vodafone to take control of VodafoneThree in £4.3bn buyout</w:t>
      </w:r>
      <w:r w:rsidRPr="00967BEF">
        <w:rPr>
          <w:rFonts w:ascii="Arial" w:hAnsi="Arial" w:cs="Arial"/>
          <w:sz w:val="22"/>
          <w:szCs w:val="22"/>
        </w:rPr>
        <w:t>. TotalTele.com.</w:t>
      </w:r>
    </w:p>
    <w:p w14:paraId="5E09F662" w14:textId="389F729D" w:rsidR="00D74E25" w:rsidRPr="009D08F5" w:rsidRDefault="00D74E25" w:rsidP="00421313">
      <w:pPr>
        <w:pStyle w:val="ListParagraph"/>
        <w:numPr>
          <w:ilvl w:val="0"/>
          <w:numId w:val="15"/>
        </w:numPr>
        <w:spacing w:line="360" w:lineRule="auto"/>
        <w:rPr>
          <w:rFonts w:ascii="Arial" w:hAnsi="Arial" w:cs="Arial"/>
          <w:sz w:val="22"/>
          <w:szCs w:val="22"/>
        </w:rPr>
      </w:pPr>
      <w:r w:rsidRPr="009D08F5">
        <w:rPr>
          <w:rFonts w:ascii="Arial" w:hAnsi="Arial" w:cs="Arial"/>
          <w:sz w:val="22"/>
          <w:szCs w:val="22"/>
        </w:rPr>
        <w:t xml:space="preserve">Valdar, A. and Morfett, I. (2024) Understanding Telecommunications Networks. 2nd </w:t>
      </w:r>
      <w:proofErr w:type="spellStart"/>
      <w:r w:rsidRPr="009D08F5">
        <w:rPr>
          <w:rFonts w:ascii="Arial" w:hAnsi="Arial" w:cs="Arial"/>
          <w:sz w:val="22"/>
          <w:szCs w:val="22"/>
        </w:rPr>
        <w:t>edn</w:t>
      </w:r>
      <w:proofErr w:type="spellEnd"/>
      <w:r w:rsidRPr="009D08F5">
        <w:rPr>
          <w:rFonts w:ascii="Arial" w:hAnsi="Arial" w:cs="Arial"/>
          <w:sz w:val="22"/>
          <w:szCs w:val="22"/>
        </w:rPr>
        <w:t>. London: Institution of Engineering and Technology.</w:t>
      </w:r>
    </w:p>
    <w:p w14:paraId="3F3DEDE3" w14:textId="2D68B230" w:rsidR="00D74E25" w:rsidRPr="009D08F5" w:rsidRDefault="00D74E25" w:rsidP="00421313">
      <w:pPr>
        <w:pStyle w:val="ListParagraph"/>
        <w:numPr>
          <w:ilvl w:val="0"/>
          <w:numId w:val="15"/>
        </w:numPr>
        <w:spacing w:line="360" w:lineRule="auto"/>
        <w:rPr>
          <w:rFonts w:ascii="Arial" w:hAnsi="Arial" w:cs="Arial"/>
          <w:sz w:val="22"/>
          <w:szCs w:val="22"/>
        </w:rPr>
      </w:pPr>
      <w:r w:rsidRPr="009D08F5">
        <w:rPr>
          <w:rFonts w:ascii="Arial" w:hAnsi="Arial" w:cs="Arial"/>
          <w:sz w:val="22"/>
          <w:szCs w:val="22"/>
        </w:rPr>
        <w:t xml:space="preserve">Vodafone Group (2023) Research shows UK businesses are ready to buy 5G Standalone. Available at: </w:t>
      </w:r>
      <w:hyperlink r:id="rId17" w:history="1">
        <w:r w:rsidR="00F46B51" w:rsidRPr="009D08F5">
          <w:rPr>
            <w:rStyle w:val="Hyperlink"/>
            <w:rFonts w:ascii="Arial" w:hAnsi="Arial" w:cs="Arial"/>
            <w:sz w:val="22"/>
            <w:szCs w:val="22"/>
            <w:u w:val="none"/>
          </w:rPr>
          <w:t>https://vodafone.co.uk</w:t>
        </w:r>
      </w:hyperlink>
      <w:r w:rsidR="00F46B51" w:rsidRPr="009D08F5">
        <w:rPr>
          <w:rFonts w:ascii="Arial" w:hAnsi="Arial" w:cs="Arial"/>
          <w:sz w:val="22"/>
          <w:szCs w:val="22"/>
        </w:rPr>
        <w:t xml:space="preserve"> </w:t>
      </w:r>
    </w:p>
    <w:p w14:paraId="45DBE09A" w14:textId="67E1CA8F" w:rsidR="00D74E25" w:rsidRPr="009D08F5" w:rsidRDefault="00D74E25" w:rsidP="00421313">
      <w:pPr>
        <w:pStyle w:val="ListParagraph"/>
        <w:numPr>
          <w:ilvl w:val="0"/>
          <w:numId w:val="15"/>
        </w:numPr>
        <w:spacing w:line="360" w:lineRule="auto"/>
        <w:rPr>
          <w:rFonts w:ascii="Arial" w:hAnsi="Arial" w:cs="Arial"/>
          <w:sz w:val="22"/>
          <w:szCs w:val="22"/>
        </w:rPr>
      </w:pPr>
      <w:r w:rsidRPr="009D08F5">
        <w:rPr>
          <w:rFonts w:ascii="Arial" w:hAnsi="Arial" w:cs="Arial"/>
          <w:sz w:val="22"/>
          <w:szCs w:val="22"/>
        </w:rPr>
        <w:t xml:space="preserve">Vodafone Group (2025) Vodafone Group Annual Report and Accounts 2025. Newbury: Vodafone Group Plc. </w:t>
      </w:r>
      <w:hyperlink r:id="rId18" w:history="1">
        <w:r w:rsidR="00845437" w:rsidRPr="009D08F5">
          <w:rPr>
            <w:rStyle w:val="Hyperlink"/>
            <w:rFonts w:ascii="Arial" w:hAnsi="Arial" w:cs="Arial"/>
            <w:sz w:val="22"/>
            <w:szCs w:val="22"/>
            <w:u w:val="none"/>
          </w:rPr>
          <w:t>https://vodafone.com</w:t>
        </w:r>
      </w:hyperlink>
      <w:r w:rsidR="00F77537" w:rsidRPr="009D08F5">
        <w:rPr>
          <w:rFonts w:ascii="Arial" w:hAnsi="Arial" w:cs="Arial"/>
          <w:sz w:val="22"/>
          <w:szCs w:val="22"/>
        </w:rPr>
        <w:t xml:space="preserve"> </w:t>
      </w:r>
    </w:p>
    <w:p w14:paraId="1F444432" w14:textId="472DE5C9" w:rsidR="00D74E25" w:rsidRPr="009D08F5" w:rsidRDefault="00D74E25" w:rsidP="00421313">
      <w:pPr>
        <w:pStyle w:val="ListParagraph"/>
        <w:numPr>
          <w:ilvl w:val="0"/>
          <w:numId w:val="15"/>
        </w:numPr>
        <w:spacing w:line="360" w:lineRule="auto"/>
        <w:rPr>
          <w:rFonts w:ascii="Arial" w:hAnsi="Arial" w:cs="Arial"/>
          <w:sz w:val="22"/>
          <w:szCs w:val="22"/>
        </w:rPr>
      </w:pPr>
      <w:r w:rsidRPr="009D08F5">
        <w:rPr>
          <w:rFonts w:ascii="Arial" w:hAnsi="Arial" w:cs="Arial"/>
          <w:sz w:val="22"/>
          <w:szCs w:val="22"/>
        </w:rPr>
        <w:lastRenderedPageBreak/>
        <w:t>Whittington, R. (2023) Digital Strategy: Principles and Practice. Cambridge: Cambridge University Press.</w:t>
      </w:r>
    </w:p>
    <w:p w14:paraId="2EBAE6ED" w14:textId="4F38A242" w:rsidR="00EE0A0F" w:rsidRPr="009D08F5" w:rsidRDefault="00D74E25" w:rsidP="00421313">
      <w:pPr>
        <w:pStyle w:val="ListParagraph"/>
        <w:numPr>
          <w:ilvl w:val="0"/>
          <w:numId w:val="15"/>
        </w:numPr>
        <w:spacing w:line="360" w:lineRule="auto"/>
        <w:rPr>
          <w:rFonts w:ascii="Arial" w:hAnsi="Arial" w:cs="Arial"/>
          <w:sz w:val="22"/>
          <w:szCs w:val="22"/>
        </w:rPr>
      </w:pPr>
      <w:r w:rsidRPr="009D08F5">
        <w:rPr>
          <w:rFonts w:ascii="Arial" w:hAnsi="Arial" w:cs="Arial"/>
          <w:sz w:val="22"/>
          <w:szCs w:val="22"/>
        </w:rPr>
        <w:t>Whittington, R., Yakis-Douglas, B. and Mayer, M. (2023) Strategic Management Essentials. Oxford: Oxford University Press.</w:t>
      </w:r>
    </w:p>
    <w:p w14:paraId="1C2A1AC6" w14:textId="77777777" w:rsidR="00673489" w:rsidRPr="00573891" w:rsidRDefault="00673489" w:rsidP="00421313">
      <w:pPr>
        <w:spacing w:line="360" w:lineRule="auto"/>
        <w:rPr>
          <w:rFonts w:ascii="Arial" w:hAnsi="Arial" w:cs="Arial"/>
          <w:sz w:val="22"/>
          <w:szCs w:val="22"/>
        </w:rPr>
      </w:pPr>
    </w:p>
    <w:p w14:paraId="74174D87" w14:textId="77777777" w:rsidR="00D65560" w:rsidRPr="00D65560" w:rsidRDefault="00D65560" w:rsidP="00421313">
      <w:pPr>
        <w:spacing w:line="360" w:lineRule="auto"/>
        <w:rPr>
          <w:rFonts w:ascii="Arial" w:hAnsi="Arial" w:cs="Arial"/>
          <w:b/>
          <w:bCs/>
          <w:sz w:val="22"/>
          <w:szCs w:val="22"/>
        </w:rPr>
      </w:pPr>
      <w:r w:rsidRPr="00D65560">
        <w:rPr>
          <w:rFonts w:ascii="Arial" w:hAnsi="Arial" w:cs="Arial"/>
          <w:b/>
          <w:bCs/>
          <w:sz w:val="22"/>
          <w:szCs w:val="22"/>
        </w:rPr>
        <w:t>Appendix A: PESTEL Macro-Environmental Dimension Summary Matrix</w:t>
      </w:r>
    </w:p>
    <w:tbl>
      <w:tblPr>
        <w:tblStyle w:val="TableGrid"/>
        <w:tblW w:w="0" w:type="auto"/>
        <w:tblLook w:val="04A0" w:firstRow="1" w:lastRow="0" w:firstColumn="1" w:lastColumn="0" w:noHBand="0" w:noVBand="1"/>
      </w:tblPr>
      <w:tblGrid>
        <w:gridCol w:w="9016"/>
      </w:tblGrid>
      <w:tr w:rsidR="00827049" w14:paraId="6C649970" w14:textId="77777777">
        <w:tc>
          <w:tcPr>
            <w:tcW w:w="9016" w:type="dxa"/>
          </w:tcPr>
          <w:tbl>
            <w:tblPr>
              <w:tblW w:w="0" w:type="auto"/>
              <w:tblCellSpacing w:w="15" w:type="dxa"/>
              <w:tblBorders>
                <w:insideH w:val="single" w:sz="6" w:space="0" w:color="363840"/>
                <w:insideV w:val="single" w:sz="4" w:space="0" w:color="auto"/>
              </w:tblBorders>
              <w:tblCellMar>
                <w:top w:w="15" w:type="dxa"/>
                <w:left w:w="15" w:type="dxa"/>
                <w:bottom w:w="15" w:type="dxa"/>
                <w:right w:w="15" w:type="dxa"/>
              </w:tblCellMar>
              <w:tblLook w:val="04A0" w:firstRow="1" w:lastRow="0" w:firstColumn="1" w:lastColumn="0" w:noHBand="0" w:noVBand="1"/>
            </w:tblPr>
            <w:tblGrid>
              <w:gridCol w:w="1658"/>
              <w:gridCol w:w="4889"/>
              <w:gridCol w:w="2253"/>
            </w:tblGrid>
            <w:tr w:rsidR="00827049" w:rsidRPr="00827049" w14:paraId="564E4490" w14:textId="77777777" w:rsidTr="00FB7EF6">
              <w:trPr>
                <w:tblCellSpacing w:w="15" w:type="dxa"/>
              </w:trPr>
              <w:tc>
                <w:tcPr>
                  <w:tcW w:w="0" w:type="auto"/>
                  <w:vAlign w:val="center"/>
                  <w:hideMark/>
                </w:tcPr>
                <w:p w14:paraId="40539608" w14:textId="77777777" w:rsidR="00827049" w:rsidRPr="00827049" w:rsidRDefault="00827049" w:rsidP="00421313">
                  <w:pPr>
                    <w:spacing w:line="360" w:lineRule="auto"/>
                    <w:rPr>
                      <w:rFonts w:ascii="Arial" w:hAnsi="Arial" w:cs="Arial"/>
                      <w:b/>
                      <w:bCs/>
                      <w:sz w:val="22"/>
                      <w:szCs w:val="22"/>
                    </w:rPr>
                  </w:pPr>
                  <w:r w:rsidRPr="00827049">
                    <w:rPr>
                      <w:rFonts w:ascii="Arial" w:hAnsi="Arial" w:cs="Arial"/>
                      <w:b/>
                      <w:bCs/>
                      <w:sz w:val="22"/>
                      <w:szCs w:val="22"/>
                    </w:rPr>
                    <w:t>Dimension</w:t>
                  </w:r>
                </w:p>
              </w:tc>
              <w:tc>
                <w:tcPr>
                  <w:tcW w:w="0" w:type="auto"/>
                  <w:vAlign w:val="center"/>
                  <w:hideMark/>
                </w:tcPr>
                <w:p w14:paraId="61AF75B0" w14:textId="77777777" w:rsidR="00827049" w:rsidRPr="00827049" w:rsidRDefault="00827049" w:rsidP="00421313">
                  <w:pPr>
                    <w:spacing w:line="360" w:lineRule="auto"/>
                    <w:rPr>
                      <w:rFonts w:ascii="Arial" w:hAnsi="Arial" w:cs="Arial"/>
                      <w:b/>
                      <w:bCs/>
                      <w:sz w:val="22"/>
                      <w:szCs w:val="22"/>
                    </w:rPr>
                  </w:pPr>
                  <w:r w:rsidRPr="00827049">
                    <w:rPr>
                      <w:rFonts w:ascii="Arial" w:hAnsi="Arial" w:cs="Arial"/>
                      <w:b/>
                      <w:bCs/>
                      <w:sz w:val="22"/>
                      <w:szCs w:val="22"/>
                    </w:rPr>
                    <w:t>Core Strategic Drivers &amp; Pressures</w:t>
                  </w:r>
                </w:p>
              </w:tc>
              <w:tc>
                <w:tcPr>
                  <w:tcW w:w="0" w:type="auto"/>
                  <w:vAlign w:val="center"/>
                  <w:hideMark/>
                </w:tcPr>
                <w:p w14:paraId="2342D767" w14:textId="77777777" w:rsidR="00827049" w:rsidRPr="00827049" w:rsidRDefault="00827049" w:rsidP="00421313">
                  <w:pPr>
                    <w:spacing w:line="360" w:lineRule="auto"/>
                    <w:rPr>
                      <w:rFonts w:ascii="Arial" w:hAnsi="Arial" w:cs="Arial"/>
                      <w:b/>
                      <w:bCs/>
                      <w:sz w:val="22"/>
                      <w:szCs w:val="22"/>
                    </w:rPr>
                  </w:pPr>
                  <w:r w:rsidRPr="00827049">
                    <w:rPr>
                      <w:rFonts w:ascii="Arial" w:hAnsi="Arial" w:cs="Arial"/>
                      <w:b/>
                      <w:bCs/>
                      <w:sz w:val="22"/>
                      <w:szCs w:val="22"/>
                    </w:rPr>
                    <w:t>Academic/Official Source(s)</w:t>
                  </w:r>
                </w:p>
              </w:tc>
            </w:tr>
            <w:tr w:rsidR="00827049" w:rsidRPr="00827049" w14:paraId="0626D980" w14:textId="77777777" w:rsidTr="00FB7EF6">
              <w:trPr>
                <w:tblCellSpacing w:w="15" w:type="dxa"/>
              </w:trPr>
              <w:tc>
                <w:tcPr>
                  <w:tcW w:w="0" w:type="auto"/>
                  <w:vAlign w:val="center"/>
                  <w:hideMark/>
                </w:tcPr>
                <w:p w14:paraId="13A9205B" w14:textId="77777777" w:rsidR="00827049" w:rsidRPr="00827049" w:rsidRDefault="00827049" w:rsidP="00421313">
                  <w:pPr>
                    <w:spacing w:line="360" w:lineRule="auto"/>
                    <w:rPr>
                      <w:rFonts w:ascii="Arial" w:hAnsi="Arial" w:cs="Arial"/>
                      <w:sz w:val="22"/>
                      <w:szCs w:val="22"/>
                    </w:rPr>
                  </w:pPr>
                  <w:r w:rsidRPr="00827049">
                    <w:rPr>
                      <w:rFonts w:ascii="Arial" w:hAnsi="Arial" w:cs="Arial"/>
                      <w:b/>
                      <w:bCs/>
                      <w:sz w:val="22"/>
                      <w:szCs w:val="22"/>
                    </w:rPr>
                    <w:t>Political &amp; Legal</w:t>
                  </w:r>
                </w:p>
              </w:tc>
              <w:tc>
                <w:tcPr>
                  <w:tcW w:w="0" w:type="auto"/>
                  <w:vAlign w:val="center"/>
                  <w:hideMark/>
                </w:tcPr>
                <w:p w14:paraId="5A4B06F1" w14:textId="77777777" w:rsidR="00827049" w:rsidRPr="00827049" w:rsidRDefault="00827049" w:rsidP="00421313">
                  <w:pPr>
                    <w:spacing w:line="360" w:lineRule="auto"/>
                    <w:rPr>
                      <w:rFonts w:ascii="Arial" w:hAnsi="Arial" w:cs="Arial"/>
                      <w:sz w:val="22"/>
                      <w:szCs w:val="22"/>
                    </w:rPr>
                  </w:pPr>
                  <w:r w:rsidRPr="00827049">
                    <w:rPr>
                      <w:rFonts w:ascii="Arial" w:hAnsi="Arial" w:cs="Arial"/>
                      <w:sz w:val="22"/>
                      <w:szCs w:val="22"/>
                    </w:rPr>
                    <w:t>Nationwide standalone 5G deployment to drive productivity; compliance with strict security mandates and high-risk vendor exclusion costs.</w:t>
                  </w:r>
                </w:p>
              </w:tc>
              <w:tc>
                <w:tcPr>
                  <w:tcW w:w="0" w:type="auto"/>
                  <w:vAlign w:val="center"/>
                  <w:hideMark/>
                </w:tcPr>
                <w:p w14:paraId="0B563B1F" w14:textId="77777777" w:rsidR="00827049" w:rsidRPr="00827049" w:rsidRDefault="00827049" w:rsidP="00421313">
                  <w:pPr>
                    <w:spacing w:line="360" w:lineRule="auto"/>
                    <w:rPr>
                      <w:rFonts w:ascii="Arial" w:hAnsi="Arial" w:cs="Arial"/>
                      <w:sz w:val="22"/>
                      <w:szCs w:val="22"/>
                    </w:rPr>
                  </w:pPr>
                  <w:hyperlink r:id="rId19" w:tgtFrame="_blank" w:history="1">
                    <w:r w:rsidRPr="00827049">
                      <w:rPr>
                        <w:rStyle w:val="Hyperlink"/>
                        <w:rFonts w:ascii="Arial" w:hAnsi="Arial" w:cs="Arial"/>
                        <w:sz w:val="22"/>
                        <w:szCs w:val="22"/>
                      </w:rPr>
                      <w:t>DSIT (2023)</w:t>
                    </w:r>
                  </w:hyperlink>
                  <w:r w:rsidRPr="00827049">
                    <w:rPr>
                      <w:rFonts w:ascii="Arial" w:hAnsi="Arial" w:cs="Arial"/>
                      <w:sz w:val="22"/>
                      <w:szCs w:val="22"/>
                    </w:rPr>
                    <w:t>; Whittington (2023)</w:t>
                  </w:r>
                </w:p>
              </w:tc>
            </w:tr>
            <w:tr w:rsidR="00827049" w:rsidRPr="00827049" w14:paraId="7161CD73" w14:textId="77777777" w:rsidTr="00FB7EF6">
              <w:trPr>
                <w:tblCellSpacing w:w="15" w:type="dxa"/>
              </w:trPr>
              <w:tc>
                <w:tcPr>
                  <w:tcW w:w="0" w:type="auto"/>
                  <w:vAlign w:val="center"/>
                  <w:hideMark/>
                </w:tcPr>
                <w:p w14:paraId="1B72B0AF" w14:textId="77777777" w:rsidR="00827049" w:rsidRPr="00827049" w:rsidRDefault="00827049" w:rsidP="00421313">
                  <w:pPr>
                    <w:spacing w:line="360" w:lineRule="auto"/>
                    <w:rPr>
                      <w:rFonts w:ascii="Arial" w:hAnsi="Arial" w:cs="Arial"/>
                      <w:sz w:val="22"/>
                      <w:szCs w:val="22"/>
                    </w:rPr>
                  </w:pPr>
                  <w:r w:rsidRPr="00827049">
                    <w:rPr>
                      <w:rFonts w:ascii="Arial" w:hAnsi="Arial" w:cs="Arial"/>
                      <w:b/>
                      <w:bCs/>
                      <w:sz w:val="22"/>
                      <w:szCs w:val="22"/>
                    </w:rPr>
                    <w:t>Economic</w:t>
                  </w:r>
                </w:p>
              </w:tc>
              <w:tc>
                <w:tcPr>
                  <w:tcW w:w="0" w:type="auto"/>
                  <w:vAlign w:val="center"/>
                  <w:hideMark/>
                </w:tcPr>
                <w:p w14:paraId="19F0F15C" w14:textId="77777777" w:rsidR="00827049" w:rsidRPr="00827049" w:rsidRDefault="00827049" w:rsidP="00421313">
                  <w:pPr>
                    <w:spacing w:line="360" w:lineRule="auto"/>
                    <w:rPr>
                      <w:rFonts w:ascii="Arial" w:hAnsi="Arial" w:cs="Arial"/>
                      <w:sz w:val="22"/>
                      <w:szCs w:val="22"/>
                    </w:rPr>
                  </w:pPr>
                  <w:r w:rsidRPr="00827049">
                    <w:rPr>
                      <w:rFonts w:ascii="Arial" w:hAnsi="Arial" w:cs="Arial"/>
                      <w:sz w:val="22"/>
                      <w:szCs w:val="22"/>
                    </w:rPr>
                    <w:t>Elevated capital costs due to inflation/interest rates; shift to cost-conscious consumer alternatives; market growth sustained by enterprise contracts.</w:t>
                  </w:r>
                </w:p>
              </w:tc>
              <w:tc>
                <w:tcPr>
                  <w:tcW w:w="0" w:type="auto"/>
                  <w:vAlign w:val="center"/>
                  <w:hideMark/>
                </w:tcPr>
                <w:p w14:paraId="4B680A59" w14:textId="77777777" w:rsidR="00827049" w:rsidRPr="00827049" w:rsidRDefault="00827049" w:rsidP="00421313">
                  <w:pPr>
                    <w:spacing w:line="360" w:lineRule="auto"/>
                    <w:rPr>
                      <w:rFonts w:ascii="Arial" w:hAnsi="Arial" w:cs="Arial"/>
                      <w:sz w:val="22"/>
                      <w:szCs w:val="22"/>
                    </w:rPr>
                  </w:pPr>
                  <w:hyperlink r:id="rId20" w:tgtFrame="_blank" w:history="1">
                    <w:r w:rsidRPr="00827049">
                      <w:rPr>
                        <w:rStyle w:val="Hyperlink"/>
                        <w:rFonts w:ascii="Arial" w:hAnsi="Arial" w:cs="Arial"/>
                        <w:sz w:val="22"/>
                        <w:szCs w:val="22"/>
                      </w:rPr>
                      <w:t>Ofcom (2025)</w:t>
                    </w:r>
                  </w:hyperlink>
                </w:p>
              </w:tc>
            </w:tr>
            <w:tr w:rsidR="00827049" w:rsidRPr="00827049" w14:paraId="54F20243" w14:textId="77777777" w:rsidTr="00FB7EF6">
              <w:trPr>
                <w:tblCellSpacing w:w="15" w:type="dxa"/>
              </w:trPr>
              <w:tc>
                <w:tcPr>
                  <w:tcW w:w="0" w:type="auto"/>
                  <w:vAlign w:val="center"/>
                  <w:hideMark/>
                </w:tcPr>
                <w:p w14:paraId="50139BCE" w14:textId="77777777" w:rsidR="00827049" w:rsidRPr="00827049" w:rsidRDefault="00827049" w:rsidP="00421313">
                  <w:pPr>
                    <w:spacing w:line="360" w:lineRule="auto"/>
                    <w:rPr>
                      <w:rFonts w:ascii="Arial" w:hAnsi="Arial" w:cs="Arial"/>
                      <w:sz w:val="22"/>
                      <w:szCs w:val="22"/>
                    </w:rPr>
                  </w:pPr>
                  <w:r w:rsidRPr="00827049">
                    <w:rPr>
                      <w:rFonts w:ascii="Arial" w:hAnsi="Arial" w:cs="Arial"/>
                      <w:b/>
                      <w:bCs/>
                      <w:sz w:val="22"/>
                      <w:szCs w:val="22"/>
                    </w:rPr>
                    <w:t>Social</w:t>
                  </w:r>
                </w:p>
              </w:tc>
              <w:tc>
                <w:tcPr>
                  <w:tcW w:w="0" w:type="auto"/>
                  <w:vAlign w:val="center"/>
                  <w:hideMark/>
                </w:tcPr>
                <w:p w14:paraId="1B4CFE63" w14:textId="77777777" w:rsidR="00827049" w:rsidRPr="00827049" w:rsidRDefault="00827049" w:rsidP="00421313">
                  <w:pPr>
                    <w:spacing w:line="360" w:lineRule="auto"/>
                    <w:rPr>
                      <w:rFonts w:ascii="Arial" w:hAnsi="Arial" w:cs="Arial"/>
                      <w:sz w:val="22"/>
                      <w:szCs w:val="22"/>
                    </w:rPr>
                  </w:pPr>
                  <w:r w:rsidRPr="00827049">
                    <w:rPr>
                      <w:rFonts w:ascii="Arial" w:hAnsi="Arial" w:cs="Arial"/>
                      <w:sz w:val="22"/>
                      <w:szCs w:val="22"/>
                    </w:rPr>
                    <w:t>Structural reliance on low-latency connections for hybrid work; +15.2% YoY data consumption growth; transition of network status to essential utility.</w:t>
                  </w:r>
                </w:p>
              </w:tc>
              <w:tc>
                <w:tcPr>
                  <w:tcW w:w="0" w:type="auto"/>
                  <w:vAlign w:val="center"/>
                  <w:hideMark/>
                </w:tcPr>
                <w:p w14:paraId="73C7D98E" w14:textId="77777777" w:rsidR="00827049" w:rsidRPr="00827049" w:rsidRDefault="00827049" w:rsidP="00421313">
                  <w:pPr>
                    <w:spacing w:line="360" w:lineRule="auto"/>
                    <w:rPr>
                      <w:rFonts w:ascii="Arial" w:hAnsi="Arial" w:cs="Arial"/>
                      <w:sz w:val="22"/>
                      <w:szCs w:val="22"/>
                    </w:rPr>
                  </w:pPr>
                  <w:r w:rsidRPr="00827049">
                    <w:rPr>
                      <w:rFonts w:ascii="Arial" w:hAnsi="Arial" w:cs="Arial"/>
                      <w:sz w:val="22"/>
                      <w:szCs w:val="22"/>
                    </w:rPr>
                    <w:t>Ofcom (2025)</w:t>
                  </w:r>
                </w:p>
              </w:tc>
            </w:tr>
            <w:tr w:rsidR="00827049" w:rsidRPr="00827049" w14:paraId="2AB59531" w14:textId="77777777" w:rsidTr="00FB7EF6">
              <w:trPr>
                <w:tblCellSpacing w:w="15" w:type="dxa"/>
              </w:trPr>
              <w:tc>
                <w:tcPr>
                  <w:tcW w:w="0" w:type="auto"/>
                  <w:vAlign w:val="center"/>
                  <w:hideMark/>
                </w:tcPr>
                <w:p w14:paraId="634DB0E9" w14:textId="77777777" w:rsidR="00827049" w:rsidRPr="00827049" w:rsidRDefault="00827049" w:rsidP="00421313">
                  <w:pPr>
                    <w:spacing w:line="360" w:lineRule="auto"/>
                    <w:rPr>
                      <w:rFonts w:ascii="Arial" w:hAnsi="Arial" w:cs="Arial"/>
                      <w:sz w:val="22"/>
                      <w:szCs w:val="22"/>
                    </w:rPr>
                  </w:pPr>
                  <w:r w:rsidRPr="00827049">
                    <w:rPr>
                      <w:rFonts w:ascii="Arial" w:hAnsi="Arial" w:cs="Arial"/>
                      <w:b/>
                      <w:bCs/>
                      <w:sz w:val="22"/>
                      <w:szCs w:val="22"/>
                    </w:rPr>
                    <w:t>Technological</w:t>
                  </w:r>
                </w:p>
              </w:tc>
              <w:tc>
                <w:tcPr>
                  <w:tcW w:w="0" w:type="auto"/>
                  <w:vAlign w:val="center"/>
                  <w:hideMark/>
                </w:tcPr>
                <w:p w14:paraId="3688BC0D" w14:textId="77777777" w:rsidR="00827049" w:rsidRPr="00827049" w:rsidRDefault="00827049" w:rsidP="00421313">
                  <w:pPr>
                    <w:spacing w:line="360" w:lineRule="auto"/>
                    <w:rPr>
                      <w:rFonts w:ascii="Arial" w:hAnsi="Arial" w:cs="Arial"/>
                      <w:sz w:val="22"/>
                      <w:szCs w:val="22"/>
                    </w:rPr>
                  </w:pPr>
                  <w:r w:rsidRPr="00827049">
                    <w:rPr>
                      <w:rFonts w:ascii="Arial" w:hAnsi="Arial" w:cs="Arial"/>
                      <w:sz w:val="22"/>
                      <w:szCs w:val="22"/>
                    </w:rPr>
                    <w:t>Acceleration of Fixed-Mobile Convergence (FMC), network slicing capabilities, Multi-Access Edge Computing (MEC), and autonomous Industrial IoT.</w:t>
                  </w:r>
                </w:p>
              </w:tc>
              <w:tc>
                <w:tcPr>
                  <w:tcW w:w="0" w:type="auto"/>
                  <w:vAlign w:val="center"/>
                  <w:hideMark/>
                </w:tcPr>
                <w:p w14:paraId="36A31DA8" w14:textId="77777777" w:rsidR="00827049" w:rsidRPr="00827049" w:rsidRDefault="00827049" w:rsidP="00421313">
                  <w:pPr>
                    <w:spacing w:line="360" w:lineRule="auto"/>
                    <w:rPr>
                      <w:rFonts w:ascii="Arial" w:hAnsi="Arial" w:cs="Arial"/>
                      <w:sz w:val="22"/>
                      <w:szCs w:val="22"/>
                    </w:rPr>
                  </w:pPr>
                  <w:r w:rsidRPr="00827049">
                    <w:rPr>
                      <w:rFonts w:ascii="Arial" w:hAnsi="Arial" w:cs="Arial"/>
                      <w:sz w:val="22"/>
                      <w:szCs w:val="22"/>
                    </w:rPr>
                    <w:t>DSIT (2024); Ofcom (2025)</w:t>
                  </w:r>
                </w:p>
              </w:tc>
            </w:tr>
            <w:tr w:rsidR="00827049" w:rsidRPr="00827049" w14:paraId="356D37F5" w14:textId="77777777" w:rsidTr="00FB7EF6">
              <w:trPr>
                <w:tblCellSpacing w:w="15" w:type="dxa"/>
              </w:trPr>
              <w:tc>
                <w:tcPr>
                  <w:tcW w:w="0" w:type="auto"/>
                  <w:vAlign w:val="center"/>
                  <w:hideMark/>
                </w:tcPr>
                <w:p w14:paraId="13294681" w14:textId="77777777" w:rsidR="00827049" w:rsidRPr="00827049" w:rsidRDefault="00827049" w:rsidP="00421313">
                  <w:pPr>
                    <w:spacing w:line="360" w:lineRule="auto"/>
                    <w:rPr>
                      <w:rFonts w:ascii="Arial" w:hAnsi="Arial" w:cs="Arial"/>
                      <w:sz w:val="22"/>
                      <w:szCs w:val="22"/>
                    </w:rPr>
                  </w:pPr>
                  <w:r w:rsidRPr="00827049">
                    <w:rPr>
                      <w:rFonts w:ascii="Arial" w:hAnsi="Arial" w:cs="Arial"/>
                      <w:b/>
                      <w:bCs/>
                      <w:sz w:val="22"/>
                      <w:szCs w:val="22"/>
                    </w:rPr>
                    <w:t>Environmental</w:t>
                  </w:r>
                </w:p>
              </w:tc>
              <w:tc>
                <w:tcPr>
                  <w:tcW w:w="0" w:type="auto"/>
                  <w:vAlign w:val="center"/>
                  <w:hideMark/>
                </w:tcPr>
                <w:p w14:paraId="31828434" w14:textId="77777777" w:rsidR="00827049" w:rsidRPr="00827049" w:rsidRDefault="00827049" w:rsidP="00421313">
                  <w:pPr>
                    <w:spacing w:line="360" w:lineRule="auto"/>
                    <w:rPr>
                      <w:rFonts w:ascii="Arial" w:hAnsi="Arial" w:cs="Arial"/>
                      <w:sz w:val="22"/>
                      <w:szCs w:val="22"/>
                    </w:rPr>
                  </w:pPr>
                  <w:r w:rsidRPr="00827049">
                    <w:rPr>
                      <w:rFonts w:ascii="Arial" w:hAnsi="Arial" w:cs="Arial"/>
                      <w:sz w:val="22"/>
                      <w:szCs w:val="22"/>
                    </w:rPr>
                    <w:t>Managing power surges from dense standalone 5G grid rollouts; keeping pace with corporate carbon-neutral targets and green legislative models.</w:t>
                  </w:r>
                </w:p>
              </w:tc>
              <w:tc>
                <w:tcPr>
                  <w:tcW w:w="0" w:type="auto"/>
                  <w:vAlign w:val="center"/>
                  <w:hideMark/>
                </w:tcPr>
                <w:p w14:paraId="77168159" w14:textId="77777777" w:rsidR="00827049" w:rsidRPr="00827049" w:rsidRDefault="00827049" w:rsidP="00421313">
                  <w:pPr>
                    <w:spacing w:line="360" w:lineRule="auto"/>
                    <w:rPr>
                      <w:rFonts w:ascii="Arial" w:hAnsi="Arial" w:cs="Arial"/>
                      <w:sz w:val="22"/>
                      <w:szCs w:val="22"/>
                    </w:rPr>
                  </w:pPr>
                  <w:r w:rsidRPr="00827049">
                    <w:rPr>
                      <w:rFonts w:ascii="Arial" w:hAnsi="Arial" w:cs="Arial"/>
                      <w:sz w:val="22"/>
                      <w:szCs w:val="22"/>
                    </w:rPr>
                    <w:t>Hill (2024)</w:t>
                  </w:r>
                </w:p>
              </w:tc>
            </w:tr>
            <w:tr w:rsidR="00827049" w:rsidRPr="00827049" w14:paraId="4981C3CC" w14:textId="77777777" w:rsidTr="00FB7EF6">
              <w:trPr>
                <w:tblCellSpacing w:w="15" w:type="dxa"/>
              </w:trPr>
              <w:tc>
                <w:tcPr>
                  <w:tcW w:w="0" w:type="auto"/>
                  <w:vAlign w:val="center"/>
                  <w:hideMark/>
                </w:tcPr>
                <w:p w14:paraId="3A0878F6" w14:textId="77777777" w:rsidR="00827049" w:rsidRPr="00827049" w:rsidRDefault="00827049" w:rsidP="00421313">
                  <w:pPr>
                    <w:spacing w:line="360" w:lineRule="auto"/>
                    <w:rPr>
                      <w:rFonts w:ascii="Arial" w:hAnsi="Arial" w:cs="Arial"/>
                      <w:sz w:val="22"/>
                      <w:szCs w:val="22"/>
                    </w:rPr>
                  </w:pPr>
                  <w:r w:rsidRPr="00827049">
                    <w:rPr>
                      <w:rFonts w:ascii="Arial" w:hAnsi="Arial" w:cs="Arial"/>
                      <w:b/>
                      <w:bCs/>
                      <w:sz w:val="22"/>
                      <w:szCs w:val="22"/>
                    </w:rPr>
                    <w:t>Regulatory</w:t>
                  </w:r>
                </w:p>
              </w:tc>
              <w:tc>
                <w:tcPr>
                  <w:tcW w:w="0" w:type="auto"/>
                  <w:vAlign w:val="center"/>
                  <w:hideMark/>
                </w:tcPr>
                <w:p w14:paraId="72154FBA" w14:textId="77777777" w:rsidR="00827049" w:rsidRPr="00827049" w:rsidRDefault="00827049" w:rsidP="00421313">
                  <w:pPr>
                    <w:spacing w:line="360" w:lineRule="auto"/>
                    <w:rPr>
                      <w:rFonts w:ascii="Arial" w:hAnsi="Arial" w:cs="Arial"/>
                      <w:sz w:val="22"/>
                      <w:szCs w:val="22"/>
                    </w:rPr>
                  </w:pPr>
                  <w:r w:rsidRPr="00827049">
                    <w:rPr>
                      <w:rFonts w:ascii="Arial" w:hAnsi="Arial" w:cs="Arial"/>
                      <w:sz w:val="22"/>
                      <w:szCs w:val="22"/>
                    </w:rPr>
                    <w:t>Strict market intervention; landmark £16.5B telecom merger conditional approval tied to a 10-year investment blueprint and 3-year price caps.</w:t>
                  </w:r>
                </w:p>
              </w:tc>
              <w:tc>
                <w:tcPr>
                  <w:tcW w:w="0" w:type="auto"/>
                  <w:vAlign w:val="center"/>
                  <w:hideMark/>
                </w:tcPr>
                <w:p w14:paraId="36A09505" w14:textId="77777777" w:rsidR="00827049" w:rsidRPr="00827049" w:rsidRDefault="00827049" w:rsidP="00421313">
                  <w:pPr>
                    <w:spacing w:line="360" w:lineRule="auto"/>
                    <w:rPr>
                      <w:rFonts w:ascii="Arial" w:hAnsi="Arial" w:cs="Arial"/>
                      <w:sz w:val="22"/>
                      <w:szCs w:val="22"/>
                    </w:rPr>
                  </w:pPr>
                  <w:hyperlink r:id="rId21" w:tgtFrame="_blank" w:history="1">
                    <w:r w:rsidRPr="00827049">
                      <w:rPr>
                        <w:rStyle w:val="Hyperlink"/>
                        <w:rFonts w:ascii="Arial" w:hAnsi="Arial" w:cs="Arial"/>
                        <w:sz w:val="22"/>
                        <w:szCs w:val="22"/>
                      </w:rPr>
                      <w:t>CMA (2024)</w:t>
                    </w:r>
                  </w:hyperlink>
                  <w:r w:rsidRPr="00827049">
                    <w:rPr>
                      <w:rFonts w:ascii="Arial" w:hAnsi="Arial" w:cs="Arial"/>
                      <w:sz w:val="22"/>
                      <w:szCs w:val="22"/>
                    </w:rPr>
                    <w:t>; Ofcom (2024)</w:t>
                  </w:r>
                </w:p>
              </w:tc>
            </w:tr>
          </w:tbl>
          <w:p w14:paraId="124140EE" w14:textId="77777777" w:rsidR="00827049" w:rsidRDefault="00827049" w:rsidP="00421313">
            <w:pPr>
              <w:spacing w:line="360" w:lineRule="auto"/>
            </w:pPr>
          </w:p>
        </w:tc>
      </w:tr>
    </w:tbl>
    <w:p w14:paraId="1651EEEE" w14:textId="77777777" w:rsidR="00673489" w:rsidRPr="00573891" w:rsidRDefault="00673489" w:rsidP="00421313">
      <w:pPr>
        <w:spacing w:line="360" w:lineRule="auto"/>
        <w:rPr>
          <w:rFonts w:ascii="Arial" w:hAnsi="Arial" w:cs="Arial"/>
          <w:sz w:val="22"/>
          <w:szCs w:val="22"/>
        </w:rPr>
      </w:pPr>
    </w:p>
    <w:p w14:paraId="0BAB8F61" w14:textId="1E1E95DA" w:rsidR="000D16C0" w:rsidRPr="000D16C0" w:rsidRDefault="000D16C0" w:rsidP="00421313">
      <w:pPr>
        <w:spacing w:line="360" w:lineRule="auto"/>
        <w:rPr>
          <w:rFonts w:ascii="Arial" w:hAnsi="Arial" w:cs="Arial"/>
          <w:b/>
          <w:bCs/>
          <w:sz w:val="22"/>
          <w:szCs w:val="22"/>
        </w:rPr>
      </w:pPr>
      <w:r w:rsidRPr="000D16C0">
        <w:rPr>
          <w:rFonts w:ascii="Arial" w:hAnsi="Arial" w:cs="Arial"/>
          <w:b/>
          <w:bCs/>
          <w:sz w:val="22"/>
          <w:szCs w:val="22"/>
        </w:rPr>
        <w:lastRenderedPageBreak/>
        <w:t>Appendix B: SWOT VodafoneThree</w:t>
      </w:r>
    </w:p>
    <w:tbl>
      <w:tblPr>
        <w:tblStyle w:val="TableGrid"/>
        <w:tblW w:w="0" w:type="auto"/>
        <w:tblLook w:val="04A0" w:firstRow="1" w:lastRow="0" w:firstColumn="1" w:lastColumn="0" w:noHBand="0" w:noVBand="1"/>
      </w:tblPr>
      <w:tblGrid>
        <w:gridCol w:w="9016"/>
      </w:tblGrid>
      <w:tr w:rsidR="000D16C0" w14:paraId="531510F6" w14:textId="77777777">
        <w:tc>
          <w:tcPr>
            <w:tcW w:w="9016" w:type="dxa"/>
          </w:tcPr>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86"/>
              <w:gridCol w:w="4714"/>
            </w:tblGrid>
            <w:tr w:rsidR="000D16C0" w:rsidRPr="000D16C0" w14:paraId="0658D48D" w14:textId="77777777" w:rsidTr="00FB7EF6">
              <w:trPr>
                <w:tblCellSpacing w:w="15" w:type="dxa"/>
              </w:trPr>
              <w:tc>
                <w:tcPr>
                  <w:tcW w:w="0" w:type="auto"/>
                  <w:vAlign w:val="center"/>
                  <w:hideMark/>
                </w:tcPr>
                <w:p w14:paraId="150FA300" w14:textId="72FCA927" w:rsidR="000D16C0" w:rsidRPr="000D16C0" w:rsidRDefault="000D16C0" w:rsidP="00421313">
                  <w:pPr>
                    <w:spacing w:line="360" w:lineRule="auto"/>
                    <w:jc w:val="center"/>
                    <w:rPr>
                      <w:rFonts w:ascii="Arial" w:hAnsi="Arial" w:cs="Arial"/>
                      <w:b/>
                      <w:bCs/>
                      <w:sz w:val="22"/>
                      <w:szCs w:val="22"/>
                    </w:rPr>
                  </w:pPr>
                  <w:r w:rsidRPr="000D16C0">
                    <w:rPr>
                      <w:rFonts w:ascii="Arial" w:hAnsi="Arial" w:cs="Arial"/>
                      <w:b/>
                      <w:bCs/>
                      <w:sz w:val="22"/>
                      <w:szCs w:val="22"/>
                    </w:rPr>
                    <w:t xml:space="preserve">STRENGTHS (Internal) </w:t>
                  </w:r>
                </w:p>
              </w:tc>
              <w:tc>
                <w:tcPr>
                  <w:tcW w:w="0" w:type="auto"/>
                  <w:vAlign w:val="center"/>
                  <w:hideMark/>
                </w:tcPr>
                <w:p w14:paraId="13ED0155" w14:textId="77777777" w:rsidR="000D16C0" w:rsidRPr="000D16C0" w:rsidRDefault="000D16C0" w:rsidP="00421313">
                  <w:pPr>
                    <w:spacing w:line="360" w:lineRule="auto"/>
                    <w:jc w:val="center"/>
                    <w:rPr>
                      <w:rFonts w:ascii="Arial" w:hAnsi="Arial" w:cs="Arial"/>
                      <w:b/>
                      <w:bCs/>
                      <w:sz w:val="22"/>
                      <w:szCs w:val="22"/>
                    </w:rPr>
                  </w:pPr>
                  <w:r w:rsidRPr="000D16C0">
                    <w:rPr>
                      <w:rFonts w:ascii="Arial" w:hAnsi="Arial" w:cs="Arial"/>
                      <w:b/>
                      <w:bCs/>
                      <w:sz w:val="22"/>
                      <w:szCs w:val="22"/>
                    </w:rPr>
                    <w:t>WEAKNESSES (Internal)</w:t>
                  </w:r>
                </w:p>
              </w:tc>
            </w:tr>
            <w:tr w:rsidR="000D16C0" w:rsidRPr="000D16C0" w14:paraId="18F769D9" w14:textId="77777777" w:rsidTr="00FB7EF6">
              <w:trPr>
                <w:tblCellSpacing w:w="15" w:type="dxa"/>
              </w:trPr>
              <w:tc>
                <w:tcPr>
                  <w:tcW w:w="0" w:type="auto"/>
                  <w:vAlign w:val="center"/>
                  <w:hideMark/>
                </w:tcPr>
                <w:p w14:paraId="18DEE151" w14:textId="77777777" w:rsidR="000D16C0" w:rsidRPr="000D16C0" w:rsidRDefault="000D16C0" w:rsidP="00421313">
                  <w:pPr>
                    <w:spacing w:line="360" w:lineRule="auto"/>
                    <w:jc w:val="center"/>
                    <w:rPr>
                      <w:rFonts w:ascii="Arial" w:hAnsi="Arial" w:cs="Arial"/>
                      <w:sz w:val="22"/>
                      <w:szCs w:val="22"/>
                    </w:rPr>
                  </w:pPr>
                  <w:r w:rsidRPr="000D16C0">
                    <w:rPr>
                      <w:rFonts w:ascii="Arial" w:hAnsi="Arial" w:cs="Arial"/>
                      <w:sz w:val="22"/>
                      <w:szCs w:val="22"/>
                    </w:rPr>
                    <w:t xml:space="preserve">• </w:t>
                  </w:r>
                  <w:r w:rsidRPr="000D16C0">
                    <w:rPr>
                      <w:rFonts w:ascii="Arial" w:hAnsi="Arial" w:cs="Arial"/>
                      <w:b/>
                      <w:bCs/>
                      <w:sz w:val="22"/>
                      <w:szCs w:val="22"/>
                    </w:rPr>
                    <w:t>Market Leadership:</w:t>
                  </w:r>
                  <w:r w:rsidRPr="000D16C0">
                    <w:rPr>
                      <w:rFonts w:ascii="Arial" w:hAnsi="Arial" w:cs="Arial"/>
                      <w:sz w:val="22"/>
                      <w:szCs w:val="22"/>
                    </w:rPr>
                    <w:t xml:space="preserve"> 27 million customers scale (</w:t>
                  </w:r>
                  <w:hyperlink r:id="rId22" w:tgtFrame="_blank" w:history="1">
                    <w:r w:rsidRPr="000D16C0">
                      <w:rPr>
                        <w:rStyle w:val="Hyperlink"/>
                        <w:rFonts w:ascii="Arial" w:hAnsi="Arial" w:cs="Arial"/>
                        <w:sz w:val="22"/>
                        <w:szCs w:val="22"/>
                      </w:rPr>
                      <w:t>CMA, 2024</w:t>
                    </w:r>
                  </w:hyperlink>
                  <w:r w:rsidRPr="000D16C0">
                    <w:rPr>
                      <w:rFonts w:ascii="Arial" w:hAnsi="Arial" w:cs="Arial"/>
                      <w:sz w:val="22"/>
                      <w:szCs w:val="22"/>
                    </w:rPr>
                    <w:t>)</w:t>
                  </w:r>
                  <w:r w:rsidRPr="000D16C0">
                    <w:rPr>
                      <w:rFonts w:ascii="Arial" w:hAnsi="Arial" w:cs="Arial"/>
                      <w:sz w:val="22"/>
                      <w:szCs w:val="22"/>
                    </w:rPr>
                    <w:br/>
                    <w:t xml:space="preserve">• </w:t>
                  </w:r>
                  <w:r w:rsidRPr="000D16C0">
                    <w:rPr>
                      <w:rFonts w:ascii="Arial" w:hAnsi="Arial" w:cs="Arial"/>
                      <w:b/>
                      <w:bCs/>
                      <w:sz w:val="22"/>
                      <w:szCs w:val="22"/>
                    </w:rPr>
                    <w:t>Capacity Boost:</w:t>
                  </w:r>
                  <w:r w:rsidRPr="000D16C0">
                    <w:rPr>
                      <w:rFonts w:ascii="Arial" w:hAnsi="Arial" w:cs="Arial"/>
                      <w:sz w:val="22"/>
                      <w:szCs w:val="22"/>
                    </w:rPr>
                    <w:t xml:space="preserve"> Combined multi-band spectrum portfolios</w:t>
                  </w:r>
                  <w:r w:rsidRPr="000D16C0">
                    <w:rPr>
                      <w:rFonts w:ascii="Arial" w:hAnsi="Arial" w:cs="Arial"/>
                      <w:sz w:val="22"/>
                      <w:szCs w:val="22"/>
                    </w:rPr>
                    <w:br/>
                    <w:t xml:space="preserve">• </w:t>
                  </w:r>
                  <w:r w:rsidRPr="000D16C0">
                    <w:rPr>
                      <w:rFonts w:ascii="Arial" w:hAnsi="Arial" w:cs="Arial"/>
                      <w:b/>
                      <w:bCs/>
                      <w:sz w:val="22"/>
                      <w:szCs w:val="22"/>
                    </w:rPr>
                    <w:t>B2B Footprint:</w:t>
                  </w:r>
                  <w:r w:rsidRPr="000D16C0">
                    <w:rPr>
                      <w:rFonts w:ascii="Arial" w:hAnsi="Arial" w:cs="Arial"/>
                      <w:sz w:val="22"/>
                      <w:szCs w:val="22"/>
                    </w:rPr>
                    <w:t xml:space="preserve"> Strong corporate IoT architecture presence</w:t>
                  </w:r>
                </w:p>
              </w:tc>
              <w:tc>
                <w:tcPr>
                  <w:tcW w:w="0" w:type="auto"/>
                  <w:vAlign w:val="center"/>
                  <w:hideMark/>
                </w:tcPr>
                <w:p w14:paraId="3976ADD4" w14:textId="77777777" w:rsidR="000D16C0" w:rsidRPr="000D16C0" w:rsidRDefault="000D16C0" w:rsidP="00421313">
                  <w:pPr>
                    <w:spacing w:line="360" w:lineRule="auto"/>
                    <w:jc w:val="center"/>
                    <w:rPr>
                      <w:rFonts w:ascii="Arial" w:hAnsi="Arial" w:cs="Arial"/>
                      <w:sz w:val="22"/>
                      <w:szCs w:val="22"/>
                    </w:rPr>
                  </w:pPr>
                  <w:r w:rsidRPr="000D16C0">
                    <w:rPr>
                      <w:rFonts w:ascii="Arial" w:hAnsi="Arial" w:cs="Arial"/>
                      <w:sz w:val="22"/>
                      <w:szCs w:val="22"/>
                    </w:rPr>
                    <w:t xml:space="preserve">• </w:t>
                  </w:r>
                  <w:r w:rsidRPr="000D16C0">
                    <w:rPr>
                      <w:rFonts w:ascii="Arial" w:hAnsi="Arial" w:cs="Arial"/>
                      <w:b/>
                      <w:bCs/>
                      <w:sz w:val="22"/>
                      <w:szCs w:val="22"/>
                    </w:rPr>
                    <w:t>Operational Friction:</w:t>
                  </w:r>
                  <w:r w:rsidRPr="000D16C0">
                    <w:rPr>
                      <w:rFonts w:ascii="Arial" w:hAnsi="Arial" w:cs="Arial"/>
                      <w:sz w:val="22"/>
                      <w:szCs w:val="22"/>
                    </w:rPr>
                    <w:t xml:space="preserve"> Disparate legacy system integration</w:t>
                  </w:r>
                  <w:r w:rsidRPr="000D16C0">
                    <w:rPr>
                      <w:rFonts w:ascii="Arial" w:hAnsi="Arial" w:cs="Arial"/>
                      <w:sz w:val="22"/>
                      <w:szCs w:val="22"/>
                    </w:rPr>
                    <w:br/>
                    <w:t xml:space="preserve">• </w:t>
                  </w:r>
                  <w:r w:rsidRPr="000D16C0">
                    <w:rPr>
                      <w:rFonts w:ascii="Arial" w:hAnsi="Arial" w:cs="Arial"/>
                      <w:b/>
                      <w:bCs/>
                      <w:sz w:val="22"/>
                      <w:szCs w:val="22"/>
                    </w:rPr>
                    <w:t>Financial Lock-in:</w:t>
                  </w:r>
                  <w:r w:rsidRPr="000D16C0">
                    <w:rPr>
                      <w:rFonts w:ascii="Arial" w:hAnsi="Arial" w:cs="Arial"/>
                      <w:sz w:val="22"/>
                      <w:szCs w:val="22"/>
                    </w:rPr>
                    <w:t xml:space="preserve"> £11B mandatory Capex blueprint (Clifford Chance, 2024)</w:t>
                  </w:r>
                </w:p>
              </w:tc>
            </w:tr>
            <w:tr w:rsidR="000D16C0" w:rsidRPr="000D16C0" w14:paraId="4D6814F6" w14:textId="77777777" w:rsidTr="00FB7EF6">
              <w:trPr>
                <w:tblCellSpacing w:w="15" w:type="dxa"/>
              </w:trPr>
              <w:tc>
                <w:tcPr>
                  <w:tcW w:w="0" w:type="auto"/>
                  <w:vAlign w:val="center"/>
                  <w:hideMark/>
                </w:tcPr>
                <w:p w14:paraId="66A4566A" w14:textId="77777777" w:rsidR="000D16C0" w:rsidRPr="000D16C0" w:rsidRDefault="000D16C0" w:rsidP="00421313">
                  <w:pPr>
                    <w:spacing w:line="360" w:lineRule="auto"/>
                    <w:jc w:val="center"/>
                    <w:rPr>
                      <w:rFonts w:ascii="Arial" w:hAnsi="Arial" w:cs="Arial"/>
                      <w:sz w:val="22"/>
                      <w:szCs w:val="22"/>
                    </w:rPr>
                  </w:pPr>
                  <w:r w:rsidRPr="000D16C0">
                    <w:rPr>
                      <w:rFonts w:ascii="Arial" w:hAnsi="Arial" w:cs="Arial"/>
                      <w:b/>
                      <w:bCs/>
                      <w:sz w:val="22"/>
                      <w:szCs w:val="22"/>
                    </w:rPr>
                    <w:t>OPPORTUNITIES (External)</w:t>
                  </w:r>
                </w:p>
              </w:tc>
              <w:tc>
                <w:tcPr>
                  <w:tcW w:w="0" w:type="auto"/>
                  <w:vAlign w:val="center"/>
                  <w:hideMark/>
                </w:tcPr>
                <w:p w14:paraId="4993FD45" w14:textId="77777777" w:rsidR="000D16C0" w:rsidRPr="000D16C0" w:rsidRDefault="000D16C0" w:rsidP="00421313">
                  <w:pPr>
                    <w:spacing w:line="360" w:lineRule="auto"/>
                    <w:jc w:val="center"/>
                    <w:rPr>
                      <w:rFonts w:ascii="Arial" w:hAnsi="Arial" w:cs="Arial"/>
                      <w:sz w:val="22"/>
                      <w:szCs w:val="22"/>
                    </w:rPr>
                  </w:pPr>
                  <w:r w:rsidRPr="000D16C0">
                    <w:rPr>
                      <w:rFonts w:ascii="Arial" w:hAnsi="Arial" w:cs="Arial"/>
                      <w:b/>
                      <w:bCs/>
                      <w:sz w:val="22"/>
                      <w:szCs w:val="22"/>
                    </w:rPr>
                    <w:t>THREATS (External)</w:t>
                  </w:r>
                </w:p>
              </w:tc>
            </w:tr>
            <w:tr w:rsidR="000D16C0" w:rsidRPr="000D16C0" w14:paraId="0DFE4FC1" w14:textId="77777777" w:rsidTr="00FB7EF6">
              <w:trPr>
                <w:tblCellSpacing w:w="15" w:type="dxa"/>
              </w:trPr>
              <w:tc>
                <w:tcPr>
                  <w:tcW w:w="0" w:type="auto"/>
                  <w:vAlign w:val="center"/>
                  <w:hideMark/>
                </w:tcPr>
                <w:p w14:paraId="2CF8F37D" w14:textId="77777777" w:rsidR="000D16C0" w:rsidRPr="000D16C0" w:rsidRDefault="000D16C0" w:rsidP="00421313">
                  <w:pPr>
                    <w:spacing w:line="360" w:lineRule="auto"/>
                    <w:jc w:val="center"/>
                    <w:rPr>
                      <w:rFonts w:ascii="Arial" w:hAnsi="Arial" w:cs="Arial"/>
                      <w:sz w:val="22"/>
                      <w:szCs w:val="22"/>
                    </w:rPr>
                  </w:pPr>
                  <w:r w:rsidRPr="000D16C0">
                    <w:rPr>
                      <w:rFonts w:ascii="Arial" w:hAnsi="Arial" w:cs="Arial"/>
                      <w:sz w:val="22"/>
                      <w:szCs w:val="22"/>
                    </w:rPr>
                    <w:t xml:space="preserve">• </w:t>
                  </w:r>
                  <w:r w:rsidRPr="000D16C0">
                    <w:rPr>
                      <w:rFonts w:ascii="Arial" w:hAnsi="Arial" w:cs="Arial"/>
                      <w:b/>
                      <w:bCs/>
                      <w:sz w:val="22"/>
                      <w:szCs w:val="22"/>
                    </w:rPr>
                    <w:t>Enterprise Monetisation:</w:t>
                  </w:r>
                  <w:r w:rsidRPr="000D16C0">
                    <w:rPr>
                      <w:rFonts w:ascii="Arial" w:hAnsi="Arial" w:cs="Arial"/>
                      <w:sz w:val="22"/>
                      <w:szCs w:val="22"/>
                    </w:rPr>
                    <w:t xml:space="preserve"> First-mover 5G slicing</w:t>
                  </w:r>
                  <w:r w:rsidRPr="000D16C0">
                    <w:rPr>
                      <w:rFonts w:ascii="Arial" w:hAnsi="Arial" w:cs="Arial"/>
                      <w:sz w:val="22"/>
                      <w:szCs w:val="22"/>
                    </w:rPr>
                    <w:br/>
                    <w:t xml:space="preserve">• </w:t>
                  </w:r>
                  <w:r w:rsidRPr="000D16C0">
                    <w:rPr>
                      <w:rFonts w:ascii="Arial" w:hAnsi="Arial" w:cs="Arial"/>
                      <w:b/>
                      <w:bCs/>
                      <w:sz w:val="22"/>
                      <w:szCs w:val="22"/>
                    </w:rPr>
                    <w:t>Cost Efficiency:</w:t>
                  </w:r>
                  <w:r w:rsidRPr="000D16C0">
                    <w:rPr>
                      <w:rFonts w:ascii="Arial" w:hAnsi="Arial" w:cs="Arial"/>
                      <w:sz w:val="22"/>
                      <w:szCs w:val="22"/>
                    </w:rPr>
                    <w:t xml:space="preserve"> Targeted £700M annual structural synergies</w:t>
                  </w:r>
                  <w:r w:rsidRPr="000D16C0">
                    <w:rPr>
                      <w:rFonts w:ascii="Arial" w:hAnsi="Arial" w:cs="Arial"/>
                      <w:sz w:val="22"/>
                      <w:szCs w:val="22"/>
                    </w:rPr>
                    <w:br/>
                    <w:t xml:space="preserve">• </w:t>
                  </w:r>
                  <w:r w:rsidRPr="000D16C0">
                    <w:rPr>
                      <w:rFonts w:ascii="Arial" w:hAnsi="Arial" w:cs="Arial"/>
                      <w:b/>
                      <w:bCs/>
                      <w:sz w:val="22"/>
                      <w:szCs w:val="22"/>
                    </w:rPr>
                    <w:t>Cross-selling:</w:t>
                  </w:r>
                  <w:r w:rsidRPr="000D16C0">
                    <w:rPr>
                      <w:rFonts w:ascii="Arial" w:hAnsi="Arial" w:cs="Arial"/>
                      <w:sz w:val="22"/>
                      <w:szCs w:val="22"/>
                    </w:rPr>
                    <w:t xml:space="preserve"> Convergence bundling for legacy users</w:t>
                  </w:r>
                </w:p>
              </w:tc>
              <w:tc>
                <w:tcPr>
                  <w:tcW w:w="0" w:type="auto"/>
                  <w:vAlign w:val="center"/>
                  <w:hideMark/>
                </w:tcPr>
                <w:p w14:paraId="65A1DF3F" w14:textId="77777777" w:rsidR="000D16C0" w:rsidRPr="000D16C0" w:rsidRDefault="000D16C0" w:rsidP="00421313">
                  <w:pPr>
                    <w:spacing w:line="360" w:lineRule="auto"/>
                    <w:jc w:val="center"/>
                    <w:rPr>
                      <w:rFonts w:ascii="Arial" w:hAnsi="Arial" w:cs="Arial"/>
                      <w:sz w:val="22"/>
                      <w:szCs w:val="22"/>
                    </w:rPr>
                  </w:pPr>
                  <w:r w:rsidRPr="000D16C0">
                    <w:rPr>
                      <w:rFonts w:ascii="Arial" w:hAnsi="Arial" w:cs="Arial"/>
                      <w:sz w:val="22"/>
                      <w:szCs w:val="22"/>
                    </w:rPr>
                    <w:t xml:space="preserve">• </w:t>
                  </w:r>
                  <w:r w:rsidRPr="000D16C0">
                    <w:rPr>
                      <w:rFonts w:ascii="Arial" w:hAnsi="Arial" w:cs="Arial"/>
                      <w:b/>
                      <w:bCs/>
                      <w:sz w:val="22"/>
                      <w:szCs w:val="22"/>
                    </w:rPr>
                    <w:t>Regulatory Caps:</w:t>
                  </w:r>
                  <w:r w:rsidRPr="000D16C0">
                    <w:rPr>
                      <w:rFonts w:ascii="Arial" w:hAnsi="Arial" w:cs="Arial"/>
                      <w:sz w:val="22"/>
                      <w:szCs w:val="22"/>
                    </w:rPr>
                    <w:t xml:space="preserve"> 3-year retail tariff protections (GOV.UK, 2025)</w:t>
                  </w:r>
                  <w:r w:rsidRPr="000D16C0">
                    <w:rPr>
                      <w:rFonts w:ascii="Arial" w:hAnsi="Arial" w:cs="Arial"/>
                      <w:sz w:val="22"/>
                      <w:szCs w:val="22"/>
                    </w:rPr>
                    <w:br/>
                    <w:t xml:space="preserve">• </w:t>
                  </w:r>
                  <w:r w:rsidRPr="000D16C0">
                    <w:rPr>
                      <w:rFonts w:ascii="Arial" w:hAnsi="Arial" w:cs="Arial"/>
                      <w:b/>
                      <w:bCs/>
                      <w:sz w:val="22"/>
                      <w:szCs w:val="22"/>
                    </w:rPr>
                    <w:t>Economic Pressures:</w:t>
                  </w:r>
                  <w:r w:rsidRPr="000D16C0">
                    <w:rPr>
                      <w:rFonts w:ascii="Arial" w:hAnsi="Arial" w:cs="Arial"/>
                      <w:sz w:val="22"/>
                      <w:szCs w:val="22"/>
                    </w:rPr>
                    <w:t xml:space="preserve"> Cost-of-living depressing retail ARPU</w:t>
                  </w:r>
                  <w:r w:rsidRPr="000D16C0">
                    <w:rPr>
                      <w:rFonts w:ascii="Arial" w:hAnsi="Arial" w:cs="Arial"/>
                      <w:sz w:val="22"/>
                      <w:szCs w:val="22"/>
                    </w:rPr>
                    <w:br/>
                    <w:t xml:space="preserve">• </w:t>
                  </w:r>
                  <w:r w:rsidRPr="000D16C0">
                    <w:rPr>
                      <w:rFonts w:ascii="Arial" w:hAnsi="Arial" w:cs="Arial"/>
                      <w:b/>
                      <w:bCs/>
                      <w:sz w:val="22"/>
                      <w:szCs w:val="22"/>
                    </w:rPr>
                    <w:t>Market Rivalry:</w:t>
                  </w:r>
                  <w:r w:rsidRPr="000D16C0">
                    <w:rPr>
                      <w:rFonts w:ascii="Arial" w:hAnsi="Arial" w:cs="Arial"/>
                      <w:sz w:val="22"/>
                      <w:szCs w:val="22"/>
                    </w:rPr>
                    <w:t xml:space="preserve"> Aggressive capital defences by BT/EE and VMO2</w:t>
                  </w:r>
                </w:p>
              </w:tc>
            </w:tr>
          </w:tbl>
          <w:p w14:paraId="704646BF" w14:textId="77777777" w:rsidR="000D16C0" w:rsidRDefault="000D16C0" w:rsidP="00421313">
            <w:pPr>
              <w:spacing w:line="360" w:lineRule="auto"/>
            </w:pPr>
          </w:p>
        </w:tc>
      </w:tr>
    </w:tbl>
    <w:p w14:paraId="745F673E" w14:textId="77777777" w:rsidR="00934BF1" w:rsidRDefault="00934BF1" w:rsidP="00421313">
      <w:pPr>
        <w:spacing w:line="360" w:lineRule="auto"/>
        <w:rPr>
          <w:rFonts w:ascii="Arial" w:hAnsi="Arial" w:cs="Arial"/>
          <w:sz w:val="22"/>
          <w:szCs w:val="22"/>
        </w:rPr>
      </w:pPr>
    </w:p>
    <w:p w14:paraId="6FECBC64" w14:textId="77777777" w:rsidR="00AA2A1D" w:rsidRPr="00AA2A1D" w:rsidRDefault="00AA2A1D" w:rsidP="00421313">
      <w:pPr>
        <w:spacing w:line="360" w:lineRule="auto"/>
        <w:rPr>
          <w:rFonts w:ascii="Arial" w:hAnsi="Arial" w:cs="Arial"/>
          <w:b/>
          <w:bCs/>
          <w:sz w:val="22"/>
          <w:szCs w:val="22"/>
        </w:rPr>
      </w:pPr>
      <w:r w:rsidRPr="00AA2A1D">
        <w:rPr>
          <w:rFonts w:ascii="Arial" w:hAnsi="Arial" w:cs="Arial"/>
          <w:b/>
          <w:bCs/>
          <w:sz w:val="22"/>
          <w:szCs w:val="22"/>
        </w:rPr>
        <w:t>Appendix C: TOWS Strategic Matrix for VodafoneThree</w:t>
      </w:r>
    </w:p>
    <w:tbl>
      <w:tblPr>
        <w:tblStyle w:val="TableGrid"/>
        <w:tblW w:w="0" w:type="auto"/>
        <w:jc w:val="center"/>
        <w:tblBorders>
          <w:insideH w:val="none" w:sz="0" w:space="0" w:color="auto"/>
        </w:tblBorders>
        <w:tblLook w:val="04A0" w:firstRow="1" w:lastRow="0" w:firstColumn="1" w:lastColumn="0" w:noHBand="0" w:noVBand="1"/>
      </w:tblPr>
      <w:tblGrid>
        <w:gridCol w:w="9016"/>
      </w:tblGrid>
      <w:tr w:rsidR="00AA2A1D" w14:paraId="578F0E0B" w14:textId="77777777" w:rsidTr="00C209C7">
        <w:trPr>
          <w:jc w:val="center"/>
        </w:trPr>
        <w:tc>
          <w:tcPr>
            <w:tcW w:w="9016" w:type="dxa"/>
          </w:tcPr>
          <w:tbl>
            <w:tblPr>
              <w:tblW w:w="0" w:type="auto"/>
              <w:tblCellSpacing w:w="15" w:type="dxa"/>
              <w:tblBorders>
                <w:insideH w:val="single" w:sz="6" w:space="0" w:color="363840"/>
                <w:insideV w:val="single" w:sz="4" w:space="0" w:color="auto"/>
              </w:tblBorders>
              <w:tblCellMar>
                <w:top w:w="15" w:type="dxa"/>
                <w:left w:w="15" w:type="dxa"/>
                <w:bottom w:w="15" w:type="dxa"/>
                <w:right w:w="15" w:type="dxa"/>
              </w:tblCellMar>
              <w:tblLook w:val="04A0" w:firstRow="1" w:lastRow="0" w:firstColumn="1" w:lastColumn="0" w:noHBand="0" w:noVBand="1"/>
            </w:tblPr>
            <w:tblGrid>
              <w:gridCol w:w="2154"/>
              <w:gridCol w:w="3323"/>
              <w:gridCol w:w="3323"/>
            </w:tblGrid>
            <w:tr w:rsidR="00AA2A1D" w:rsidRPr="00AA2A1D" w14:paraId="057CC771" w14:textId="77777777" w:rsidTr="00C209C7">
              <w:trPr>
                <w:tblCellSpacing w:w="15" w:type="dxa"/>
              </w:trPr>
              <w:tc>
                <w:tcPr>
                  <w:tcW w:w="0" w:type="auto"/>
                  <w:vAlign w:val="center"/>
                  <w:hideMark/>
                </w:tcPr>
                <w:p w14:paraId="6CD8B892" w14:textId="77777777" w:rsidR="00AA2A1D" w:rsidRPr="00AA2A1D" w:rsidRDefault="00AA2A1D" w:rsidP="00421313">
                  <w:pPr>
                    <w:spacing w:line="360" w:lineRule="auto"/>
                    <w:rPr>
                      <w:rFonts w:ascii="Arial" w:hAnsi="Arial" w:cs="Arial"/>
                      <w:b/>
                      <w:bCs/>
                      <w:sz w:val="22"/>
                      <w:szCs w:val="22"/>
                    </w:rPr>
                  </w:pPr>
                  <w:r w:rsidRPr="00AA2A1D">
                    <w:rPr>
                      <w:rFonts w:ascii="Arial" w:hAnsi="Arial" w:cs="Arial"/>
                      <w:b/>
                      <w:bCs/>
                      <w:sz w:val="22"/>
                      <w:szCs w:val="22"/>
                    </w:rPr>
                    <w:t>TOWS Matrix</w:t>
                  </w:r>
                </w:p>
              </w:tc>
              <w:tc>
                <w:tcPr>
                  <w:tcW w:w="0" w:type="auto"/>
                  <w:vAlign w:val="center"/>
                  <w:hideMark/>
                </w:tcPr>
                <w:p w14:paraId="512D9906" w14:textId="77777777" w:rsidR="00AA2A1D" w:rsidRPr="00AA2A1D" w:rsidRDefault="00AA2A1D" w:rsidP="00421313">
                  <w:pPr>
                    <w:spacing w:line="360" w:lineRule="auto"/>
                    <w:rPr>
                      <w:rFonts w:ascii="Arial" w:hAnsi="Arial" w:cs="Arial"/>
                      <w:b/>
                      <w:bCs/>
                      <w:sz w:val="22"/>
                      <w:szCs w:val="22"/>
                    </w:rPr>
                  </w:pPr>
                  <w:r w:rsidRPr="00AA2A1D">
                    <w:rPr>
                      <w:rFonts w:ascii="Arial" w:hAnsi="Arial" w:cs="Arial"/>
                      <w:b/>
                      <w:bCs/>
                      <w:sz w:val="22"/>
                      <w:szCs w:val="22"/>
                    </w:rPr>
                    <w:t xml:space="preserve">STRENGTHS (S) </w:t>
                  </w:r>
                  <w:r w:rsidRPr="00AA2A1D">
                    <w:rPr>
                      <w:rFonts w:ascii="Arial" w:hAnsi="Arial" w:cs="Arial"/>
                      <w:b/>
                      <w:bCs/>
                      <w:sz w:val="22"/>
                      <w:szCs w:val="22"/>
                    </w:rPr>
                    <w:br/>
                    <w:t xml:space="preserve">1. Market scale (27M users) </w:t>
                  </w:r>
                  <w:r w:rsidRPr="00AA2A1D">
                    <w:rPr>
                      <w:rFonts w:ascii="Arial" w:hAnsi="Arial" w:cs="Arial"/>
                      <w:b/>
                      <w:bCs/>
                      <w:sz w:val="22"/>
                      <w:szCs w:val="22"/>
                    </w:rPr>
                    <w:br/>
                    <w:t xml:space="preserve">2. Spectrum optimization </w:t>
                  </w:r>
                  <w:r w:rsidRPr="00AA2A1D">
                    <w:rPr>
                      <w:rFonts w:ascii="Arial" w:hAnsi="Arial" w:cs="Arial"/>
                      <w:b/>
                      <w:bCs/>
                      <w:sz w:val="22"/>
                      <w:szCs w:val="22"/>
                    </w:rPr>
                    <w:br/>
                    <w:t>3. Established B2B infrastructure</w:t>
                  </w:r>
                </w:p>
              </w:tc>
              <w:tc>
                <w:tcPr>
                  <w:tcW w:w="0" w:type="auto"/>
                  <w:vAlign w:val="center"/>
                  <w:hideMark/>
                </w:tcPr>
                <w:p w14:paraId="5D5448E1" w14:textId="77777777" w:rsidR="00AA2A1D" w:rsidRPr="00AA2A1D" w:rsidRDefault="00AA2A1D" w:rsidP="00421313">
                  <w:pPr>
                    <w:spacing w:line="360" w:lineRule="auto"/>
                    <w:rPr>
                      <w:rFonts w:ascii="Arial" w:hAnsi="Arial" w:cs="Arial"/>
                      <w:b/>
                      <w:bCs/>
                      <w:sz w:val="22"/>
                      <w:szCs w:val="22"/>
                    </w:rPr>
                  </w:pPr>
                  <w:r w:rsidRPr="00AA2A1D">
                    <w:rPr>
                      <w:rFonts w:ascii="Arial" w:hAnsi="Arial" w:cs="Arial"/>
                      <w:b/>
                      <w:bCs/>
                      <w:sz w:val="22"/>
                      <w:szCs w:val="22"/>
                    </w:rPr>
                    <w:t xml:space="preserve">WEAKNESSES (W) </w:t>
                  </w:r>
                  <w:r w:rsidRPr="00AA2A1D">
                    <w:rPr>
                      <w:rFonts w:ascii="Arial" w:hAnsi="Arial" w:cs="Arial"/>
                      <w:b/>
                      <w:bCs/>
                      <w:sz w:val="22"/>
                      <w:szCs w:val="22"/>
                    </w:rPr>
                    <w:br/>
                    <w:t xml:space="preserve">1. Legacy integration friction </w:t>
                  </w:r>
                  <w:r w:rsidRPr="00AA2A1D">
                    <w:rPr>
                      <w:rFonts w:ascii="Arial" w:hAnsi="Arial" w:cs="Arial"/>
                      <w:b/>
                      <w:bCs/>
                      <w:sz w:val="22"/>
                      <w:szCs w:val="22"/>
                    </w:rPr>
                    <w:br/>
                    <w:t>2. £11B Capex lock-in overhang</w:t>
                  </w:r>
                </w:p>
              </w:tc>
            </w:tr>
            <w:tr w:rsidR="00AA2A1D" w:rsidRPr="00AA2A1D" w14:paraId="708DFFCA" w14:textId="77777777" w:rsidTr="00C209C7">
              <w:trPr>
                <w:tblCellSpacing w:w="15" w:type="dxa"/>
              </w:trPr>
              <w:tc>
                <w:tcPr>
                  <w:tcW w:w="0" w:type="auto"/>
                  <w:vAlign w:val="center"/>
                  <w:hideMark/>
                </w:tcPr>
                <w:p w14:paraId="1EFBFC84" w14:textId="77777777" w:rsidR="00AA2A1D" w:rsidRPr="00AA2A1D" w:rsidRDefault="00AA2A1D" w:rsidP="00421313">
                  <w:pPr>
                    <w:spacing w:line="360" w:lineRule="auto"/>
                    <w:rPr>
                      <w:rFonts w:ascii="Arial" w:hAnsi="Arial" w:cs="Arial"/>
                      <w:sz w:val="22"/>
                      <w:szCs w:val="22"/>
                    </w:rPr>
                  </w:pPr>
                  <w:r w:rsidRPr="00AA2A1D">
                    <w:rPr>
                      <w:rFonts w:ascii="Arial" w:hAnsi="Arial" w:cs="Arial"/>
                      <w:b/>
                      <w:bCs/>
                      <w:sz w:val="22"/>
                      <w:szCs w:val="22"/>
                    </w:rPr>
                    <w:t>OPPORTUNITIES (O)</w:t>
                  </w:r>
                  <w:r w:rsidRPr="00AA2A1D">
                    <w:rPr>
                      <w:rFonts w:ascii="Arial" w:hAnsi="Arial" w:cs="Arial"/>
                      <w:sz w:val="22"/>
                      <w:szCs w:val="22"/>
                    </w:rPr>
                    <w:t xml:space="preserve"> </w:t>
                  </w:r>
                  <w:r w:rsidRPr="00AA2A1D">
                    <w:rPr>
                      <w:rFonts w:ascii="Arial" w:hAnsi="Arial" w:cs="Arial"/>
                      <w:sz w:val="22"/>
                      <w:szCs w:val="22"/>
                    </w:rPr>
                    <w:br/>
                    <w:t xml:space="preserve">1. First-mover 5G slicing </w:t>
                  </w:r>
                  <w:r w:rsidRPr="00AA2A1D">
                    <w:rPr>
                      <w:rFonts w:ascii="Arial" w:hAnsi="Arial" w:cs="Arial"/>
                      <w:sz w:val="22"/>
                      <w:szCs w:val="22"/>
                    </w:rPr>
                    <w:br/>
                    <w:t xml:space="preserve">2. £700M cost synergies </w:t>
                  </w:r>
                  <w:r w:rsidRPr="00AA2A1D">
                    <w:rPr>
                      <w:rFonts w:ascii="Arial" w:hAnsi="Arial" w:cs="Arial"/>
                      <w:sz w:val="22"/>
                      <w:szCs w:val="22"/>
                    </w:rPr>
                    <w:br/>
                    <w:t>3. Convergence bundling</w:t>
                  </w:r>
                </w:p>
              </w:tc>
              <w:tc>
                <w:tcPr>
                  <w:tcW w:w="0" w:type="auto"/>
                  <w:vAlign w:val="center"/>
                  <w:hideMark/>
                </w:tcPr>
                <w:p w14:paraId="44130BDA" w14:textId="77777777" w:rsidR="00AA2A1D" w:rsidRPr="00AA2A1D" w:rsidRDefault="00AA2A1D" w:rsidP="00421313">
                  <w:pPr>
                    <w:spacing w:line="360" w:lineRule="auto"/>
                    <w:rPr>
                      <w:rFonts w:ascii="Arial" w:hAnsi="Arial" w:cs="Arial"/>
                      <w:sz w:val="22"/>
                      <w:szCs w:val="22"/>
                    </w:rPr>
                  </w:pPr>
                  <w:proofErr w:type="gramStart"/>
                  <w:r w:rsidRPr="00AA2A1D">
                    <w:rPr>
                      <w:rFonts w:ascii="Arial" w:hAnsi="Arial" w:cs="Arial"/>
                      <w:b/>
                      <w:bCs/>
                      <w:sz w:val="22"/>
                      <w:szCs w:val="22"/>
                    </w:rPr>
                    <w:t>SO</w:t>
                  </w:r>
                  <w:proofErr w:type="gramEnd"/>
                  <w:r w:rsidRPr="00AA2A1D">
                    <w:rPr>
                      <w:rFonts w:ascii="Arial" w:hAnsi="Arial" w:cs="Arial"/>
                      <w:b/>
                      <w:bCs/>
                      <w:sz w:val="22"/>
                      <w:szCs w:val="22"/>
                    </w:rPr>
                    <w:t xml:space="preserve"> STRATEGIES (Maxi-Maxi):</w:t>
                  </w:r>
                  <w:r w:rsidRPr="00AA2A1D">
                    <w:rPr>
                      <w:rFonts w:ascii="Arial" w:hAnsi="Arial" w:cs="Arial"/>
                      <w:sz w:val="22"/>
                      <w:szCs w:val="22"/>
                    </w:rPr>
                    <w:t xml:space="preserve"> </w:t>
                  </w:r>
                  <w:r w:rsidRPr="00AA2A1D">
                    <w:rPr>
                      <w:rFonts w:ascii="Arial" w:hAnsi="Arial" w:cs="Arial"/>
                      <w:sz w:val="22"/>
                      <w:szCs w:val="22"/>
                    </w:rPr>
                    <w:br/>
                    <w:t xml:space="preserve">• </w:t>
                  </w:r>
                  <w:r w:rsidRPr="00AA2A1D">
                    <w:rPr>
                      <w:rFonts w:ascii="Arial" w:hAnsi="Arial" w:cs="Arial"/>
                      <w:b/>
                      <w:bCs/>
                      <w:sz w:val="22"/>
                      <w:szCs w:val="22"/>
                    </w:rPr>
                    <w:t>SO1:</w:t>
                  </w:r>
                  <w:r w:rsidRPr="00AA2A1D">
                    <w:rPr>
                      <w:rFonts w:ascii="Arial" w:hAnsi="Arial" w:cs="Arial"/>
                      <w:sz w:val="22"/>
                      <w:szCs w:val="22"/>
                    </w:rPr>
                    <w:t xml:space="preserve"> Use spectrum capacity to deploy private 5G slicing for B2B sectors (S2, S3 + O1). </w:t>
                  </w:r>
                  <w:r w:rsidRPr="00AA2A1D">
                    <w:rPr>
                      <w:rFonts w:ascii="Arial" w:hAnsi="Arial" w:cs="Arial"/>
                      <w:sz w:val="22"/>
                      <w:szCs w:val="22"/>
                    </w:rPr>
                    <w:br/>
                    <w:t xml:space="preserve">• </w:t>
                  </w:r>
                  <w:r w:rsidRPr="00AA2A1D">
                    <w:rPr>
                      <w:rFonts w:ascii="Arial" w:hAnsi="Arial" w:cs="Arial"/>
                      <w:b/>
                      <w:bCs/>
                      <w:sz w:val="22"/>
                      <w:szCs w:val="22"/>
                    </w:rPr>
                    <w:t>SO2:</w:t>
                  </w:r>
                  <w:r w:rsidRPr="00AA2A1D">
                    <w:rPr>
                      <w:rFonts w:ascii="Arial" w:hAnsi="Arial" w:cs="Arial"/>
                      <w:sz w:val="22"/>
                      <w:szCs w:val="22"/>
                    </w:rPr>
                    <w:t xml:space="preserve"> Cross-sell FMC bundles to the massive 27M client database (S1 + O3).</w:t>
                  </w:r>
                </w:p>
              </w:tc>
              <w:tc>
                <w:tcPr>
                  <w:tcW w:w="0" w:type="auto"/>
                  <w:vAlign w:val="center"/>
                  <w:hideMark/>
                </w:tcPr>
                <w:p w14:paraId="29BA7101" w14:textId="77777777" w:rsidR="00AA2A1D" w:rsidRPr="00AA2A1D" w:rsidRDefault="00AA2A1D" w:rsidP="00421313">
                  <w:pPr>
                    <w:spacing w:line="360" w:lineRule="auto"/>
                    <w:rPr>
                      <w:rFonts w:ascii="Arial" w:hAnsi="Arial" w:cs="Arial"/>
                      <w:sz w:val="22"/>
                      <w:szCs w:val="22"/>
                    </w:rPr>
                  </w:pPr>
                  <w:r w:rsidRPr="00AA2A1D">
                    <w:rPr>
                      <w:rFonts w:ascii="Arial" w:hAnsi="Arial" w:cs="Arial"/>
                      <w:b/>
                      <w:bCs/>
                      <w:sz w:val="22"/>
                      <w:szCs w:val="22"/>
                    </w:rPr>
                    <w:t>WO STRATEGIES (Mini-Maxi):</w:t>
                  </w:r>
                  <w:r w:rsidRPr="00AA2A1D">
                    <w:rPr>
                      <w:rFonts w:ascii="Arial" w:hAnsi="Arial" w:cs="Arial"/>
                      <w:sz w:val="22"/>
                      <w:szCs w:val="22"/>
                    </w:rPr>
                    <w:t xml:space="preserve"> </w:t>
                  </w:r>
                  <w:r w:rsidRPr="00AA2A1D">
                    <w:rPr>
                      <w:rFonts w:ascii="Arial" w:hAnsi="Arial" w:cs="Arial"/>
                      <w:sz w:val="22"/>
                      <w:szCs w:val="22"/>
                    </w:rPr>
                    <w:br/>
                    <w:t xml:space="preserve">• </w:t>
                  </w:r>
                  <w:r w:rsidRPr="00AA2A1D">
                    <w:rPr>
                      <w:rFonts w:ascii="Arial" w:hAnsi="Arial" w:cs="Arial"/>
                      <w:b/>
                      <w:bCs/>
                      <w:sz w:val="22"/>
                      <w:szCs w:val="22"/>
                    </w:rPr>
                    <w:t>WO1:</w:t>
                  </w:r>
                  <w:r w:rsidRPr="00AA2A1D">
                    <w:rPr>
                      <w:rFonts w:ascii="Arial" w:hAnsi="Arial" w:cs="Arial"/>
                      <w:sz w:val="22"/>
                      <w:szCs w:val="22"/>
                    </w:rPr>
                    <w:t xml:space="preserve"> Use £700M synergies to fund legacy IT system integration (W1 + O2). </w:t>
                  </w:r>
                  <w:r w:rsidRPr="00AA2A1D">
                    <w:rPr>
                      <w:rFonts w:ascii="Arial" w:hAnsi="Arial" w:cs="Arial"/>
                      <w:sz w:val="22"/>
                      <w:szCs w:val="22"/>
                    </w:rPr>
                    <w:br/>
                    <w:t xml:space="preserve">• </w:t>
                  </w:r>
                  <w:r w:rsidRPr="00AA2A1D">
                    <w:rPr>
                      <w:rFonts w:ascii="Arial" w:hAnsi="Arial" w:cs="Arial"/>
                      <w:b/>
                      <w:bCs/>
                      <w:sz w:val="22"/>
                      <w:szCs w:val="22"/>
                    </w:rPr>
                    <w:t>WO2:</w:t>
                  </w:r>
                  <w:r w:rsidRPr="00AA2A1D">
                    <w:rPr>
                      <w:rFonts w:ascii="Arial" w:hAnsi="Arial" w:cs="Arial"/>
                      <w:sz w:val="22"/>
                      <w:szCs w:val="22"/>
                    </w:rPr>
                    <w:t xml:space="preserve"> Direct the mandatory £11B Capex into high-ROI enterprise IoT projects (W2 + O1).</w:t>
                  </w:r>
                </w:p>
              </w:tc>
            </w:tr>
            <w:tr w:rsidR="00AA2A1D" w:rsidRPr="00AA2A1D" w14:paraId="17ECD4FF" w14:textId="77777777" w:rsidTr="00C209C7">
              <w:trPr>
                <w:tblCellSpacing w:w="15" w:type="dxa"/>
              </w:trPr>
              <w:tc>
                <w:tcPr>
                  <w:tcW w:w="0" w:type="auto"/>
                  <w:vAlign w:val="center"/>
                  <w:hideMark/>
                </w:tcPr>
                <w:p w14:paraId="129ACCB7" w14:textId="77777777" w:rsidR="00AA2A1D" w:rsidRPr="00AA2A1D" w:rsidRDefault="00AA2A1D" w:rsidP="00421313">
                  <w:pPr>
                    <w:spacing w:line="360" w:lineRule="auto"/>
                    <w:rPr>
                      <w:rFonts w:ascii="Arial" w:hAnsi="Arial" w:cs="Arial"/>
                      <w:sz w:val="22"/>
                      <w:szCs w:val="22"/>
                    </w:rPr>
                  </w:pPr>
                  <w:r w:rsidRPr="00AA2A1D">
                    <w:rPr>
                      <w:rFonts w:ascii="Arial" w:hAnsi="Arial" w:cs="Arial"/>
                      <w:b/>
                      <w:bCs/>
                      <w:sz w:val="22"/>
                      <w:szCs w:val="22"/>
                    </w:rPr>
                    <w:lastRenderedPageBreak/>
                    <w:t>THREATS (T)</w:t>
                  </w:r>
                  <w:r w:rsidRPr="00AA2A1D">
                    <w:rPr>
                      <w:rFonts w:ascii="Arial" w:hAnsi="Arial" w:cs="Arial"/>
                      <w:sz w:val="22"/>
                      <w:szCs w:val="22"/>
                    </w:rPr>
                    <w:t xml:space="preserve"> </w:t>
                  </w:r>
                  <w:r w:rsidRPr="00AA2A1D">
                    <w:rPr>
                      <w:rFonts w:ascii="Arial" w:hAnsi="Arial" w:cs="Arial"/>
                      <w:sz w:val="22"/>
                      <w:szCs w:val="22"/>
                    </w:rPr>
                    <w:br/>
                    <w:t xml:space="preserve">1. Regulatory tariff caps </w:t>
                  </w:r>
                  <w:r w:rsidRPr="00AA2A1D">
                    <w:rPr>
                      <w:rFonts w:ascii="Arial" w:hAnsi="Arial" w:cs="Arial"/>
                      <w:sz w:val="22"/>
                      <w:szCs w:val="22"/>
                    </w:rPr>
                    <w:br/>
                    <w:t xml:space="preserve">2. Macroeconomic retail shocks </w:t>
                  </w:r>
                  <w:r w:rsidRPr="00AA2A1D">
                    <w:rPr>
                      <w:rFonts w:ascii="Arial" w:hAnsi="Arial" w:cs="Arial"/>
                      <w:sz w:val="22"/>
                      <w:szCs w:val="22"/>
                    </w:rPr>
                    <w:br/>
                    <w:t>3. Rivalry from BT/EE &amp; VMO2</w:t>
                  </w:r>
                </w:p>
              </w:tc>
              <w:tc>
                <w:tcPr>
                  <w:tcW w:w="0" w:type="auto"/>
                  <w:vAlign w:val="center"/>
                  <w:hideMark/>
                </w:tcPr>
                <w:p w14:paraId="57AC4459" w14:textId="77777777" w:rsidR="00AA2A1D" w:rsidRPr="00AA2A1D" w:rsidRDefault="00AA2A1D" w:rsidP="00421313">
                  <w:pPr>
                    <w:spacing w:line="360" w:lineRule="auto"/>
                    <w:rPr>
                      <w:rFonts w:ascii="Arial" w:hAnsi="Arial" w:cs="Arial"/>
                      <w:sz w:val="22"/>
                      <w:szCs w:val="22"/>
                    </w:rPr>
                  </w:pPr>
                  <w:r w:rsidRPr="00AA2A1D">
                    <w:rPr>
                      <w:rFonts w:ascii="Arial" w:hAnsi="Arial" w:cs="Arial"/>
                      <w:b/>
                      <w:bCs/>
                      <w:sz w:val="22"/>
                      <w:szCs w:val="22"/>
                    </w:rPr>
                    <w:t>ST STRATEGIES (Maxi-Mini):</w:t>
                  </w:r>
                  <w:r w:rsidRPr="00AA2A1D">
                    <w:rPr>
                      <w:rFonts w:ascii="Arial" w:hAnsi="Arial" w:cs="Arial"/>
                      <w:sz w:val="22"/>
                      <w:szCs w:val="22"/>
                    </w:rPr>
                    <w:t xml:space="preserve"> </w:t>
                  </w:r>
                  <w:r w:rsidRPr="00AA2A1D">
                    <w:rPr>
                      <w:rFonts w:ascii="Arial" w:hAnsi="Arial" w:cs="Arial"/>
                      <w:sz w:val="22"/>
                      <w:szCs w:val="22"/>
                    </w:rPr>
                    <w:br/>
                    <w:t xml:space="preserve">• </w:t>
                  </w:r>
                  <w:r w:rsidRPr="00AA2A1D">
                    <w:rPr>
                      <w:rFonts w:ascii="Arial" w:hAnsi="Arial" w:cs="Arial"/>
                      <w:b/>
                      <w:bCs/>
                      <w:sz w:val="22"/>
                      <w:szCs w:val="22"/>
                    </w:rPr>
                    <w:t>ST1:</w:t>
                  </w:r>
                  <w:r w:rsidRPr="00AA2A1D">
                    <w:rPr>
                      <w:rFonts w:ascii="Arial" w:hAnsi="Arial" w:cs="Arial"/>
                      <w:sz w:val="22"/>
                      <w:szCs w:val="22"/>
                    </w:rPr>
                    <w:t xml:space="preserve"> Defend market share against BT/EE via high-margin B2B IoT contracts (S3 + T3). </w:t>
                  </w:r>
                  <w:r w:rsidRPr="00AA2A1D">
                    <w:rPr>
                      <w:rFonts w:ascii="Arial" w:hAnsi="Arial" w:cs="Arial"/>
                      <w:sz w:val="22"/>
                      <w:szCs w:val="22"/>
                    </w:rPr>
                    <w:br/>
                    <w:t xml:space="preserve">• </w:t>
                  </w:r>
                  <w:r w:rsidRPr="00AA2A1D">
                    <w:rPr>
                      <w:rFonts w:ascii="Arial" w:hAnsi="Arial" w:cs="Arial"/>
                      <w:b/>
                      <w:bCs/>
                      <w:sz w:val="22"/>
                      <w:szCs w:val="22"/>
                    </w:rPr>
                    <w:t>ST2:</w:t>
                  </w:r>
                  <w:r w:rsidRPr="00AA2A1D">
                    <w:rPr>
                      <w:rFonts w:ascii="Arial" w:hAnsi="Arial" w:cs="Arial"/>
                      <w:sz w:val="22"/>
                      <w:szCs w:val="22"/>
                    </w:rPr>
                    <w:t xml:space="preserve"> Use optimized network capacity to justify retail premium status despite retail caps (S1, S2 + T1).</w:t>
                  </w:r>
                </w:p>
              </w:tc>
              <w:tc>
                <w:tcPr>
                  <w:tcW w:w="0" w:type="auto"/>
                  <w:vAlign w:val="center"/>
                  <w:hideMark/>
                </w:tcPr>
                <w:p w14:paraId="06C6E932" w14:textId="77777777" w:rsidR="00AA2A1D" w:rsidRPr="00AA2A1D" w:rsidRDefault="00AA2A1D" w:rsidP="00421313">
                  <w:pPr>
                    <w:spacing w:line="360" w:lineRule="auto"/>
                    <w:rPr>
                      <w:rFonts w:ascii="Arial" w:hAnsi="Arial" w:cs="Arial"/>
                      <w:sz w:val="22"/>
                      <w:szCs w:val="22"/>
                    </w:rPr>
                  </w:pPr>
                  <w:r w:rsidRPr="00AA2A1D">
                    <w:rPr>
                      <w:rFonts w:ascii="Arial" w:hAnsi="Arial" w:cs="Arial"/>
                      <w:b/>
                      <w:bCs/>
                      <w:sz w:val="22"/>
                      <w:szCs w:val="22"/>
                    </w:rPr>
                    <w:t>WT STRATEGIES (Mini-Mini):</w:t>
                  </w:r>
                  <w:r w:rsidRPr="00AA2A1D">
                    <w:rPr>
                      <w:rFonts w:ascii="Arial" w:hAnsi="Arial" w:cs="Arial"/>
                      <w:sz w:val="22"/>
                      <w:szCs w:val="22"/>
                    </w:rPr>
                    <w:t xml:space="preserve"> </w:t>
                  </w:r>
                  <w:r w:rsidRPr="00AA2A1D">
                    <w:rPr>
                      <w:rFonts w:ascii="Arial" w:hAnsi="Arial" w:cs="Arial"/>
                      <w:sz w:val="22"/>
                      <w:szCs w:val="22"/>
                    </w:rPr>
                    <w:br/>
                    <w:t xml:space="preserve">• </w:t>
                  </w:r>
                  <w:r w:rsidRPr="00AA2A1D">
                    <w:rPr>
                      <w:rFonts w:ascii="Arial" w:hAnsi="Arial" w:cs="Arial"/>
                      <w:b/>
                      <w:bCs/>
                      <w:sz w:val="22"/>
                      <w:szCs w:val="22"/>
                    </w:rPr>
                    <w:t>WT1:</w:t>
                  </w:r>
                  <w:r w:rsidRPr="00AA2A1D">
                    <w:rPr>
                      <w:rFonts w:ascii="Arial" w:hAnsi="Arial" w:cs="Arial"/>
                      <w:sz w:val="22"/>
                      <w:szCs w:val="22"/>
                    </w:rPr>
                    <w:t xml:space="preserve"> Decommission overlapping sites carefully to obey 3-year tariff caps (W1 + T1). </w:t>
                  </w:r>
                  <w:r w:rsidRPr="00AA2A1D">
                    <w:rPr>
                      <w:rFonts w:ascii="Arial" w:hAnsi="Arial" w:cs="Arial"/>
                      <w:sz w:val="22"/>
                      <w:szCs w:val="22"/>
                    </w:rPr>
                    <w:br/>
                    <w:t xml:space="preserve">• </w:t>
                  </w:r>
                  <w:r w:rsidRPr="00AA2A1D">
                    <w:rPr>
                      <w:rFonts w:ascii="Arial" w:hAnsi="Arial" w:cs="Arial"/>
                      <w:b/>
                      <w:bCs/>
                      <w:sz w:val="22"/>
                      <w:szCs w:val="22"/>
                    </w:rPr>
                    <w:t>WT2:</w:t>
                  </w:r>
                  <w:r w:rsidRPr="00AA2A1D">
                    <w:rPr>
                      <w:rFonts w:ascii="Arial" w:hAnsi="Arial" w:cs="Arial"/>
                      <w:sz w:val="22"/>
                      <w:szCs w:val="22"/>
                    </w:rPr>
                    <w:t xml:space="preserve"> Modernise legacy systems to lower overheads and meet UK Security Acts (W1, W2 + T3).</w:t>
                  </w:r>
                </w:p>
              </w:tc>
            </w:tr>
          </w:tbl>
          <w:p w14:paraId="73B3E618" w14:textId="77777777" w:rsidR="00AA2A1D" w:rsidRDefault="00AA2A1D" w:rsidP="00421313">
            <w:pPr>
              <w:spacing w:line="360" w:lineRule="auto"/>
            </w:pPr>
          </w:p>
        </w:tc>
      </w:tr>
    </w:tbl>
    <w:p w14:paraId="038E2875" w14:textId="77777777" w:rsidR="00AA2A1D" w:rsidRPr="00573891" w:rsidRDefault="00AA2A1D" w:rsidP="00421313">
      <w:pPr>
        <w:spacing w:line="360" w:lineRule="auto"/>
        <w:rPr>
          <w:rFonts w:ascii="Arial" w:hAnsi="Arial" w:cs="Arial"/>
          <w:sz w:val="22"/>
          <w:szCs w:val="22"/>
        </w:rPr>
      </w:pPr>
    </w:p>
    <w:p w14:paraId="55A17E29" w14:textId="77777777" w:rsidR="00D149C5" w:rsidRPr="00573891" w:rsidRDefault="00D149C5" w:rsidP="00421313">
      <w:pPr>
        <w:spacing w:line="360" w:lineRule="auto"/>
        <w:rPr>
          <w:rFonts w:ascii="Arial" w:hAnsi="Arial" w:cs="Arial"/>
          <w:sz w:val="22"/>
          <w:szCs w:val="22"/>
        </w:rPr>
      </w:pPr>
    </w:p>
    <w:p w14:paraId="74F8DF09" w14:textId="77777777" w:rsidR="00D149C5" w:rsidRPr="00573891" w:rsidRDefault="00D149C5" w:rsidP="00421313">
      <w:pPr>
        <w:spacing w:line="360" w:lineRule="auto"/>
        <w:rPr>
          <w:rFonts w:ascii="Arial" w:hAnsi="Arial" w:cs="Arial"/>
          <w:sz w:val="22"/>
          <w:szCs w:val="22"/>
        </w:rPr>
      </w:pPr>
    </w:p>
    <w:p w14:paraId="023B8137" w14:textId="77777777" w:rsidR="007A4990" w:rsidRPr="00573891" w:rsidRDefault="007A4990" w:rsidP="00421313">
      <w:pPr>
        <w:spacing w:line="360" w:lineRule="auto"/>
        <w:rPr>
          <w:rFonts w:ascii="Arial" w:hAnsi="Arial" w:cs="Arial"/>
          <w:sz w:val="22"/>
          <w:szCs w:val="22"/>
        </w:rPr>
      </w:pPr>
    </w:p>
    <w:p w14:paraId="13755D94" w14:textId="77777777" w:rsidR="003E2059" w:rsidRPr="00573891" w:rsidRDefault="003E2059" w:rsidP="00421313">
      <w:pPr>
        <w:spacing w:line="360" w:lineRule="auto"/>
        <w:rPr>
          <w:rFonts w:ascii="Arial" w:hAnsi="Arial" w:cs="Arial"/>
          <w:sz w:val="22"/>
          <w:szCs w:val="22"/>
        </w:rPr>
      </w:pPr>
    </w:p>
    <w:p w14:paraId="44403575" w14:textId="77777777" w:rsidR="0041389C" w:rsidRPr="00573891" w:rsidRDefault="0041389C" w:rsidP="00421313">
      <w:pPr>
        <w:spacing w:line="360" w:lineRule="auto"/>
        <w:rPr>
          <w:rFonts w:ascii="Arial" w:hAnsi="Arial" w:cs="Arial"/>
          <w:sz w:val="22"/>
          <w:szCs w:val="22"/>
        </w:rPr>
      </w:pPr>
    </w:p>
    <w:p w14:paraId="035173D1" w14:textId="77777777" w:rsidR="00E05F13" w:rsidRPr="00573891" w:rsidRDefault="00E05F13" w:rsidP="00421313">
      <w:pPr>
        <w:spacing w:after="0" w:line="360" w:lineRule="auto"/>
        <w:rPr>
          <w:rFonts w:ascii="Arial" w:hAnsi="Arial" w:cs="Arial"/>
          <w:sz w:val="22"/>
          <w:szCs w:val="22"/>
        </w:rPr>
      </w:pPr>
    </w:p>
    <w:sectPr w:rsidR="00E05F13" w:rsidRPr="005738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74724"/>
    <w:multiLevelType w:val="multilevel"/>
    <w:tmpl w:val="E68C1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1352D"/>
    <w:multiLevelType w:val="multilevel"/>
    <w:tmpl w:val="76621A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628530A"/>
    <w:multiLevelType w:val="multilevel"/>
    <w:tmpl w:val="C5280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2974FC"/>
    <w:multiLevelType w:val="multilevel"/>
    <w:tmpl w:val="53C8B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DB6D12"/>
    <w:multiLevelType w:val="multilevel"/>
    <w:tmpl w:val="44980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DC66EA"/>
    <w:multiLevelType w:val="hybridMultilevel"/>
    <w:tmpl w:val="D4880E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7F248D"/>
    <w:multiLevelType w:val="multilevel"/>
    <w:tmpl w:val="DD5E1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1608D7"/>
    <w:multiLevelType w:val="multilevel"/>
    <w:tmpl w:val="86588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C650F3"/>
    <w:multiLevelType w:val="hybridMultilevel"/>
    <w:tmpl w:val="915AC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DC5BA9"/>
    <w:multiLevelType w:val="multilevel"/>
    <w:tmpl w:val="53B0F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895EEF"/>
    <w:multiLevelType w:val="multilevel"/>
    <w:tmpl w:val="5F06E5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4903A2C"/>
    <w:multiLevelType w:val="multilevel"/>
    <w:tmpl w:val="E7D8F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481B2E"/>
    <w:multiLevelType w:val="multilevel"/>
    <w:tmpl w:val="D8CC9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AC76B6"/>
    <w:multiLevelType w:val="multilevel"/>
    <w:tmpl w:val="07D60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99473B"/>
    <w:multiLevelType w:val="multilevel"/>
    <w:tmpl w:val="BE6CD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821D41"/>
    <w:multiLevelType w:val="multilevel"/>
    <w:tmpl w:val="ECF61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501517"/>
    <w:multiLevelType w:val="multilevel"/>
    <w:tmpl w:val="96AE31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ED7BBC"/>
    <w:multiLevelType w:val="multilevel"/>
    <w:tmpl w:val="A3F0AEB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E82EEA"/>
    <w:multiLevelType w:val="multilevel"/>
    <w:tmpl w:val="FC60A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4A2E11"/>
    <w:multiLevelType w:val="multilevel"/>
    <w:tmpl w:val="EEA6F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5904A5"/>
    <w:multiLevelType w:val="multilevel"/>
    <w:tmpl w:val="CBE47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001D23"/>
    <w:multiLevelType w:val="multilevel"/>
    <w:tmpl w:val="EE72300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00866751">
    <w:abstractNumId w:val="3"/>
  </w:num>
  <w:num w:numId="2" w16cid:durableId="300038781">
    <w:abstractNumId w:val="19"/>
  </w:num>
  <w:num w:numId="3" w16cid:durableId="15622040">
    <w:abstractNumId w:val="12"/>
  </w:num>
  <w:num w:numId="4" w16cid:durableId="2087721640">
    <w:abstractNumId w:val="6"/>
  </w:num>
  <w:num w:numId="5" w16cid:durableId="1495414575">
    <w:abstractNumId w:val="14"/>
  </w:num>
  <w:num w:numId="6" w16cid:durableId="313799186">
    <w:abstractNumId w:val="13"/>
  </w:num>
  <w:num w:numId="7" w16cid:durableId="1512062247">
    <w:abstractNumId w:val="7"/>
  </w:num>
  <w:num w:numId="8" w16cid:durableId="1495537032">
    <w:abstractNumId w:val="4"/>
  </w:num>
  <w:num w:numId="9" w16cid:durableId="1770344035">
    <w:abstractNumId w:val="10"/>
  </w:num>
  <w:num w:numId="10" w16cid:durableId="2060283627">
    <w:abstractNumId w:val="18"/>
  </w:num>
  <w:num w:numId="11" w16cid:durableId="1843619061">
    <w:abstractNumId w:val="20"/>
  </w:num>
  <w:num w:numId="12" w16cid:durableId="1977252712">
    <w:abstractNumId w:val="15"/>
  </w:num>
  <w:num w:numId="13" w16cid:durableId="244848261">
    <w:abstractNumId w:val="2"/>
  </w:num>
  <w:num w:numId="14" w16cid:durableId="1257059045">
    <w:abstractNumId w:val="16"/>
  </w:num>
  <w:num w:numId="15" w16cid:durableId="166942215">
    <w:abstractNumId w:val="5"/>
  </w:num>
  <w:num w:numId="16" w16cid:durableId="1604415810">
    <w:abstractNumId w:val="8"/>
  </w:num>
  <w:num w:numId="17" w16cid:durableId="254823095">
    <w:abstractNumId w:val="11"/>
  </w:num>
  <w:num w:numId="18" w16cid:durableId="599068548">
    <w:abstractNumId w:val="0"/>
  </w:num>
  <w:num w:numId="19" w16cid:durableId="709112459">
    <w:abstractNumId w:val="17"/>
  </w:num>
  <w:num w:numId="20" w16cid:durableId="367678422">
    <w:abstractNumId w:val="9"/>
  </w:num>
  <w:num w:numId="21" w16cid:durableId="549344257">
    <w:abstractNumId w:val="1"/>
  </w:num>
  <w:num w:numId="22" w16cid:durableId="75169949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80D"/>
    <w:rsid w:val="000D16C0"/>
    <w:rsid w:val="000D3430"/>
    <w:rsid w:val="000F3052"/>
    <w:rsid w:val="0012193E"/>
    <w:rsid w:val="00125CD7"/>
    <w:rsid w:val="001305A8"/>
    <w:rsid w:val="001321BB"/>
    <w:rsid w:val="001A1820"/>
    <w:rsid w:val="001E74E6"/>
    <w:rsid w:val="001F57F9"/>
    <w:rsid w:val="00211214"/>
    <w:rsid w:val="002329F1"/>
    <w:rsid w:val="0023325E"/>
    <w:rsid w:val="00247302"/>
    <w:rsid w:val="00247892"/>
    <w:rsid w:val="00290836"/>
    <w:rsid w:val="002A4B37"/>
    <w:rsid w:val="00325401"/>
    <w:rsid w:val="00332410"/>
    <w:rsid w:val="003324A9"/>
    <w:rsid w:val="003E2059"/>
    <w:rsid w:val="003E33D6"/>
    <w:rsid w:val="00402AB4"/>
    <w:rsid w:val="0041389C"/>
    <w:rsid w:val="00416880"/>
    <w:rsid w:val="00421313"/>
    <w:rsid w:val="004601A4"/>
    <w:rsid w:val="004944D4"/>
    <w:rsid w:val="004A2134"/>
    <w:rsid w:val="004A737C"/>
    <w:rsid w:val="00501553"/>
    <w:rsid w:val="00502A68"/>
    <w:rsid w:val="00533CCD"/>
    <w:rsid w:val="00573891"/>
    <w:rsid w:val="00587A17"/>
    <w:rsid w:val="005965CE"/>
    <w:rsid w:val="005F646E"/>
    <w:rsid w:val="00613603"/>
    <w:rsid w:val="00673489"/>
    <w:rsid w:val="00682300"/>
    <w:rsid w:val="006D682A"/>
    <w:rsid w:val="006D69A9"/>
    <w:rsid w:val="006E162D"/>
    <w:rsid w:val="006F5F9C"/>
    <w:rsid w:val="00704783"/>
    <w:rsid w:val="007161F3"/>
    <w:rsid w:val="0074144C"/>
    <w:rsid w:val="00755DA6"/>
    <w:rsid w:val="00755FD0"/>
    <w:rsid w:val="00773E5B"/>
    <w:rsid w:val="007752AC"/>
    <w:rsid w:val="007853E6"/>
    <w:rsid w:val="007A4990"/>
    <w:rsid w:val="007D409D"/>
    <w:rsid w:val="007F30FB"/>
    <w:rsid w:val="008037EE"/>
    <w:rsid w:val="008053F8"/>
    <w:rsid w:val="008126A7"/>
    <w:rsid w:val="00823EF8"/>
    <w:rsid w:val="00827049"/>
    <w:rsid w:val="00845437"/>
    <w:rsid w:val="00884038"/>
    <w:rsid w:val="008D59AF"/>
    <w:rsid w:val="008E141C"/>
    <w:rsid w:val="00934BF1"/>
    <w:rsid w:val="00967BEF"/>
    <w:rsid w:val="00983494"/>
    <w:rsid w:val="0099639E"/>
    <w:rsid w:val="009C7ED3"/>
    <w:rsid w:val="009D08F5"/>
    <w:rsid w:val="009F5662"/>
    <w:rsid w:val="009F707E"/>
    <w:rsid w:val="00A333DA"/>
    <w:rsid w:val="00A5623F"/>
    <w:rsid w:val="00AA2A1D"/>
    <w:rsid w:val="00AA774A"/>
    <w:rsid w:val="00B1056D"/>
    <w:rsid w:val="00B14871"/>
    <w:rsid w:val="00B17B43"/>
    <w:rsid w:val="00B34C60"/>
    <w:rsid w:val="00BA3FF8"/>
    <w:rsid w:val="00BC6533"/>
    <w:rsid w:val="00C17985"/>
    <w:rsid w:val="00C209C7"/>
    <w:rsid w:val="00C42E79"/>
    <w:rsid w:val="00C45252"/>
    <w:rsid w:val="00C8380D"/>
    <w:rsid w:val="00C84034"/>
    <w:rsid w:val="00CA24A9"/>
    <w:rsid w:val="00CA7ECE"/>
    <w:rsid w:val="00CE1ACA"/>
    <w:rsid w:val="00D149C5"/>
    <w:rsid w:val="00D42035"/>
    <w:rsid w:val="00D528B5"/>
    <w:rsid w:val="00D624E5"/>
    <w:rsid w:val="00D639DC"/>
    <w:rsid w:val="00D65560"/>
    <w:rsid w:val="00D659E1"/>
    <w:rsid w:val="00D74E25"/>
    <w:rsid w:val="00D957E5"/>
    <w:rsid w:val="00DC5E8E"/>
    <w:rsid w:val="00DC6A2E"/>
    <w:rsid w:val="00DE2A15"/>
    <w:rsid w:val="00DF7F88"/>
    <w:rsid w:val="00E05F13"/>
    <w:rsid w:val="00E249FA"/>
    <w:rsid w:val="00E35EC8"/>
    <w:rsid w:val="00E3719C"/>
    <w:rsid w:val="00E42142"/>
    <w:rsid w:val="00E56566"/>
    <w:rsid w:val="00E659BA"/>
    <w:rsid w:val="00E70171"/>
    <w:rsid w:val="00EB009F"/>
    <w:rsid w:val="00EC5AF2"/>
    <w:rsid w:val="00EE0A0F"/>
    <w:rsid w:val="00F0252B"/>
    <w:rsid w:val="00F067E2"/>
    <w:rsid w:val="00F13264"/>
    <w:rsid w:val="00F43971"/>
    <w:rsid w:val="00F46B51"/>
    <w:rsid w:val="00F77537"/>
    <w:rsid w:val="00F96B4F"/>
    <w:rsid w:val="00FA0B34"/>
    <w:rsid w:val="00FB7EF6"/>
    <w:rsid w:val="00FC7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1D930"/>
  <w15:chartTrackingRefBased/>
  <w15:docId w15:val="{2DC5E2C5-04AD-448A-BD40-C5C8B9000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3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3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3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3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3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3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3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3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3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3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3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3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3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3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3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3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3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380D"/>
    <w:rPr>
      <w:rFonts w:eastAsiaTheme="majorEastAsia" w:cstheme="majorBidi"/>
      <w:color w:val="272727" w:themeColor="text1" w:themeTint="D8"/>
    </w:rPr>
  </w:style>
  <w:style w:type="paragraph" w:styleId="Title">
    <w:name w:val="Title"/>
    <w:basedOn w:val="Normal"/>
    <w:next w:val="Normal"/>
    <w:link w:val="TitleChar"/>
    <w:uiPriority w:val="10"/>
    <w:qFormat/>
    <w:rsid w:val="00C83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3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3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380D"/>
    <w:pPr>
      <w:spacing w:before="160"/>
      <w:jc w:val="center"/>
    </w:pPr>
    <w:rPr>
      <w:i/>
      <w:iCs/>
      <w:color w:val="404040" w:themeColor="text1" w:themeTint="BF"/>
    </w:rPr>
  </w:style>
  <w:style w:type="character" w:customStyle="1" w:styleId="QuoteChar">
    <w:name w:val="Quote Char"/>
    <w:basedOn w:val="DefaultParagraphFont"/>
    <w:link w:val="Quote"/>
    <w:uiPriority w:val="29"/>
    <w:rsid w:val="00C8380D"/>
    <w:rPr>
      <w:i/>
      <w:iCs/>
      <w:color w:val="404040" w:themeColor="text1" w:themeTint="BF"/>
    </w:rPr>
  </w:style>
  <w:style w:type="paragraph" w:styleId="ListParagraph">
    <w:name w:val="List Paragraph"/>
    <w:basedOn w:val="Normal"/>
    <w:uiPriority w:val="34"/>
    <w:qFormat/>
    <w:rsid w:val="00C8380D"/>
    <w:pPr>
      <w:ind w:left="720"/>
      <w:contextualSpacing/>
    </w:pPr>
  </w:style>
  <w:style w:type="character" w:styleId="IntenseEmphasis">
    <w:name w:val="Intense Emphasis"/>
    <w:basedOn w:val="DefaultParagraphFont"/>
    <w:uiPriority w:val="21"/>
    <w:qFormat/>
    <w:rsid w:val="00C8380D"/>
    <w:rPr>
      <w:i/>
      <w:iCs/>
      <w:color w:val="0F4761" w:themeColor="accent1" w:themeShade="BF"/>
    </w:rPr>
  </w:style>
  <w:style w:type="paragraph" w:styleId="IntenseQuote">
    <w:name w:val="Intense Quote"/>
    <w:basedOn w:val="Normal"/>
    <w:next w:val="Normal"/>
    <w:link w:val="IntenseQuoteChar"/>
    <w:uiPriority w:val="30"/>
    <w:qFormat/>
    <w:rsid w:val="00C83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380D"/>
    <w:rPr>
      <w:i/>
      <w:iCs/>
      <w:color w:val="0F4761" w:themeColor="accent1" w:themeShade="BF"/>
    </w:rPr>
  </w:style>
  <w:style w:type="character" w:styleId="IntenseReference">
    <w:name w:val="Intense Reference"/>
    <w:basedOn w:val="DefaultParagraphFont"/>
    <w:uiPriority w:val="32"/>
    <w:qFormat/>
    <w:rsid w:val="00C8380D"/>
    <w:rPr>
      <w:b/>
      <w:bCs/>
      <w:smallCaps/>
      <w:color w:val="0F4761" w:themeColor="accent1" w:themeShade="BF"/>
      <w:spacing w:val="5"/>
    </w:rPr>
  </w:style>
  <w:style w:type="character" w:styleId="Hyperlink">
    <w:name w:val="Hyperlink"/>
    <w:basedOn w:val="DefaultParagraphFont"/>
    <w:uiPriority w:val="99"/>
    <w:unhideWhenUsed/>
    <w:rsid w:val="00325401"/>
    <w:rPr>
      <w:color w:val="467886" w:themeColor="hyperlink"/>
      <w:u w:val="single"/>
    </w:rPr>
  </w:style>
  <w:style w:type="character" w:styleId="UnresolvedMention">
    <w:name w:val="Unresolved Mention"/>
    <w:basedOn w:val="DefaultParagraphFont"/>
    <w:uiPriority w:val="99"/>
    <w:semiHidden/>
    <w:unhideWhenUsed/>
    <w:rsid w:val="00325401"/>
    <w:rPr>
      <w:color w:val="605E5C"/>
      <w:shd w:val="clear" w:color="auto" w:fill="E1DFDD"/>
    </w:rPr>
  </w:style>
  <w:style w:type="character" w:styleId="FollowedHyperlink">
    <w:name w:val="FollowedHyperlink"/>
    <w:basedOn w:val="DefaultParagraphFont"/>
    <w:uiPriority w:val="99"/>
    <w:semiHidden/>
    <w:unhideWhenUsed/>
    <w:rsid w:val="00F067E2"/>
    <w:rPr>
      <w:color w:val="96607D" w:themeColor="followedHyperlink"/>
      <w:u w:val="single"/>
    </w:rPr>
  </w:style>
  <w:style w:type="character" w:styleId="Emphasis">
    <w:name w:val="Emphasis"/>
    <w:basedOn w:val="DefaultParagraphFont"/>
    <w:uiPriority w:val="20"/>
    <w:qFormat/>
    <w:rsid w:val="004944D4"/>
    <w:rPr>
      <w:i/>
      <w:iCs/>
    </w:rPr>
  </w:style>
  <w:style w:type="character" w:customStyle="1" w:styleId="t286pc">
    <w:name w:val="t286pc"/>
    <w:basedOn w:val="DefaultParagraphFont"/>
    <w:rsid w:val="004944D4"/>
  </w:style>
  <w:style w:type="table" w:styleId="TableGrid">
    <w:name w:val="Table Grid"/>
    <w:basedOn w:val="TableNormal"/>
    <w:uiPriority w:val="39"/>
    <w:rsid w:val="00827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i&amp;source=web&amp;rct=j&amp;url=https://totaltele.com/vodafone-to-take-control-of-vodafonethree-in-4-3bn-buyout/&amp;ved=2ahUKEwiMjcmbnb6VAxVFbvEDHb2kPP8Qy_kOegYIAQgIEAo&amp;opi=89978449&amp;cd&amp;psig=AOvVaw36BMGTdLhyYf07NaaK0B5t&amp;ust=1783433383354000" TargetMode="External"/><Relationship Id="rId13" Type="http://schemas.openxmlformats.org/officeDocument/2006/relationships/hyperlink" Target="https://www.google.com/url?sa=i&amp;source=web&amp;rct=j&amp;url=https://www.gov.uk/government/consultations/proposed-statement-of-strategic-priorities-for-telecommunications-the-management-of-radio-spectrum-and-postal-services/outcome/proposed-statement-of-strategic-priorities-for-telecommunications-the-management-of-radio-spectrum-and-postal-services-government-response&amp;ved=2ahUKEwjO6Ymgg76VAxVbWUEAHVrkGcgQy_kOegYIAQgREAQ&amp;opi=89978449&amp;cd&amp;psig=AOvVaw0qBlrP5El2jDBwsRMdmMqs&amp;ust=1783426413438000" TargetMode="External"/><Relationship Id="rId18" Type="http://schemas.openxmlformats.org/officeDocument/2006/relationships/hyperlink" Target="https://vodafone.com" TargetMode="External"/><Relationship Id="rId3" Type="http://schemas.openxmlformats.org/officeDocument/2006/relationships/styles" Target="styles.xml"/><Relationship Id="rId21" Type="http://schemas.openxmlformats.org/officeDocument/2006/relationships/hyperlink" Target="https://www.google.com/url?sa=i&amp;source=web&amp;rct=j&amp;url=https://www.gov.uk/government/organisations/competition-and-markets-authority&amp;ved=2ahUKEwiH6cGThL6VAxXmd0EAHfA4GPMQy_kOegYIAQgMEAk&amp;opi=89978449&amp;cd&amp;psig=AOvVaw0smazo6KnQXUuayoeLNoo2&amp;ust=1783426655496000" TargetMode="External"/><Relationship Id="rId7" Type="http://schemas.openxmlformats.org/officeDocument/2006/relationships/hyperlink" Target="https://www.google.com/url?sa=i&amp;source=web&amp;rct=j&amp;url=https://assets.publishing.service.gov.uk/media/675146fe9ef923a1bbc97b18/Summary_of_final_report_3.pdf&amp;ved=2ahUKEwiMjcmbnb6VAxVFbvEDHb2kPP8Qy_kOegYIAQgIEAY&amp;opi=89978449&amp;cd&amp;psig=AOvVaw36BMGTdLhyYf07NaaK0B5t&amp;ust=1783433383354000" TargetMode="External"/><Relationship Id="rId12" Type="http://schemas.openxmlformats.org/officeDocument/2006/relationships/hyperlink" Target="https://www.google.com/url?sa=i&amp;source=web&amp;rct=j&amp;url=https://www.gov.uk/government/publications/uk-wireless-infrastructure-strategy&amp;ved=2ahUKEwjO6Ymgg76VAxVbWUEAHVrkGcgQy_kOegYIAQgREAM&amp;opi=89978449&amp;cd&amp;psig=AOvVaw0qBlrP5El2jDBwsRMdmMqs&amp;ust=1783426413438000" TargetMode="External"/><Relationship Id="rId17" Type="http://schemas.openxmlformats.org/officeDocument/2006/relationships/hyperlink" Target="https://vodafone.co.uk" TargetMode="External"/><Relationship Id="rId2" Type="http://schemas.openxmlformats.org/officeDocument/2006/relationships/numbering" Target="numbering.xml"/><Relationship Id="rId16" Type="http://schemas.openxmlformats.org/officeDocument/2006/relationships/hyperlink" Target="https://www.google.com/url?sa=i&amp;source=web&amp;rct=j&amp;url=https://www.ofcom.org.uk/phones-and-broadband/service-quality/the-communications-market-2025&amp;ved=2ahUKEwjdz5vKgL6VAxVzQUEAHYWqCfEQy_kOegYIAAgIEAQ&amp;opi=89978449&amp;cd&amp;psig=AOvVaw1np4ne56jQ5mzuWH_0F2Jb&amp;ust=1783425696444000" TargetMode="External"/><Relationship Id="rId20" Type="http://schemas.openxmlformats.org/officeDocument/2006/relationships/hyperlink" Target="https://www.google.com/url?sa=i&amp;source=web&amp;rct=j&amp;url=https://www.ofcom.org.uk/siteassets/resources/documents/research-and-data/multi-sector/cmr/cmr2025/communications-market-report-2025_pdf.pdf?v%3D400305&amp;ved=2ahUKEwiH6cGThL6VAxXmd0EAHfA4GPMQy_kOegYIAQgMEAQ&amp;opi=89978449&amp;cd&amp;psig=AOvVaw0smazo6KnQXUuayoeLNoo2&amp;ust=1783426655496000" TargetMode="External"/><Relationship Id="rId1" Type="http://schemas.openxmlformats.org/officeDocument/2006/relationships/customXml" Target="../customXml/item1.xml"/><Relationship Id="rId6" Type="http://schemas.openxmlformats.org/officeDocument/2006/relationships/hyperlink" Target="https://www.google.com/url?sa=i&amp;source=web&amp;rct=j&amp;url=https://www.gov.uk/government/publications/uk-wireless-infrastructure-strategy&amp;ved=2ahUKEwiMjcmbnb6VAxVFbvEDHb2kPP8Qy_kOegYIAQgIEAQ&amp;opi=89978449&amp;cd&amp;psig=AOvVaw36BMGTdLhyYf07NaaK0B5t&amp;ust=1783433383354000" TargetMode="External"/><Relationship Id="rId11" Type="http://schemas.openxmlformats.org/officeDocument/2006/relationships/hyperlink" Target="https://www.gov.uk/government/news/cma-clears-vodafone-three-merger-subject-to-legally-binding-commitment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ofcom.org.uk" TargetMode="External"/><Relationship Id="rId23" Type="http://schemas.openxmlformats.org/officeDocument/2006/relationships/fontTable" Target="fontTable.xml"/><Relationship Id="rId10" Type="http://schemas.openxmlformats.org/officeDocument/2006/relationships/hyperlink" Target="https://www.google.com/url?sa=i&amp;source=web&amp;rct=j&amp;url=https://www.gov.uk/guidance/how-we-are-investigating-the-vodafonethree-potential-merger&amp;ved=2ahUKEwiMjcmbnb6VAxVFbvEDHb2kPP8Qy_kOegYIAQgIEBQ&amp;opi=89978449&amp;cd&amp;psig=AOvVaw36BMGTdLhyYf07NaaK0B5t&amp;ust=1783433383354000" TargetMode="External"/><Relationship Id="rId19" Type="http://schemas.openxmlformats.org/officeDocument/2006/relationships/hyperlink" Target="https://www.google.com/url?sa=i&amp;source=web&amp;rct=j&amp;url=https://www.gov.uk/government/publications/uk-wireless-infrastructure-strategy&amp;ved=2ahUKEwiH6cGThL6VAxXmd0EAHfA4GPMQy_kOegYIAQgMEAI&amp;opi=89978449&amp;cd&amp;psig=AOvVaw0smazo6KnQXUuayoeLNoo2&amp;ust=1783426655496000" TargetMode="External"/><Relationship Id="rId4" Type="http://schemas.openxmlformats.org/officeDocument/2006/relationships/settings" Target="settings.xml"/><Relationship Id="rId9" Type="http://schemas.openxmlformats.org/officeDocument/2006/relationships/hyperlink" Target="https://www.google.com/url?sa=i&amp;source=web&amp;rct=j&amp;url=https://www.cliffordchance.com/content/dam/cliffordchance/briefings/2024/12/cma-clears-vodafone-uk-merger.pdf&amp;ved=2ahUKEwiMjcmbnb6VAxVFbvEDHb2kPP8Qy_kOegYIAQgIEAw&amp;opi=89978449&amp;cd&amp;psig=AOvVaw36BMGTdLhyYf07NaaK0B5t&amp;ust=1783433383354000" TargetMode="External"/><Relationship Id="rId14" Type="http://schemas.openxmlformats.org/officeDocument/2006/relationships/hyperlink" Target="https://www.gov.uk/government/publications/uk-wireless-infrastructure-strategy" TargetMode="External"/><Relationship Id="rId22" Type="http://schemas.openxmlformats.org/officeDocument/2006/relationships/hyperlink" Target="https://www.google.com/url?sa=i&amp;source=web&amp;rct=j&amp;url=https://assets.publishing.service.gov.uk/media/675146fe9ef923a1bbc97b18/Summary_of_final_report_3.pdf&amp;ved=2ahUKEwiUgPGwhb6VAxW1_rsIHS5vKJMQy_kOegYIAAgaEAM&amp;opi=89978449&amp;cd&amp;psig=AOvVaw2pU9k_rXhAhIDmlXV-atHJ&amp;ust=1783426985550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229EF-C7D7-47DE-B10F-6CBCC9191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14</Pages>
  <Words>4762</Words>
  <Characters>27145</Characters>
  <Application>Microsoft Office Word</Application>
  <DocSecurity>0</DocSecurity>
  <Lines>226</Lines>
  <Paragraphs>63</Paragraphs>
  <ScaleCrop>false</ScaleCrop>
  <Company/>
  <LinksUpToDate>false</LinksUpToDate>
  <CharactersWithSpaces>31844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Lisa-Maria Fechete</dc:creator>
  <cp:keywords/>
  <dc:description/>
  <cp:lastModifiedBy>Lisa-Maria Fechete</cp:lastModifiedBy>
  <cp:revision>120</cp:revision>
  <dcterms:created xsi:type="dcterms:W3CDTF">2026-06-05T16:18:00Z</dcterms:created>
  <dcterms:modified xsi:type="dcterms:W3CDTF">2026-07-06T15:39:00Z</dcterms:modified>
</cp:coreProperties>
</file>