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0A105" w14:textId="77777777" w:rsidR="00B261EA" w:rsidRDefault="00B261EA">
      <w:pPr>
        <w:widowControl w:val="0"/>
        <w:spacing w:before="275" w:line="240" w:lineRule="auto"/>
        <w:jc w:val="center"/>
        <w:rPr>
          <w:sz w:val="55"/>
          <w:szCs w:val="55"/>
        </w:rPr>
      </w:pPr>
    </w:p>
    <w:p w14:paraId="265DFC48" w14:textId="77777777" w:rsidR="00B261EA" w:rsidRDefault="006377C2">
      <w:pPr>
        <w:widowControl w:val="0"/>
        <w:spacing w:before="275" w:line="240" w:lineRule="auto"/>
        <w:jc w:val="center"/>
        <w:rPr>
          <w:b/>
          <w:bCs/>
          <w:i/>
          <w:iCs/>
        </w:rPr>
      </w:pPr>
      <w:r>
        <w:rPr>
          <w:noProof/>
          <w:lang w:val="en-IN" w:eastAsia="en-IN"/>
        </w:rPr>
        <w:drawing>
          <wp:inline distT="0" distB="0" distL="114300" distR="114300" wp14:anchorId="52FA2D71" wp14:editId="62AE2E07">
            <wp:extent cx="1739900" cy="74930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8"/>
                    <a:stretch>
                      <a:fillRect/>
                    </a:stretch>
                  </pic:blipFill>
                  <pic:spPr>
                    <a:xfrm>
                      <a:off x="0" y="0"/>
                      <a:ext cx="1739900" cy="749300"/>
                    </a:xfrm>
                    <a:prstGeom prst="rect">
                      <a:avLst/>
                    </a:prstGeom>
                    <a:noFill/>
                    <a:ln>
                      <a:noFill/>
                    </a:ln>
                  </pic:spPr>
                </pic:pic>
              </a:graphicData>
            </a:graphic>
          </wp:inline>
        </w:drawing>
      </w:r>
    </w:p>
    <w:p w14:paraId="7EA42A39" w14:textId="77777777" w:rsidR="00B261EA" w:rsidRDefault="006377C2">
      <w:pPr>
        <w:widowControl w:val="0"/>
        <w:spacing w:before="275" w:line="240" w:lineRule="auto"/>
        <w:jc w:val="center"/>
        <w:rPr>
          <w:b/>
          <w:bCs/>
          <w:sz w:val="28"/>
          <w:szCs w:val="28"/>
        </w:rPr>
      </w:pPr>
      <w:r>
        <w:rPr>
          <w:b/>
          <w:bCs/>
          <w:sz w:val="28"/>
          <w:szCs w:val="28"/>
        </w:rPr>
        <w:t>Programme: MSc Public Health and Social Care in Practice</w:t>
      </w:r>
    </w:p>
    <w:p w14:paraId="7AF4C543" w14:textId="77777777" w:rsidR="00B261EA" w:rsidRDefault="006377C2">
      <w:pPr>
        <w:widowControl w:val="0"/>
        <w:spacing w:before="275" w:line="240" w:lineRule="auto"/>
        <w:jc w:val="center"/>
        <w:rPr>
          <w:b/>
          <w:bCs/>
          <w:sz w:val="28"/>
          <w:szCs w:val="28"/>
        </w:rPr>
      </w:pPr>
      <w:r>
        <w:rPr>
          <w:b/>
          <w:bCs/>
          <w:sz w:val="28"/>
          <w:szCs w:val="28"/>
        </w:rPr>
        <w:t>Module: Health Care System Organisation and Leadership</w:t>
      </w:r>
    </w:p>
    <w:p w14:paraId="1B40A596" w14:textId="77777777" w:rsidR="00B261EA" w:rsidRDefault="006377C2">
      <w:pPr>
        <w:widowControl w:val="0"/>
        <w:spacing w:before="275" w:line="240" w:lineRule="auto"/>
        <w:jc w:val="center"/>
        <w:rPr>
          <w:b/>
          <w:bCs/>
          <w:sz w:val="28"/>
          <w:szCs w:val="28"/>
        </w:rPr>
      </w:pPr>
      <w:r>
        <w:rPr>
          <w:b/>
          <w:bCs/>
          <w:sz w:val="28"/>
          <w:szCs w:val="28"/>
        </w:rPr>
        <w:t>Module code: LCHS7002</w:t>
      </w:r>
    </w:p>
    <w:p w14:paraId="1A1D23EA" w14:textId="4C8FF627" w:rsidR="00B261EA" w:rsidRDefault="006377C2">
      <w:pPr>
        <w:jc w:val="center"/>
        <w:rPr>
          <w:b/>
          <w:bCs/>
          <w:sz w:val="28"/>
          <w:szCs w:val="28"/>
          <w:lang w:val="en-IN"/>
        </w:rPr>
      </w:pPr>
      <w:r>
        <w:rPr>
          <w:b/>
          <w:bCs/>
          <w:sz w:val="28"/>
          <w:szCs w:val="28"/>
          <w:lang w:val="en-IN"/>
        </w:rPr>
        <w:t>Chosen Case study: Case Study Number 2</w:t>
      </w:r>
      <w:r w:rsidR="00A5440F">
        <w:rPr>
          <w:b/>
          <w:bCs/>
          <w:sz w:val="28"/>
          <w:szCs w:val="28"/>
          <w:lang w:val="en-IN"/>
        </w:rPr>
        <w:t xml:space="preserve"> </w:t>
      </w:r>
    </w:p>
    <w:p w14:paraId="29E3AC21" w14:textId="64D53D49" w:rsidR="00A5440F" w:rsidRDefault="00A5440F">
      <w:pPr>
        <w:jc w:val="center"/>
        <w:rPr>
          <w:b/>
          <w:bCs/>
          <w:sz w:val="28"/>
          <w:szCs w:val="28"/>
          <w:lang w:val="en-IN"/>
        </w:rPr>
      </w:pPr>
      <w:r>
        <w:rPr>
          <w:b/>
          <w:bCs/>
          <w:sz w:val="28"/>
          <w:szCs w:val="28"/>
          <w:lang w:val="en-IN"/>
        </w:rPr>
        <w:t>Healthcare and Ledership Failure in prohibiting a Medication Error</w:t>
      </w:r>
    </w:p>
    <w:p w14:paraId="6AF7993A" w14:textId="77777777" w:rsidR="00B261EA" w:rsidRDefault="00B261EA">
      <w:pPr>
        <w:jc w:val="center"/>
        <w:rPr>
          <w:b/>
          <w:bCs/>
          <w:sz w:val="28"/>
          <w:szCs w:val="28"/>
          <w:lang w:val="en-IN"/>
        </w:rPr>
      </w:pPr>
    </w:p>
    <w:p w14:paraId="37BE4261" w14:textId="653A442C" w:rsidR="00B261EA" w:rsidRDefault="006377C2">
      <w:pPr>
        <w:jc w:val="center"/>
        <w:rPr>
          <w:b/>
          <w:bCs/>
          <w:sz w:val="28"/>
          <w:szCs w:val="28"/>
          <w:lang w:val="en-IN"/>
        </w:rPr>
      </w:pPr>
      <w:r>
        <w:rPr>
          <w:b/>
          <w:bCs/>
          <w:sz w:val="28"/>
          <w:szCs w:val="28"/>
          <w:lang w:val="en-IN"/>
        </w:rPr>
        <w:t>Student Name:</w:t>
      </w:r>
      <w:r w:rsidR="003751B9">
        <w:rPr>
          <w:b/>
          <w:bCs/>
          <w:sz w:val="28"/>
          <w:szCs w:val="28"/>
          <w:lang w:val="en-IN"/>
        </w:rPr>
        <w:t xml:space="preserve"> Smitkumar Bharatbhai Kachhadiya</w:t>
      </w:r>
    </w:p>
    <w:p w14:paraId="190543E7" w14:textId="05AB3B27" w:rsidR="00B261EA" w:rsidRDefault="006377C2">
      <w:pPr>
        <w:jc w:val="center"/>
        <w:rPr>
          <w:b/>
          <w:bCs/>
          <w:sz w:val="31"/>
          <w:szCs w:val="31"/>
        </w:rPr>
      </w:pPr>
      <w:r>
        <w:rPr>
          <w:b/>
          <w:bCs/>
          <w:sz w:val="28"/>
          <w:szCs w:val="28"/>
          <w:lang w:val="en-IN"/>
        </w:rPr>
        <w:t>Student ID:</w:t>
      </w:r>
      <w:r w:rsidR="003751B9">
        <w:rPr>
          <w:b/>
          <w:bCs/>
          <w:sz w:val="28"/>
          <w:szCs w:val="28"/>
          <w:lang w:val="en-IN"/>
        </w:rPr>
        <w:t>2520164</w:t>
      </w:r>
      <w:r>
        <w:rPr>
          <w:b/>
          <w:bCs/>
          <w:sz w:val="31"/>
          <w:szCs w:val="31"/>
        </w:rPr>
        <w:br w:type="page"/>
      </w:r>
    </w:p>
    <w:sdt>
      <w:sdtPr>
        <w:rPr>
          <w:rFonts w:ascii="Arial" w:eastAsia="Arial" w:hAnsi="Arial" w:cs="Arial"/>
          <w:color w:val="0E101A"/>
          <w:sz w:val="24"/>
          <w:szCs w:val="24"/>
          <w:lang w:val="en-GB" w:eastAsia="en-GB" w:bidi="hi-IN"/>
        </w:rPr>
        <w:id w:val="437415282"/>
        <w:docPartObj>
          <w:docPartGallery w:val="Table of Contents"/>
          <w:docPartUnique/>
        </w:docPartObj>
      </w:sdtPr>
      <w:sdtEndPr>
        <w:rPr>
          <w:b/>
          <w:bCs/>
        </w:rPr>
      </w:sdtEndPr>
      <w:sdtContent>
        <w:p w14:paraId="7A0AC563" w14:textId="77777777" w:rsidR="00B261EA" w:rsidRPr="00D31B29" w:rsidRDefault="006377C2" w:rsidP="00D31B29">
          <w:pPr>
            <w:pStyle w:val="TOCHeading1"/>
            <w:jc w:val="center"/>
            <w:rPr>
              <w:rFonts w:ascii="Arial" w:hAnsi="Arial" w:cs="Arial"/>
              <w:color w:val="auto"/>
            </w:rPr>
          </w:pPr>
          <w:r w:rsidRPr="00D31B29">
            <w:rPr>
              <w:rFonts w:ascii="Arial" w:hAnsi="Arial" w:cs="Arial"/>
              <w:color w:val="auto"/>
            </w:rPr>
            <w:t>Table of Contents</w:t>
          </w:r>
        </w:p>
        <w:p w14:paraId="0A436A51" w14:textId="77777777" w:rsidR="00D31B29" w:rsidRDefault="006377C2">
          <w:pPr>
            <w:pStyle w:val="TOC1"/>
            <w:tabs>
              <w:tab w:val="right" w:leader="dot" w:pos="9073"/>
            </w:tabs>
            <w:rPr>
              <w:rFonts w:asciiTheme="minorHAnsi" w:eastAsiaTheme="minorEastAsia" w:hAnsiTheme="minorHAnsi"/>
              <w:noProof/>
              <w:color w:val="auto"/>
              <w:sz w:val="22"/>
              <w:szCs w:val="20"/>
              <w:lang w:val="en-IN" w:eastAsia="en-IN"/>
            </w:rPr>
          </w:pPr>
          <w:r>
            <w:fldChar w:fldCharType="begin"/>
          </w:r>
          <w:r>
            <w:instrText xml:space="preserve"> TOC \o "1-3" \h \z \u </w:instrText>
          </w:r>
          <w:r>
            <w:fldChar w:fldCharType="separate"/>
          </w:r>
          <w:hyperlink w:anchor="_Toc226223320" w:history="1">
            <w:r w:rsidR="00D31B29" w:rsidRPr="00644FEF">
              <w:rPr>
                <w:rStyle w:val="Hyperlink"/>
                <w:rFonts w:cs="Arial"/>
                <w:noProof/>
              </w:rPr>
              <w:t>1. Introduction</w:t>
            </w:r>
            <w:r w:rsidR="00D31B29">
              <w:rPr>
                <w:noProof/>
                <w:webHidden/>
              </w:rPr>
              <w:tab/>
            </w:r>
            <w:r w:rsidR="00D31B29">
              <w:rPr>
                <w:noProof/>
                <w:webHidden/>
              </w:rPr>
              <w:fldChar w:fldCharType="begin"/>
            </w:r>
            <w:r w:rsidR="00D31B29">
              <w:rPr>
                <w:noProof/>
                <w:webHidden/>
              </w:rPr>
              <w:instrText xml:space="preserve"> PAGEREF _Toc226223320 \h </w:instrText>
            </w:r>
            <w:r w:rsidR="00D31B29">
              <w:rPr>
                <w:noProof/>
                <w:webHidden/>
              </w:rPr>
            </w:r>
            <w:r w:rsidR="00D31B29">
              <w:rPr>
                <w:noProof/>
                <w:webHidden/>
              </w:rPr>
              <w:fldChar w:fldCharType="separate"/>
            </w:r>
            <w:r w:rsidR="00D31B29">
              <w:rPr>
                <w:noProof/>
                <w:webHidden/>
              </w:rPr>
              <w:t>3</w:t>
            </w:r>
            <w:r w:rsidR="00D31B29">
              <w:rPr>
                <w:noProof/>
                <w:webHidden/>
              </w:rPr>
              <w:fldChar w:fldCharType="end"/>
            </w:r>
          </w:hyperlink>
        </w:p>
        <w:p w14:paraId="575268EF" w14:textId="77777777" w:rsidR="00D31B29" w:rsidRDefault="00D31B29">
          <w:pPr>
            <w:pStyle w:val="TOC1"/>
            <w:tabs>
              <w:tab w:val="right" w:leader="dot" w:pos="9073"/>
            </w:tabs>
            <w:rPr>
              <w:rFonts w:asciiTheme="minorHAnsi" w:eastAsiaTheme="minorEastAsia" w:hAnsiTheme="minorHAnsi"/>
              <w:noProof/>
              <w:color w:val="auto"/>
              <w:sz w:val="22"/>
              <w:szCs w:val="20"/>
              <w:lang w:val="en-IN" w:eastAsia="en-IN"/>
            </w:rPr>
          </w:pPr>
          <w:hyperlink w:anchor="_Toc226223321" w:history="1">
            <w:r w:rsidRPr="00644FEF">
              <w:rPr>
                <w:rStyle w:val="Hyperlink"/>
                <w:rFonts w:cs="Arial"/>
                <w:noProof/>
              </w:rPr>
              <w:t>2. Main Body</w:t>
            </w:r>
            <w:r>
              <w:rPr>
                <w:noProof/>
                <w:webHidden/>
              </w:rPr>
              <w:tab/>
            </w:r>
            <w:r>
              <w:rPr>
                <w:noProof/>
                <w:webHidden/>
              </w:rPr>
              <w:fldChar w:fldCharType="begin"/>
            </w:r>
            <w:r>
              <w:rPr>
                <w:noProof/>
                <w:webHidden/>
              </w:rPr>
              <w:instrText xml:space="preserve"> PAGEREF _Toc226223321 \h </w:instrText>
            </w:r>
            <w:r>
              <w:rPr>
                <w:noProof/>
                <w:webHidden/>
              </w:rPr>
            </w:r>
            <w:r>
              <w:rPr>
                <w:noProof/>
                <w:webHidden/>
              </w:rPr>
              <w:fldChar w:fldCharType="separate"/>
            </w:r>
            <w:r>
              <w:rPr>
                <w:noProof/>
                <w:webHidden/>
              </w:rPr>
              <w:t>4</w:t>
            </w:r>
            <w:r>
              <w:rPr>
                <w:noProof/>
                <w:webHidden/>
              </w:rPr>
              <w:fldChar w:fldCharType="end"/>
            </w:r>
          </w:hyperlink>
        </w:p>
        <w:p w14:paraId="0F908BEB" w14:textId="77777777" w:rsidR="00D31B29" w:rsidRDefault="00D31B29">
          <w:pPr>
            <w:pStyle w:val="TOC2"/>
            <w:tabs>
              <w:tab w:val="right" w:leader="dot" w:pos="9073"/>
            </w:tabs>
            <w:rPr>
              <w:rFonts w:asciiTheme="minorHAnsi" w:eastAsiaTheme="minorEastAsia" w:hAnsiTheme="minorHAnsi"/>
              <w:noProof/>
              <w:color w:val="auto"/>
              <w:sz w:val="22"/>
              <w:szCs w:val="20"/>
              <w:lang w:val="en-IN" w:eastAsia="en-IN"/>
            </w:rPr>
          </w:pPr>
          <w:hyperlink w:anchor="_Toc226223322" w:history="1">
            <w:r w:rsidRPr="00644FEF">
              <w:rPr>
                <w:rStyle w:val="Hyperlink"/>
                <w:rFonts w:cs="Arial"/>
                <w:noProof/>
              </w:rPr>
              <w:t>2.1 Identifying the Problem Using Systems Thinking</w:t>
            </w:r>
            <w:r>
              <w:rPr>
                <w:noProof/>
                <w:webHidden/>
              </w:rPr>
              <w:tab/>
            </w:r>
            <w:r>
              <w:rPr>
                <w:noProof/>
                <w:webHidden/>
              </w:rPr>
              <w:fldChar w:fldCharType="begin"/>
            </w:r>
            <w:r>
              <w:rPr>
                <w:noProof/>
                <w:webHidden/>
              </w:rPr>
              <w:instrText xml:space="preserve"> PAGEREF _Toc226223322 \h </w:instrText>
            </w:r>
            <w:r>
              <w:rPr>
                <w:noProof/>
                <w:webHidden/>
              </w:rPr>
            </w:r>
            <w:r>
              <w:rPr>
                <w:noProof/>
                <w:webHidden/>
              </w:rPr>
              <w:fldChar w:fldCharType="separate"/>
            </w:r>
            <w:r>
              <w:rPr>
                <w:noProof/>
                <w:webHidden/>
              </w:rPr>
              <w:t>4</w:t>
            </w:r>
            <w:r>
              <w:rPr>
                <w:noProof/>
                <w:webHidden/>
              </w:rPr>
              <w:fldChar w:fldCharType="end"/>
            </w:r>
          </w:hyperlink>
        </w:p>
        <w:p w14:paraId="375469D9" w14:textId="77777777" w:rsidR="00D31B29" w:rsidRDefault="00D31B29">
          <w:pPr>
            <w:pStyle w:val="TOC2"/>
            <w:tabs>
              <w:tab w:val="right" w:leader="dot" w:pos="9073"/>
            </w:tabs>
            <w:rPr>
              <w:rFonts w:asciiTheme="minorHAnsi" w:eastAsiaTheme="minorEastAsia" w:hAnsiTheme="minorHAnsi"/>
              <w:noProof/>
              <w:color w:val="auto"/>
              <w:sz w:val="22"/>
              <w:szCs w:val="20"/>
              <w:lang w:val="en-IN" w:eastAsia="en-IN"/>
            </w:rPr>
          </w:pPr>
          <w:hyperlink w:anchor="_Toc226223323" w:history="1">
            <w:r w:rsidRPr="00644FEF">
              <w:rPr>
                <w:rStyle w:val="Hyperlink"/>
                <w:rFonts w:cs="Arial"/>
                <w:noProof/>
              </w:rPr>
              <w:t>2.2 Centralisation vs. Decentralisation</w:t>
            </w:r>
            <w:r>
              <w:rPr>
                <w:noProof/>
                <w:webHidden/>
              </w:rPr>
              <w:tab/>
            </w:r>
            <w:r>
              <w:rPr>
                <w:noProof/>
                <w:webHidden/>
              </w:rPr>
              <w:fldChar w:fldCharType="begin"/>
            </w:r>
            <w:r>
              <w:rPr>
                <w:noProof/>
                <w:webHidden/>
              </w:rPr>
              <w:instrText xml:space="preserve"> PAGEREF _Toc226223323 \h </w:instrText>
            </w:r>
            <w:r>
              <w:rPr>
                <w:noProof/>
                <w:webHidden/>
              </w:rPr>
            </w:r>
            <w:r>
              <w:rPr>
                <w:noProof/>
                <w:webHidden/>
              </w:rPr>
              <w:fldChar w:fldCharType="separate"/>
            </w:r>
            <w:r>
              <w:rPr>
                <w:noProof/>
                <w:webHidden/>
              </w:rPr>
              <w:t>9</w:t>
            </w:r>
            <w:r>
              <w:rPr>
                <w:noProof/>
                <w:webHidden/>
              </w:rPr>
              <w:fldChar w:fldCharType="end"/>
            </w:r>
          </w:hyperlink>
        </w:p>
        <w:p w14:paraId="3C6D7B81" w14:textId="77777777" w:rsidR="00D31B29" w:rsidRDefault="00D31B29">
          <w:pPr>
            <w:pStyle w:val="TOC2"/>
            <w:tabs>
              <w:tab w:val="right" w:leader="dot" w:pos="9073"/>
            </w:tabs>
            <w:rPr>
              <w:rFonts w:asciiTheme="minorHAnsi" w:eastAsiaTheme="minorEastAsia" w:hAnsiTheme="minorHAnsi"/>
              <w:noProof/>
              <w:color w:val="auto"/>
              <w:sz w:val="22"/>
              <w:szCs w:val="20"/>
              <w:lang w:val="en-IN" w:eastAsia="en-IN"/>
            </w:rPr>
          </w:pPr>
          <w:hyperlink w:anchor="_Toc226223324" w:history="1">
            <w:r w:rsidRPr="00644FEF">
              <w:rPr>
                <w:rStyle w:val="Hyperlink"/>
                <w:rFonts w:cs="Arial"/>
                <w:noProof/>
              </w:rPr>
              <w:t>2.3  Leadership Theory Application</w:t>
            </w:r>
            <w:r>
              <w:rPr>
                <w:noProof/>
                <w:webHidden/>
              </w:rPr>
              <w:tab/>
            </w:r>
            <w:r>
              <w:rPr>
                <w:noProof/>
                <w:webHidden/>
              </w:rPr>
              <w:fldChar w:fldCharType="begin"/>
            </w:r>
            <w:r>
              <w:rPr>
                <w:noProof/>
                <w:webHidden/>
              </w:rPr>
              <w:instrText xml:space="preserve"> PAGEREF _Toc226223324 \h </w:instrText>
            </w:r>
            <w:r>
              <w:rPr>
                <w:noProof/>
                <w:webHidden/>
              </w:rPr>
            </w:r>
            <w:r>
              <w:rPr>
                <w:noProof/>
                <w:webHidden/>
              </w:rPr>
              <w:fldChar w:fldCharType="separate"/>
            </w:r>
            <w:r>
              <w:rPr>
                <w:noProof/>
                <w:webHidden/>
              </w:rPr>
              <w:t>12</w:t>
            </w:r>
            <w:r>
              <w:rPr>
                <w:noProof/>
                <w:webHidden/>
              </w:rPr>
              <w:fldChar w:fldCharType="end"/>
            </w:r>
          </w:hyperlink>
        </w:p>
        <w:p w14:paraId="4F27DD41" w14:textId="77777777" w:rsidR="00D31B29" w:rsidRDefault="00D31B29">
          <w:pPr>
            <w:pStyle w:val="TOC2"/>
            <w:tabs>
              <w:tab w:val="right" w:leader="dot" w:pos="9073"/>
            </w:tabs>
            <w:rPr>
              <w:rFonts w:asciiTheme="minorHAnsi" w:eastAsiaTheme="minorEastAsia" w:hAnsiTheme="minorHAnsi"/>
              <w:noProof/>
              <w:color w:val="auto"/>
              <w:sz w:val="22"/>
              <w:szCs w:val="20"/>
              <w:lang w:val="en-IN" w:eastAsia="en-IN"/>
            </w:rPr>
          </w:pPr>
          <w:hyperlink w:anchor="_Toc226223325" w:history="1">
            <w:r w:rsidRPr="00644FEF">
              <w:rPr>
                <w:rStyle w:val="Hyperlink"/>
                <w:rFonts w:cs="Arial"/>
                <w:noProof/>
              </w:rPr>
              <w:t>2.4 Critique, Improvements, and Lessons Learned</w:t>
            </w:r>
            <w:r>
              <w:rPr>
                <w:noProof/>
                <w:webHidden/>
              </w:rPr>
              <w:tab/>
            </w:r>
            <w:r>
              <w:rPr>
                <w:noProof/>
                <w:webHidden/>
              </w:rPr>
              <w:fldChar w:fldCharType="begin"/>
            </w:r>
            <w:r>
              <w:rPr>
                <w:noProof/>
                <w:webHidden/>
              </w:rPr>
              <w:instrText xml:space="preserve"> PAGEREF _Toc226223325 \h </w:instrText>
            </w:r>
            <w:r>
              <w:rPr>
                <w:noProof/>
                <w:webHidden/>
              </w:rPr>
            </w:r>
            <w:r>
              <w:rPr>
                <w:noProof/>
                <w:webHidden/>
              </w:rPr>
              <w:fldChar w:fldCharType="separate"/>
            </w:r>
            <w:r>
              <w:rPr>
                <w:noProof/>
                <w:webHidden/>
              </w:rPr>
              <w:t>16</w:t>
            </w:r>
            <w:r>
              <w:rPr>
                <w:noProof/>
                <w:webHidden/>
              </w:rPr>
              <w:fldChar w:fldCharType="end"/>
            </w:r>
          </w:hyperlink>
        </w:p>
        <w:p w14:paraId="475FD4D7" w14:textId="77777777" w:rsidR="00D31B29" w:rsidRDefault="00D31B29">
          <w:pPr>
            <w:pStyle w:val="TOC1"/>
            <w:tabs>
              <w:tab w:val="right" w:leader="dot" w:pos="9073"/>
            </w:tabs>
            <w:rPr>
              <w:rFonts w:asciiTheme="minorHAnsi" w:eastAsiaTheme="minorEastAsia" w:hAnsiTheme="minorHAnsi"/>
              <w:noProof/>
              <w:color w:val="auto"/>
              <w:sz w:val="22"/>
              <w:szCs w:val="20"/>
              <w:lang w:val="en-IN" w:eastAsia="en-IN"/>
            </w:rPr>
          </w:pPr>
          <w:hyperlink w:anchor="_Toc226223326" w:history="1">
            <w:r w:rsidRPr="00644FEF">
              <w:rPr>
                <w:rStyle w:val="Hyperlink"/>
                <w:rFonts w:cs="Arial"/>
                <w:noProof/>
              </w:rPr>
              <w:t>3. Recommendations</w:t>
            </w:r>
            <w:r>
              <w:rPr>
                <w:noProof/>
                <w:webHidden/>
              </w:rPr>
              <w:tab/>
            </w:r>
            <w:r>
              <w:rPr>
                <w:noProof/>
                <w:webHidden/>
              </w:rPr>
              <w:fldChar w:fldCharType="begin"/>
            </w:r>
            <w:r>
              <w:rPr>
                <w:noProof/>
                <w:webHidden/>
              </w:rPr>
              <w:instrText xml:space="preserve"> PAGEREF _Toc226223326 \h </w:instrText>
            </w:r>
            <w:r>
              <w:rPr>
                <w:noProof/>
                <w:webHidden/>
              </w:rPr>
            </w:r>
            <w:r>
              <w:rPr>
                <w:noProof/>
                <w:webHidden/>
              </w:rPr>
              <w:fldChar w:fldCharType="separate"/>
            </w:r>
            <w:r>
              <w:rPr>
                <w:noProof/>
                <w:webHidden/>
              </w:rPr>
              <w:t>19</w:t>
            </w:r>
            <w:r>
              <w:rPr>
                <w:noProof/>
                <w:webHidden/>
              </w:rPr>
              <w:fldChar w:fldCharType="end"/>
            </w:r>
          </w:hyperlink>
        </w:p>
        <w:p w14:paraId="427507DC" w14:textId="77777777" w:rsidR="00D31B29" w:rsidRDefault="00D31B29">
          <w:pPr>
            <w:pStyle w:val="TOC1"/>
            <w:tabs>
              <w:tab w:val="right" w:leader="dot" w:pos="9073"/>
            </w:tabs>
            <w:rPr>
              <w:rFonts w:asciiTheme="minorHAnsi" w:eastAsiaTheme="minorEastAsia" w:hAnsiTheme="minorHAnsi"/>
              <w:noProof/>
              <w:color w:val="auto"/>
              <w:sz w:val="22"/>
              <w:szCs w:val="20"/>
              <w:lang w:val="en-IN" w:eastAsia="en-IN"/>
            </w:rPr>
          </w:pPr>
          <w:hyperlink w:anchor="_Toc226223327" w:history="1">
            <w:r w:rsidRPr="00644FEF">
              <w:rPr>
                <w:rStyle w:val="Hyperlink"/>
                <w:rFonts w:cs="Arial"/>
                <w:noProof/>
              </w:rPr>
              <w:t>4. Conclusion</w:t>
            </w:r>
            <w:r>
              <w:rPr>
                <w:noProof/>
                <w:webHidden/>
              </w:rPr>
              <w:tab/>
            </w:r>
            <w:r>
              <w:rPr>
                <w:noProof/>
                <w:webHidden/>
              </w:rPr>
              <w:fldChar w:fldCharType="begin"/>
            </w:r>
            <w:r>
              <w:rPr>
                <w:noProof/>
                <w:webHidden/>
              </w:rPr>
              <w:instrText xml:space="preserve"> PAGEREF _Toc226223327 \h </w:instrText>
            </w:r>
            <w:r>
              <w:rPr>
                <w:noProof/>
                <w:webHidden/>
              </w:rPr>
            </w:r>
            <w:r>
              <w:rPr>
                <w:noProof/>
                <w:webHidden/>
              </w:rPr>
              <w:fldChar w:fldCharType="separate"/>
            </w:r>
            <w:r>
              <w:rPr>
                <w:noProof/>
                <w:webHidden/>
              </w:rPr>
              <w:t>21</w:t>
            </w:r>
            <w:r>
              <w:rPr>
                <w:noProof/>
                <w:webHidden/>
              </w:rPr>
              <w:fldChar w:fldCharType="end"/>
            </w:r>
          </w:hyperlink>
        </w:p>
        <w:p w14:paraId="1EBB4EE7" w14:textId="77777777" w:rsidR="00D31B29" w:rsidRDefault="00D31B29">
          <w:pPr>
            <w:pStyle w:val="TOC1"/>
            <w:tabs>
              <w:tab w:val="right" w:leader="dot" w:pos="9073"/>
            </w:tabs>
            <w:rPr>
              <w:rFonts w:asciiTheme="minorHAnsi" w:eastAsiaTheme="minorEastAsia" w:hAnsiTheme="minorHAnsi"/>
              <w:noProof/>
              <w:color w:val="auto"/>
              <w:sz w:val="22"/>
              <w:szCs w:val="20"/>
              <w:lang w:val="en-IN" w:eastAsia="en-IN"/>
            </w:rPr>
          </w:pPr>
          <w:hyperlink w:anchor="_Toc226223328" w:history="1">
            <w:r w:rsidRPr="00644FEF">
              <w:rPr>
                <w:rStyle w:val="Hyperlink"/>
                <w:rFonts w:cs="Arial"/>
                <w:noProof/>
              </w:rPr>
              <w:t>Reference list</w:t>
            </w:r>
            <w:r>
              <w:rPr>
                <w:noProof/>
                <w:webHidden/>
              </w:rPr>
              <w:tab/>
            </w:r>
            <w:r>
              <w:rPr>
                <w:noProof/>
                <w:webHidden/>
              </w:rPr>
              <w:fldChar w:fldCharType="begin"/>
            </w:r>
            <w:r>
              <w:rPr>
                <w:noProof/>
                <w:webHidden/>
              </w:rPr>
              <w:instrText xml:space="preserve"> PAGEREF _Toc226223328 \h </w:instrText>
            </w:r>
            <w:r>
              <w:rPr>
                <w:noProof/>
                <w:webHidden/>
              </w:rPr>
            </w:r>
            <w:r>
              <w:rPr>
                <w:noProof/>
                <w:webHidden/>
              </w:rPr>
              <w:fldChar w:fldCharType="separate"/>
            </w:r>
            <w:r>
              <w:rPr>
                <w:noProof/>
                <w:webHidden/>
              </w:rPr>
              <w:t>22</w:t>
            </w:r>
            <w:r>
              <w:rPr>
                <w:noProof/>
                <w:webHidden/>
              </w:rPr>
              <w:fldChar w:fldCharType="end"/>
            </w:r>
          </w:hyperlink>
        </w:p>
        <w:p w14:paraId="12CEAE71" w14:textId="77777777" w:rsidR="00B261EA" w:rsidRDefault="006377C2">
          <w:r>
            <w:rPr>
              <w:b/>
              <w:bCs/>
            </w:rPr>
            <w:fldChar w:fldCharType="end"/>
          </w:r>
        </w:p>
      </w:sdtContent>
    </w:sdt>
    <w:p w14:paraId="1E06D336" w14:textId="77777777" w:rsidR="00B261EA" w:rsidRDefault="00B261EA">
      <w:pPr>
        <w:widowControl w:val="0"/>
        <w:spacing w:before="391" w:after="240"/>
        <w:ind w:left="27"/>
        <w:jc w:val="center"/>
        <w:rPr>
          <w:b/>
          <w:bCs/>
          <w:sz w:val="31"/>
          <w:szCs w:val="31"/>
        </w:rPr>
        <w:sectPr w:rsidR="00B261EA">
          <w:footerReference w:type="default" r:id="rId9"/>
          <w:pgSz w:w="11900" w:h="16820"/>
          <w:pgMar w:top="1425" w:right="1380" w:bottom="1488" w:left="1437" w:header="0" w:footer="720" w:gutter="0"/>
          <w:pgNumType w:start="1"/>
          <w:cols w:space="720"/>
          <w:titlePg/>
          <w:docGrid w:linePitch="326"/>
        </w:sectPr>
      </w:pPr>
    </w:p>
    <w:p w14:paraId="06E16DE7" w14:textId="77777777" w:rsidR="00B261EA" w:rsidRDefault="006377C2">
      <w:pPr>
        <w:pStyle w:val="Heading1"/>
        <w:spacing w:after="240"/>
        <w:rPr>
          <w:rFonts w:ascii="Arial" w:eastAsia="Arial" w:hAnsi="Arial" w:cs="Arial"/>
        </w:rPr>
      </w:pPr>
      <w:bookmarkStart w:id="0" w:name="_heading=h.a5htqwz3axfe" w:colFirst="0" w:colLast="0"/>
      <w:bookmarkStart w:id="1" w:name="_Toc226223320"/>
      <w:bookmarkEnd w:id="0"/>
      <w:r>
        <w:rPr>
          <w:rFonts w:ascii="Arial" w:eastAsia="Arial" w:hAnsi="Arial" w:cs="Arial"/>
        </w:rPr>
        <w:lastRenderedPageBreak/>
        <w:t>1. Introduction</w:t>
      </w:r>
      <w:bookmarkEnd w:id="1"/>
    </w:p>
    <w:p w14:paraId="1141DBA3" w14:textId="77777777" w:rsidR="00B261EA" w:rsidRDefault="006377C2">
      <w:pPr>
        <w:spacing w:after="240"/>
      </w:pPr>
      <w:r>
        <w:t xml:space="preserve">Leadership within health and social care organisations plays a fundamental role in ensuring the delivery of safe, effective, and patient-centred services. (Singh </w:t>
      </w:r>
      <w:r>
        <w:rPr>
          <w:i/>
          <w:iCs/>
        </w:rPr>
        <w:t>et al.,</w:t>
      </w:r>
      <w:r>
        <w:t xml:space="preserve"> 2024). In situations involving patient safety incidents, leadership becomes even more critical, as it determines how effectively organisations respond to risks, manage crises, and implement improvements.</w:t>
      </w:r>
      <w:r>
        <w:rPr>
          <w:lang w:val="en-IN"/>
        </w:rPr>
        <w:t xml:space="preserve"> </w:t>
      </w:r>
      <w:r>
        <w:t xml:space="preserve">This report focuses on Case Study 2. The report is founded on a patient safety event, which is an unintentional overdose of morphine that resulted in the death of Len, </w:t>
      </w:r>
      <w:r w:rsidR="00D31B29">
        <w:t>an</w:t>
      </w:r>
      <w:r>
        <w:t xml:space="preserve"> 89-year-old man, because of a lack of understanding of medication instructions after the prescribing and dispensing procedures. The case brings to the fore essential lapses in communication, system design, and safety governance of healthcare delivery systems (HSSIB, 2026).</w:t>
      </w:r>
    </w:p>
    <w:p w14:paraId="2693AFD8" w14:textId="77777777" w:rsidR="00B261EA" w:rsidRDefault="006377C2">
      <w:pPr>
        <w:spacing w:after="240"/>
        <w:jc w:val="center"/>
      </w:pPr>
      <w:r>
        <w:rPr>
          <w:noProof/>
          <w:lang w:val="en-IN" w:eastAsia="en-IN"/>
        </w:rPr>
        <w:drawing>
          <wp:inline distT="114300" distB="114300" distL="114300" distR="114300" wp14:anchorId="4F28A48C" wp14:editId="653D7F2D">
            <wp:extent cx="5770245" cy="34544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referRelativeResize="0"/>
                  </pic:nvPicPr>
                  <pic:blipFill>
                    <a:blip r:embed="rId10"/>
                    <a:srcRect/>
                    <a:stretch>
                      <a:fillRect/>
                    </a:stretch>
                  </pic:blipFill>
                  <pic:spPr>
                    <a:xfrm>
                      <a:off x="0" y="0"/>
                      <a:ext cx="5770547" cy="3454400"/>
                    </a:xfrm>
                    <a:prstGeom prst="rect">
                      <a:avLst/>
                    </a:prstGeom>
                    <a:ln w="25400">
                      <a:solidFill>
                        <a:srgbClr val="000000"/>
                      </a:solidFill>
                      <a:prstDash val="solid"/>
                    </a:ln>
                  </pic:spPr>
                </pic:pic>
              </a:graphicData>
            </a:graphic>
          </wp:inline>
        </w:drawing>
      </w:r>
    </w:p>
    <w:p w14:paraId="0ACDAAB8" w14:textId="77777777" w:rsidR="00B261EA" w:rsidRDefault="006377C2">
      <w:pPr>
        <w:spacing w:after="240"/>
        <w:jc w:val="center"/>
        <w:rPr>
          <w:b/>
          <w:bCs/>
        </w:rPr>
      </w:pPr>
      <w:r>
        <w:rPr>
          <w:b/>
          <w:bCs/>
        </w:rPr>
        <w:t>Figure 1: barriers to medical interventions</w:t>
      </w:r>
    </w:p>
    <w:p w14:paraId="0F1AFFA2" w14:textId="77777777" w:rsidR="00B261EA" w:rsidRDefault="006377C2">
      <w:pPr>
        <w:spacing w:after="240"/>
        <w:jc w:val="center"/>
        <w:rPr>
          <w:b/>
          <w:bCs/>
        </w:rPr>
      </w:pPr>
      <w:r>
        <w:rPr>
          <w:b/>
          <w:bCs/>
        </w:rPr>
        <w:t>(Source: HSSIB, 2026)</w:t>
      </w:r>
    </w:p>
    <w:p w14:paraId="19CD9277" w14:textId="77777777" w:rsidR="00B261EA" w:rsidRDefault="006377C2">
      <w:pPr>
        <w:spacing w:after="240"/>
      </w:pPr>
      <w:r>
        <w:t xml:space="preserve">Leadership may be described as the capacity to influence, mentor, and organise people and teams to fulfil common objectives, especially in the facilitation of patient safety and quality care. Leadership in healthcare goes beyond authority and also incorporates collaboration, communication and decision making within multidisciplinary </w:t>
      </w:r>
      <w:r>
        <w:lastRenderedPageBreak/>
        <w:t>teams. Good leadership has a strong association with organisational forms like centralisation and decentralisation. Centralisation is whereby decision-making authority is centralised at a higher level so as to facilitate standardisation and control, as compared to decentralisation, which distributes authority to the local level, which encourages flexibility and responsiveness (WHO, 2026).</w:t>
      </w:r>
    </w:p>
    <w:p w14:paraId="7E78A3F0" w14:textId="77777777" w:rsidR="00B261EA" w:rsidRDefault="006377C2">
      <w:pPr>
        <w:spacing w:after="240"/>
      </w:pPr>
      <w:r>
        <w:t xml:space="preserve">The case has been critically analysed using the major leadership theories such as transformational, situational, behavioural and trait-based approaches, as the basis of the report. These theories can be used to explain the role of leadership behaviours and styles in team performance, communication and patient safety outcomes. There is an indication that the leadership style has a great influence on safety culture, employee engagement, and clinical error reduction in the healthcare environment (Singh </w:t>
      </w:r>
      <w:r>
        <w:rPr>
          <w:i/>
          <w:iCs/>
        </w:rPr>
        <w:t>et al.,</w:t>
      </w:r>
      <w:r>
        <w:t xml:space="preserve"> 2024).</w:t>
      </w:r>
    </w:p>
    <w:p w14:paraId="75361DAE" w14:textId="77777777" w:rsidR="00B261EA" w:rsidRDefault="006377C2">
      <w:pPr>
        <w:spacing w:after="240"/>
      </w:pPr>
      <w:r>
        <w:t>It is essential to choose the right leadership style, especially in the case of crisis or change, when poor communication, low accountability, and negative patient outcomes can happen due to poor leadership. The systems thinking approach will be applied to the incident to find the underlying causes of the incident, to compare and contrast centralisation and decentralisation, to apply theories of leadership in practice and to make evidence-based suggestions on how to improve patient safety and organisational performance.</w:t>
      </w:r>
    </w:p>
    <w:p w14:paraId="381D80D7" w14:textId="77777777" w:rsidR="00B261EA" w:rsidRDefault="00B261EA">
      <w:pPr>
        <w:spacing w:after="240"/>
      </w:pPr>
    </w:p>
    <w:p w14:paraId="5EE48FD8" w14:textId="77777777" w:rsidR="00B261EA" w:rsidRDefault="006377C2">
      <w:pPr>
        <w:pStyle w:val="Heading1"/>
        <w:widowControl w:val="0"/>
        <w:spacing w:before="231" w:after="240"/>
        <w:ind w:left="10"/>
        <w:rPr>
          <w:rFonts w:ascii="Arial" w:eastAsia="Arial" w:hAnsi="Arial" w:cs="Arial"/>
        </w:rPr>
      </w:pPr>
      <w:bookmarkStart w:id="2" w:name="_heading=h.cncsrl6zton8" w:colFirst="0" w:colLast="0"/>
      <w:bookmarkStart w:id="3" w:name="_Toc226223321"/>
      <w:bookmarkEnd w:id="2"/>
      <w:r>
        <w:rPr>
          <w:rFonts w:ascii="Arial" w:eastAsia="Arial" w:hAnsi="Arial" w:cs="Arial"/>
        </w:rPr>
        <w:t>2. Main Body</w:t>
      </w:r>
      <w:bookmarkEnd w:id="3"/>
      <w:r>
        <w:rPr>
          <w:rFonts w:ascii="Arial" w:eastAsia="Arial" w:hAnsi="Arial" w:cs="Arial"/>
        </w:rPr>
        <w:t xml:space="preserve"> </w:t>
      </w:r>
    </w:p>
    <w:p w14:paraId="016F4636" w14:textId="77777777" w:rsidR="00B261EA" w:rsidRDefault="006377C2">
      <w:pPr>
        <w:pStyle w:val="Heading2"/>
        <w:widowControl w:val="0"/>
        <w:spacing w:after="240"/>
        <w:rPr>
          <w:rFonts w:ascii="Arial" w:eastAsia="Arial" w:hAnsi="Arial" w:cs="Arial"/>
        </w:rPr>
      </w:pPr>
      <w:bookmarkStart w:id="4" w:name="_heading=h.m4imymj1tbzb" w:colFirst="0" w:colLast="0"/>
      <w:bookmarkStart w:id="5" w:name="_Toc226223322"/>
      <w:bookmarkEnd w:id="4"/>
      <w:r>
        <w:rPr>
          <w:rFonts w:ascii="Arial" w:eastAsia="Arial" w:hAnsi="Arial" w:cs="Arial"/>
        </w:rPr>
        <w:t>2.1 Identifying the Problem Using Systems Thinking</w:t>
      </w:r>
      <w:bookmarkEnd w:id="5"/>
      <w:r>
        <w:rPr>
          <w:rFonts w:ascii="Arial" w:eastAsia="Arial" w:hAnsi="Arial" w:cs="Arial"/>
        </w:rPr>
        <w:t xml:space="preserve"> </w:t>
      </w:r>
    </w:p>
    <w:p w14:paraId="24E538F2" w14:textId="77777777" w:rsidR="00B261EA" w:rsidRDefault="006377C2">
      <w:pPr>
        <w:spacing w:after="240"/>
        <w:rPr>
          <w:lang w:val="en-IN"/>
        </w:rPr>
      </w:pPr>
      <w:r>
        <w:t xml:space="preserve">The issue that was observed to be the central concern in the case of the Healthcare Safety Investigation Branch (HSSIB) is the accidental overdose of morphine sulfate oral solution that was caused by a complicated combination of system failures and not by an individual mistake. Here, an aged patient of 89 years (Len) took doses much higher than the prescribed one due to a misunderstanding of the medication label by him and his wife. The prescribed dose was confused with the label of the manufacturer (10mg in 5ml), and the right instructions were on the dispensing label on the outer box, which they did not read. This shows that there was a failure in the communication </w:t>
      </w:r>
      <w:r>
        <w:lastRenderedPageBreak/>
        <w:t>system, labelling design system and the system of patient education, which resulted in a fatal outcome (HSSIB, 2026).</w:t>
      </w:r>
      <w:r>
        <w:rPr>
          <w:lang w:val="en-IN"/>
        </w:rPr>
        <w:t xml:space="preserve"> The problem also reflects deficiencies in clinical governance. Effective governance requires clear accountability, robust safety protocols, and continuous monitoring of outcomes. In this case, the absence of effective patient education and follow-up mechanisms suggests weaknesses in governance at the local level. </w:t>
      </w:r>
    </w:p>
    <w:p w14:paraId="08C65FA7" w14:textId="77777777" w:rsidR="00B261EA" w:rsidRDefault="006377C2">
      <w:pPr>
        <w:spacing w:after="240"/>
      </w:pPr>
      <w:r>
        <w:t>The systems thinking approach to this problem is that various aspects of the healthcare system, such as people, processes, and structures, are interconnected and they interact in a manner that may lead to unintentional risks. The concepts of systems thinking underline that negative events are not caused by individual errors but by interdependency and breakdown of feedback (Cabrera and Cabrera, 2023).</w:t>
      </w:r>
    </w:p>
    <w:p w14:paraId="3D505070" w14:textId="77777777" w:rsidR="00B261EA" w:rsidRDefault="006377C2">
      <w:pPr>
        <w:spacing w:after="240"/>
        <w:rPr>
          <w:b/>
          <w:bCs/>
        </w:rPr>
      </w:pPr>
      <w:r>
        <w:rPr>
          <w:b/>
          <w:bCs/>
        </w:rPr>
        <w:t>Table 1: Supporting National and International Data</w:t>
      </w:r>
    </w:p>
    <w:tbl>
      <w:tblPr>
        <w:tblStyle w:val="Style19"/>
        <w:tblW w:w="9087"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2796"/>
        <w:gridCol w:w="2926"/>
        <w:gridCol w:w="3365"/>
      </w:tblGrid>
      <w:tr w:rsidR="00B261EA" w14:paraId="087BF35F" w14:textId="77777777">
        <w:trPr>
          <w:trHeight w:val="500"/>
        </w:trPr>
        <w:tc>
          <w:tcPr>
            <w:tcW w:w="2795" w:type="dxa"/>
            <w:tcBorders>
              <w:top w:val="single" w:sz="6" w:space="0" w:color="000000"/>
              <w:left w:val="single" w:sz="6" w:space="0" w:color="000000"/>
              <w:bottom w:val="single" w:sz="6" w:space="0" w:color="000000"/>
              <w:right w:val="single" w:sz="6" w:space="0" w:color="000000"/>
            </w:tcBorders>
            <w:shd w:val="clear" w:color="auto" w:fill="E6B8AF"/>
            <w:tcMar>
              <w:top w:w="100" w:type="dxa"/>
              <w:left w:w="100" w:type="dxa"/>
              <w:bottom w:w="100" w:type="dxa"/>
              <w:right w:w="100" w:type="dxa"/>
            </w:tcMar>
          </w:tcPr>
          <w:p w14:paraId="4D2AB4D0" w14:textId="77777777" w:rsidR="00B261EA" w:rsidRDefault="006377C2">
            <w:pPr>
              <w:spacing w:after="240"/>
              <w:jc w:val="center"/>
            </w:pPr>
            <w:r>
              <w:rPr>
                <w:b/>
                <w:bCs/>
              </w:rPr>
              <w:t>Source</w:t>
            </w:r>
          </w:p>
        </w:tc>
        <w:tc>
          <w:tcPr>
            <w:tcW w:w="2926" w:type="dxa"/>
            <w:tcBorders>
              <w:top w:val="single" w:sz="6" w:space="0" w:color="000000"/>
              <w:left w:val="single" w:sz="6" w:space="0" w:color="000000"/>
              <w:bottom w:val="single" w:sz="6" w:space="0" w:color="000000"/>
              <w:right w:val="single" w:sz="6" w:space="0" w:color="000000"/>
            </w:tcBorders>
            <w:shd w:val="clear" w:color="auto" w:fill="E6B8AF"/>
            <w:tcMar>
              <w:top w:w="100" w:type="dxa"/>
              <w:left w:w="100" w:type="dxa"/>
              <w:bottom w:w="100" w:type="dxa"/>
              <w:right w:w="100" w:type="dxa"/>
            </w:tcMar>
          </w:tcPr>
          <w:p w14:paraId="7A6762CE" w14:textId="77777777" w:rsidR="00B261EA" w:rsidRDefault="006377C2">
            <w:pPr>
              <w:spacing w:after="240"/>
              <w:jc w:val="center"/>
            </w:pPr>
            <w:r>
              <w:rPr>
                <w:b/>
                <w:bCs/>
              </w:rPr>
              <w:t>Statistic</w:t>
            </w:r>
          </w:p>
        </w:tc>
        <w:tc>
          <w:tcPr>
            <w:tcW w:w="3365" w:type="dxa"/>
            <w:tcBorders>
              <w:top w:val="single" w:sz="6" w:space="0" w:color="000000"/>
              <w:left w:val="single" w:sz="6" w:space="0" w:color="000000"/>
              <w:bottom w:val="single" w:sz="6" w:space="0" w:color="000000"/>
              <w:right w:val="single" w:sz="6" w:space="0" w:color="000000"/>
            </w:tcBorders>
            <w:shd w:val="clear" w:color="auto" w:fill="E6B8AF"/>
            <w:tcMar>
              <w:top w:w="100" w:type="dxa"/>
              <w:left w:w="100" w:type="dxa"/>
              <w:bottom w:w="100" w:type="dxa"/>
              <w:right w:w="100" w:type="dxa"/>
            </w:tcMar>
          </w:tcPr>
          <w:p w14:paraId="6B467178" w14:textId="77777777" w:rsidR="00B261EA" w:rsidRDefault="006377C2">
            <w:pPr>
              <w:spacing w:after="240"/>
              <w:jc w:val="center"/>
            </w:pPr>
            <w:r>
              <w:rPr>
                <w:b/>
                <w:bCs/>
              </w:rPr>
              <w:t>Relevance</w:t>
            </w:r>
          </w:p>
        </w:tc>
      </w:tr>
      <w:tr w:rsidR="00B261EA" w14:paraId="303D45FE" w14:textId="77777777">
        <w:trPr>
          <w:trHeight w:val="785"/>
        </w:trPr>
        <w:tc>
          <w:tcPr>
            <w:tcW w:w="27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3430D9" w14:textId="77777777" w:rsidR="00B261EA" w:rsidRDefault="006377C2">
            <w:pPr>
              <w:spacing w:after="240"/>
            </w:pPr>
            <w:r>
              <w:t>World Health Organization (2019)</w:t>
            </w:r>
          </w:p>
        </w:tc>
        <w:tc>
          <w:tcPr>
            <w:tcW w:w="292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42A42F" w14:textId="77777777" w:rsidR="00B261EA" w:rsidRDefault="006377C2">
            <w:pPr>
              <w:spacing w:after="240"/>
            </w:pPr>
            <w:r>
              <w:t>1 in 10 patients harmed in hospitals</w:t>
            </w:r>
          </w:p>
        </w:tc>
        <w:tc>
          <w:tcPr>
            <w:tcW w:w="33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A1977B" w14:textId="77777777" w:rsidR="00B261EA" w:rsidRDefault="006377C2">
            <w:pPr>
              <w:spacing w:after="240"/>
            </w:pPr>
            <w:r>
              <w:t>Demonstrates global scale of patient safety issues</w:t>
            </w:r>
          </w:p>
        </w:tc>
      </w:tr>
      <w:tr w:rsidR="00B261EA" w14:paraId="4B988709" w14:textId="77777777">
        <w:trPr>
          <w:trHeight w:val="785"/>
        </w:trPr>
        <w:tc>
          <w:tcPr>
            <w:tcW w:w="27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B2E1F0" w14:textId="77777777" w:rsidR="00B261EA" w:rsidRDefault="006377C2">
            <w:pPr>
              <w:spacing w:after="240"/>
            </w:pPr>
            <w:r>
              <w:t>NHS England (2026)</w:t>
            </w:r>
          </w:p>
        </w:tc>
        <w:tc>
          <w:tcPr>
            <w:tcW w:w="292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9284AA" w14:textId="77777777" w:rsidR="00B261EA" w:rsidRDefault="006377C2">
            <w:pPr>
              <w:spacing w:after="240"/>
            </w:pPr>
            <w:r>
              <w:t>Millions of patient safety incidents reported annually</w:t>
            </w:r>
          </w:p>
        </w:tc>
        <w:tc>
          <w:tcPr>
            <w:tcW w:w="33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F82461" w14:textId="77777777" w:rsidR="00B261EA" w:rsidRDefault="006377C2">
            <w:pPr>
              <w:spacing w:after="240"/>
            </w:pPr>
            <w:r>
              <w:t>Highlights systemic challenges within national healthcare</w:t>
            </w:r>
          </w:p>
        </w:tc>
      </w:tr>
      <w:tr w:rsidR="00B261EA" w14:paraId="0009C3A0" w14:textId="77777777">
        <w:trPr>
          <w:trHeight w:val="785"/>
        </w:trPr>
        <w:tc>
          <w:tcPr>
            <w:tcW w:w="27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815064" w14:textId="77777777" w:rsidR="00B261EA" w:rsidRDefault="006377C2">
            <w:pPr>
              <w:spacing w:after="240"/>
            </w:pPr>
            <w:r>
              <w:t>Institute for Healthcare Improvement (2020)</w:t>
            </w:r>
          </w:p>
        </w:tc>
        <w:tc>
          <w:tcPr>
            <w:tcW w:w="292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F5EA4A" w14:textId="77777777" w:rsidR="00B261EA" w:rsidRDefault="006377C2">
            <w:pPr>
              <w:spacing w:after="240"/>
            </w:pPr>
            <w:r>
              <w:t>Medical error is 3rd leading cause of death</w:t>
            </w:r>
          </w:p>
        </w:tc>
        <w:tc>
          <w:tcPr>
            <w:tcW w:w="33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129EA2E" w14:textId="77777777" w:rsidR="00B261EA" w:rsidRDefault="006377C2">
            <w:pPr>
              <w:spacing w:after="240"/>
            </w:pPr>
            <w:r>
              <w:t>Emphasises urgency of improving safety systems</w:t>
            </w:r>
          </w:p>
        </w:tc>
      </w:tr>
    </w:tbl>
    <w:p w14:paraId="11A28D98" w14:textId="77777777" w:rsidR="00B261EA" w:rsidRDefault="006377C2">
      <w:pPr>
        <w:spacing w:after="240"/>
        <w:jc w:val="center"/>
        <w:rPr>
          <w:b/>
          <w:bCs/>
        </w:rPr>
      </w:pPr>
      <w:r>
        <w:rPr>
          <w:b/>
          <w:bCs/>
        </w:rPr>
        <w:t>Table 1: Supporting National and International Data</w:t>
      </w:r>
    </w:p>
    <w:p w14:paraId="241ECA1A" w14:textId="77777777" w:rsidR="00B261EA" w:rsidRDefault="006377C2">
      <w:pPr>
        <w:spacing w:after="240"/>
        <w:jc w:val="center"/>
        <w:rPr>
          <w:b/>
          <w:bCs/>
        </w:rPr>
      </w:pPr>
      <w:r>
        <w:rPr>
          <w:b/>
          <w:bCs/>
        </w:rPr>
        <w:t>(Source: Author)</w:t>
      </w:r>
    </w:p>
    <w:p w14:paraId="4C3C0C53" w14:textId="77777777" w:rsidR="00B261EA" w:rsidRDefault="006377C2">
      <w:pPr>
        <w:spacing w:after="240"/>
      </w:pPr>
      <w:r>
        <w:t xml:space="preserve">The worldwide statistics given by the World Health Organisation show that harm to a patient occurs in about 10 percent of hospitalised patients worldwide, which proves that safety failures are not isolated and are systemic. It is an indication that the harm </w:t>
      </w:r>
      <w:r>
        <w:lastRenderedPageBreak/>
        <w:t>in medication, as is the case with Len in the case of the overdose, is a subset of a larger global issue of patient safety (WHO, 2026).</w:t>
      </w:r>
    </w:p>
    <w:p w14:paraId="36B19B64" w14:textId="77777777" w:rsidR="00B261EA" w:rsidRDefault="006377C2">
      <w:pPr>
        <w:spacing w:after="240"/>
      </w:pPr>
      <w:r>
        <w:t>On the national level, NHS England data indicates that millions of patient safety incidents are reported each year via systems like the Learn from Patient Safety Events (LFPSE). It means that the UK healthcare system is still struggling with the issue of risk management in the sphere of clinical care, such as medication errors and communication failures (NHS England, 2026).</w:t>
      </w:r>
    </w:p>
    <w:p w14:paraId="56A31548" w14:textId="77777777" w:rsidR="00B261EA" w:rsidRDefault="006377C2">
      <w:pPr>
        <w:spacing w:after="240"/>
      </w:pPr>
      <w:r>
        <w:t>Moreover, according to the Institute of Healthcare Improvement, medical error is the third leading cause of mortality in the world, which strengthens the harshness of the incidence. This is an alarming statistic that shows that leadership, governance, and systemic changes are urgently required to improve patient safety and minimise avoidable harm (IHI, 2020).</w:t>
      </w:r>
    </w:p>
    <w:p w14:paraId="49744FB6" w14:textId="77777777" w:rsidR="00B261EA" w:rsidRDefault="006377C2">
      <w:pPr>
        <w:spacing w:after="240"/>
        <w:rPr>
          <w:b/>
          <w:bCs/>
        </w:rPr>
      </w:pPr>
      <w:r>
        <w:rPr>
          <w:b/>
          <w:bCs/>
        </w:rPr>
        <w:t>System Weaknesses Identified</w:t>
      </w:r>
    </w:p>
    <w:p w14:paraId="0E22C9D1" w14:textId="77777777" w:rsidR="00B261EA" w:rsidRDefault="006377C2">
      <w:pPr>
        <w:spacing w:after="240"/>
      </w:pPr>
      <w:r>
        <w:t>The event shows that there were a number of systemic vulnerabilities that led to the unfavourable event. To begin with, the lack of effective communication between healthcare professionals and the patient was critically important. The GP was prescribing the right dosage, but there was no adequate explanation or verification of how to administer the drug safely, to make sure that Len and his wife knew how to do it. This is in line with studies that indicate that poor communication between healthcare professionals and patients is a major issue that can lead to the poor protection of patients (Lee and Jang, 2023).</w:t>
      </w:r>
    </w:p>
    <w:p w14:paraId="67A52274" w14:textId="77777777" w:rsidR="00B261EA" w:rsidRDefault="006377C2">
      <w:pPr>
        <w:spacing w:after="240"/>
      </w:pPr>
      <w:r>
        <w:t>Second, the system had no accountability or verification systems. There was no formal procedure that was used to make sure that the patient had comprehended his dosage schedule before going out of the drug store. It is indicative of more general problems in clinical governance, in which accountability mechanisms do not identify and prevent mistakes until they reach the patient (Buka and Truman, 2024).</w:t>
      </w:r>
    </w:p>
    <w:p w14:paraId="45279994" w14:textId="77777777" w:rsidR="00B261EA" w:rsidRDefault="006377C2">
      <w:pPr>
        <w:spacing w:after="240"/>
      </w:pPr>
      <w:r>
        <w:t xml:space="preserve">Third, the lack of proper training and support for patients and caregivers also led to the issue. Without clear guidelines, patients, particularly the older ones, may find it difficult to comprehend complicated medication instructions. It is indicated that a better patient education and safety culture can help decrease medication errors (Mistri </w:t>
      </w:r>
      <w:r>
        <w:rPr>
          <w:i/>
          <w:iCs/>
        </w:rPr>
        <w:t xml:space="preserve">et al., </w:t>
      </w:r>
      <w:r>
        <w:t>2023).</w:t>
      </w:r>
    </w:p>
    <w:p w14:paraId="1B3B89A6" w14:textId="77777777" w:rsidR="00B261EA" w:rsidRDefault="006377C2">
      <w:pPr>
        <w:spacing w:after="240"/>
      </w:pPr>
      <w:r>
        <w:lastRenderedPageBreak/>
        <w:t>Lastly, the packaging and labelling of medication were also a major contributing factor due to design flaws. The saliency of the label of the manufacturer to the dispensing instructions made it confusing, which is a bright example of how human factors and design problems can seriously affect the outcomes of patient safety (Brown and Brown, 2023).</w:t>
      </w:r>
    </w:p>
    <w:p w14:paraId="561C78B3" w14:textId="77777777" w:rsidR="00B261EA" w:rsidRDefault="006377C2">
      <w:pPr>
        <w:spacing w:after="240"/>
        <w:rPr>
          <w:b/>
          <w:bCs/>
        </w:rPr>
      </w:pPr>
      <w:r>
        <w:rPr>
          <w:b/>
          <w:bCs/>
        </w:rPr>
        <w:t>Systems-Level Influence and Governance.</w:t>
      </w:r>
    </w:p>
    <w:p w14:paraId="1D4F4B3D" w14:textId="77777777" w:rsidR="00B261EA" w:rsidRDefault="006377C2">
      <w:pPr>
        <w:spacing w:after="240"/>
      </w:pPr>
      <w:r>
        <w:t>The issue also indicates inefficiency in health systems governance that can be described as the systems and mechanisms that guarantee accountability, safety, and quality in healthcare delivery. The World Health Organisation argues that good governance entails having good policies, good oversight, and performance monitoring and improvement mechanisms.</w:t>
      </w:r>
    </w:p>
    <w:p w14:paraId="06061F55" w14:textId="77777777" w:rsidR="00B261EA" w:rsidRDefault="006377C2">
      <w:pPr>
        <w:spacing w:after="240"/>
      </w:pPr>
      <w:r>
        <w:t>Governance failures in this instance were on various levels. At the local level, the GP consultation (done through telephone owing to COVID-19) restricted efficient communication and review. The pharmacy also did not ensure that the patient comprehended the drug prescriptions at the organisational level. On the national level, the current laws regarding medication labelling were not sufficient to avoid the mix-up of dosage and concentration data. These loopholes depict the extent to which a poorly crafted governance system can result in minor slip-ups, which can turn into profound damage (WHO, 2026).</w:t>
      </w:r>
    </w:p>
    <w:p w14:paraId="33ECADE3" w14:textId="77777777" w:rsidR="00B261EA" w:rsidRDefault="006377C2">
      <w:pPr>
        <w:spacing w:after="240"/>
        <w:rPr>
          <w:b/>
          <w:bCs/>
        </w:rPr>
      </w:pPr>
      <w:r>
        <w:rPr>
          <w:b/>
          <w:bCs/>
        </w:rPr>
        <w:t>Rich Picture and Systems Mapping</w:t>
      </w:r>
    </w:p>
    <w:p w14:paraId="19D7A52D" w14:textId="77777777" w:rsidR="00B261EA" w:rsidRDefault="006377C2">
      <w:pPr>
        <w:spacing w:after="240"/>
        <w:jc w:val="center"/>
        <w:rPr>
          <w:b/>
          <w:bCs/>
        </w:rPr>
      </w:pPr>
      <w:r>
        <w:rPr>
          <w:b/>
          <w:bCs/>
          <w:noProof/>
          <w:lang w:val="en-IN" w:eastAsia="en-IN"/>
        </w:rPr>
        <w:lastRenderedPageBreak/>
        <w:drawing>
          <wp:inline distT="114300" distB="114300" distL="114300" distR="114300" wp14:anchorId="0344C5E8" wp14:editId="0068FF9F">
            <wp:extent cx="5770245" cy="38481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1"/>
                    <a:srcRect/>
                    <a:stretch>
                      <a:fillRect/>
                    </a:stretch>
                  </pic:blipFill>
                  <pic:spPr>
                    <a:xfrm>
                      <a:off x="0" y="0"/>
                      <a:ext cx="5770547" cy="3848100"/>
                    </a:xfrm>
                    <a:prstGeom prst="rect">
                      <a:avLst/>
                    </a:prstGeom>
                    <a:ln w="25400">
                      <a:solidFill>
                        <a:srgbClr val="000000"/>
                      </a:solidFill>
                      <a:prstDash val="solid"/>
                    </a:ln>
                  </pic:spPr>
                </pic:pic>
              </a:graphicData>
            </a:graphic>
          </wp:inline>
        </w:drawing>
      </w:r>
    </w:p>
    <w:p w14:paraId="00E85C4F" w14:textId="77777777" w:rsidR="00B261EA" w:rsidRDefault="006377C2">
      <w:pPr>
        <w:spacing w:after="240"/>
        <w:jc w:val="center"/>
        <w:rPr>
          <w:b/>
          <w:bCs/>
        </w:rPr>
      </w:pPr>
      <w:r>
        <w:rPr>
          <w:b/>
          <w:bCs/>
        </w:rPr>
        <w:t>Figure 2: Rich Picture</w:t>
      </w:r>
    </w:p>
    <w:p w14:paraId="6D29F593" w14:textId="77777777" w:rsidR="00B261EA" w:rsidRDefault="006377C2">
      <w:pPr>
        <w:spacing w:after="240"/>
        <w:jc w:val="center"/>
        <w:rPr>
          <w:b/>
          <w:bCs/>
        </w:rPr>
      </w:pPr>
      <w:r>
        <w:rPr>
          <w:b/>
          <w:bCs/>
        </w:rPr>
        <w:t>(Source: Author)</w:t>
      </w:r>
    </w:p>
    <w:p w14:paraId="7DBEEF0D" w14:textId="77777777" w:rsidR="00B261EA" w:rsidRDefault="006377C2">
      <w:pPr>
        <w:spacing w:after="240"/>
      </w:pPr>
      <w:r>
        <w:t>A Rich Picture analysis assists in a visualisation of the system complexity and interactions that led to the incident. The primary participants are the GP, pharmacists, hospital employees, Len, and his family. The stages include prescribing, dispensing, labelling and patient self-administration of the drug. These structures are the NHS policies, regulatory systems and healthcare organisational systems.</w:t>
      </w:r>
    </w:p>
    <w:p w14:paraId="20E5CB9F" w14:textId="77777777" w:rsidR="00B261EA" w:rsidRDefault="006377C2">
      <w:pPr>
        <w:spacing w:after="240"/>
      </w:pPr>
      <w:r>
        <w:t>Regarding feedback loops, it was evident that there were no effective monitoring and follow-up mechanisms. As an illustration, there was no system to ensure that after long-distance travel, Len grasped the dosage instructions after taking the drug. This failure to provide feedback at an early stage did not allow one to detect the error.</w:t>
      </w:r>
    </w:p>
    <w:p w14:paraId="2AC15D04" w14:textId="77777777" w:rsidR="00B261EA" w:rsidRDefault="006377C2">
      <w:pPr>
        <w:spacing w:after="240"/>
      </w:pPr>
      <w:r>
        <w:t>Systems thinking is also dependent on the emotional dimension. Len and his wife felt confused and uncertain, whereas medical workers worked under pressure during COVID-19. These emotional and situational aspects had an additional impact on the decision-making and system performance.</w:t>
      </w:r>
    </w:p>
    <w:p w14:paraId="571A3C84" w14:textId="77777777" w:rsidR="00B261EA" w:rsidRDefault="006377C2">
      <w:pPr>
        <w:spacing w:after="240"/>
        <w:jc w:val="center"/>
      </w:pPr>
      <w:r>
        <w:rPr>
          <w:noProof/>
          <w:lang w:val="en-IN" w:eastAsia="en-IN"/>
        </w:rPr>
        <w:lastRenderedPageBreak/>
        <w:drawing>
          <wp:inline distT="114300" distB="114300" distL="114300" distR="114300" wp14:anchorId="57231BED" wp14:editId="78F34787">
            <wp:extent cx="5770245" cy="39878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12"/>
                    <a:srcRect/>
                    <a:stretch>
                      <a:fillRect/>
                    </a:stretch>
                  </pic:blipFill>
                  <pic:spPr>
                    <a:xfrm>
                      <a:off x="0" y="0"/>
                      <a:ext cx="5770547" cy="3987800"/>
                    </a:xfrm>
                    <a:prstGeom prst="rect">
                      <a:avLst/>
                    </a:prstGeom>
                    <a:ln w="25400">
                      <a:solidFill>
                        <a:srgbClr val="000000"/>
                      </a:solidFill>
                      <a:prstDash val="solid"/>
                    </a:ln>
                  </pic:spPr>
                </pic:pic>
              </a:graphicData>
            </a:graphic>
          </wp:inline>
        </w:drawing>
      </w:r>
    </w:p>
    <w:p w14:paraId="24907A88" w14:textId="77777777" w:rsidR="00B261EA" w:rsidRDefault="006377C2">
      <w:pPr>
        <w:spacing w:after="240"/>
        <w:jc w:val="center"/>
        <w:rPr>
          <w:b/>
          <w:bCs/>
          <w:color w:val="09172A"/>
        </w:rPr>
      </w:pPr>
      <w:r>
        <w:rPr>
          <w:b/>
          <w:bCs/>
          <w:color w:val="09172A"/>
        </w:rPr>
        <w:t>Figure 2: Stepwise approach for managing mild-to-moderate pain</w:t>
      </w:r>
    </w:p>
    <w:p w14:paraId="55B9806E" w14:textId="77777777" w:rsidR="00B261EA" w:rsidRDefault="006377C2">
      <w:pPr>
        <w:spacing w:after="240"/>
        <w:jc w:val="center"/>
        <w:rPr>
          <w:b/>
          <w:bCs/>
          <w:color w:val="09172A"/>
        </w:rPr>
      </w:pPr>
      <w:r>
        <w:rPr>
          <w:b/>
          <w:bCs/>
          <w:color w:val="09172A"/>
        </w:rPr>
        <w:t>(Source: HSSIB, 2026)</w:t>
      </w:r>
    </w:p>
    <w:p w14:paraId="4880F1AC" w14:textId="77777777" w:rsidR="00B261EA" w:rsidRDefault="006377C2">
      <w:pPr>
        <w:spacing w:after="240"/>
      </w:pPr>
      <w:r>
        <w:t xml:space="preserve">To sum up, the case of morphine overdose shows how the incidences of patient safety are caused by interdependent system failures, but not by personal errors. Connecting the local event with national and international statistics, it can be said that medication errors are a national problem that needs to be resolved at a system level. To solve these issues, communication, governance, training, and system design should be improved to provide safer healthcare settings and avoid the occurrence of such incidents in the future (Mistri </w:t>
      </w:r>
      <w:r>
        <w:rPr>
          <w:i/>
          <w:iCs/>
        </w:rPr>
        <w:t>et al.,</w:t>
      </w:r>
      <w:r>
        <w:t xml:space="preserve"> 2023).</w:t>
      </w:r>
    </w:p>
    <w:p w14:paraId="15C43B0A" w14:textId="77777777" w:rsidR="00B261EA" w:rsidRDefault="006377C2">
      <w:pPr>
        <w:pStyle w:val="Heading2"/>
        <w:spacing w:after="240"/>
        <w:rPr>
          <w:rFonts w:ascii="Arial" w:eastAsia="Arial" w:hAnsi="Arial" w:cs="Arial"/>
        </w:rPr>
      </w:pPr>
      <w:bookmarkStart w:id="6" w:name="_heading=h.db5470m2z6xk" w:colFirst="0" w:colLast="0"/>
      <w:bookmarkStart w:id="7" w:name="_Toc226223323"/>
      <w:bookmarkEnd w:id="6"/>
      <w:r>
        <w:rPr>
          <w:rFonts w:ascii="Arial" w:eastAsia="Arial" w:hAnsi="Arial" w:cs="Arial"/>
        </w:rPr>
        <w:t>2.2 Centralisation vs. Decentralisation</w:t>
      </w:r>
      <w:bookmarkEnd w:id="7"/>
    </w:p>
    <w:p w14:paraId="2419A329" w14:textId="77777777" w:rsidR="00B261EA" w:rsidRDefault="006377C2">
      <w:pPr>
        <w:spacing w:after="240"/>
      </w:pPr>
      <w:r>
        <w:t xml:space="preserve">The example of the accidental overdose of morphine sulfate oral solution in Len points to the complex relationship between the structure of the centralised and decentralised healthcare system. The organisation is based on the framework of the NHS, which is a hybrid system of centralised governance and decentralised service delivery. This </w:t>
      </w:r>
      <w:r>
        <w:lastRenderedPageBreak/>
        <w:t>two-fold design greatly affected decision-making, accountability and patient safety outcomes in this case.</w:t>
      </w:r>
    </w:p>
    <w:p w14:paraId="06951C09" w14:textId="77777777" w:rsidR="00B261EA" w:rsidRDefault="006377C2">
      <w:pPr>
        <w:spacing w:after="240"/>
      </w:pPr>
      <w:r>
        <w:t>Centralisation in healthcare is decision-making that is centralised at the national or higher levels of organisations, which are normally in the form of policies, regulations and standard procedures. Centralised governance in the NHS manifests itself in the form of national prescribing guidelines, medication safety standards and regulatory frameworks over drug labelling and dispensing. As an illustration, national guidance can make sure that morphine is prescribed with a standard dosing recommendation and safety guidelines, which were applied in the case of Len, as the GP prescription was 30 mg/kg, that is, the 30mg dose was appropriate in the case of an older adult (HSSIB, 2026). This is a positive quality of centralisation, whereby it fosters consistency and evidence-based practice in health facilities.</w:t>
      </w:r>
    </w:p>
    <w:p w14:paraId="21614B54" w14:textId="77777777" w:rsidR="00B261EA" w:rsidRDefault="006377C2">
      <w:pPr>
        <w:spacing w:after="240"/>
      </w:pPr>
      <w:r>
        <w:t xml:space="preserve">Centralisation has limitations, though. Here, the medication labelling and packaging were not regulated on a national level to avoid misinterpretation by patients. The label on the morphine bottle that was made by the manufacturer had the drug strength (10mg in 5ml) posted boldly, which was misconstrued by Len and his wife as the right dose. It means that the central level of the system failed to properly provide a regulatory body with the means to make sure that the designs of labels were user-friendly and safe among vulnerable populations (Elliott </w:t>
      </w:r>
      <w:r>
        <w:rPr>
          <w:i/>
          <w:iCs/>
        </w:rPr>
        <w:t xml:space="preserve">et al., </w:t>
      </w:r>
      <w:r>
        <w:t>2024). Moreover, medication errors are widespread even after national policies on patient safety, and the NHS has reported millions of cases per year, which indicates that the systemic problems continue to pose a challenge (NHS England, 2026).</w:t>
      </w:r>
    </w:p>
    <w:p w14:paraId="2C93A8FD" w14:textId="77777777" w:rsidR="00B261EA" w:rsidRDefault="006377C2">
      <w:pPr>
        <w:spacing w:after="240"/>
      </w:pPr>
      <w:r>
        <w:t xml:space="preserve">Decentralisation, in its turn, is the process of transferring the decision-making power to the local organisations, medical professionals, and frontline personnel. The use of decentralisation in the case of Len is manifested in the independence of the GP, pharmacists, and hospital staff to make clinical decisions and patient care. By using telephone triage and prescribing morphine on his own, the GP showed localised clinical judgement regarding the assessment of Len's condition. The ability to customise care according to patient-specific needs, as well as responsiveness to the evolving situation, is the benefit of decentralised systems (Sapkota </w:t>
      </w:r>
      <w:r>
        <w:rPr>
          <w:i/>
          <w:iCs/>
        </w:rPr>
        <w:t xml:space="preserve">et al., </w:t>
      </w:r>
      <w:r>
        <w:t>2023).</w:t>
      </w:r>
    </w:p>
    <w:p w14:paraId="37C6B2B9" w14:textId="77777777" w:rsidR="00B261EA" w:rsidRDefault="006377C2">
      <w:pPr>
        <w:spacing w:after="240"/>
      </w:pPr>
      <w:r>
        <w:lastRenderedPageBreak/>
        <w:t>However, decentralisation was also a factor that led to weaknesses of the systems in this case. Lack of strong local safety checks, including effective patient counselling, effective communication and verification processes, caused a failure in safe medication use. The pharmacy failed to make sure that Len and his wife knew the dosage instructions; the label on the outside box with the dispensing instructions was not communicated or emphasised. This is an indication of the weak application of the safety measures at the local level, which is one of the factors known to contribute to medication errors (Brown and Brown, 2023). Also, there was poor coordination among healthcare providers, such as the GP, pharmacy, and hospital, which also contributed to the risk, and it shows the lack of interprofessional interaction (Lee and Jang, 2023).</w:t>
      </w:r>
    </w:p>
    <w:p w14:paraId="5CC3419E" w14:textId="77777777" w:rsidR="00B261EA" w:rsidRDefault="006377C2">
      <w:pPr>
        <w:spacing w:after="240"/>
      </w:pPr>
      <w:r>
        <w:t>A critical review shows that both the centralisation and decentralisation hybrid structure facilitated and obstructed crisis management and accountability. Centralisation offered a structure of safe prescribing and control, yet it did not consider the human factor, such as label usability and patient understanding. Decentralisation ensured clinical decision-making flexibility but did not provide enough control and uniformity in clinical practice implementation. This lack of balance added to the issue of divided accountability, whereby responsibility was scattered among various actors with no clear ownership of patient safety outcomes (Buka and Truman, 2024).</w:t>
      </w:r>
    </w:p>
    <w:p w14:paraId="49B91F24" w14:textId="77777777" w:rsidR="00B261EA" w:rsidRDefault="006377C2">
      <w:pPr>
        <w:spacing w:after="240"/>
      </w:pPr>
      <w:r>
        <w:t xml:space="preserve">From the systems thinking standpoint, the failure was not by one person, but it was the interplay of the various components in the system. As an example, the absence of training, communication failures, and feedback mechanisms on the local level and the inadequacy of regulatory measures on the national level to provide safety resulted in a high-risk environment. Studies have shown that effective leadership and well-organised communications can help prevent the occurrence of such risks to a large extent because of strong patient safety cultures (Mistri </w:t>
      </w:r>
      <w:r>
        <w:rPr>
          <w:i/>
          <w:iCs/>
        </w:rPr>
        <w:t xml:space="preserve">et al., </w:t>
      </w:r>
      <w:r>
        <w:t xml:space="preserve">2023). Besides, less powerful governance and monitoring frameworks of decentralised systems are more likely to be associated with variability in the quality and safety of care (Ramsay </w:t>
      </w:r>
      <w:r>
        <w:rPr>
          <w:i/>
          <w:iCs/>
        </w:rPr>
        <w:t>et al.,</w:t>
      </w:r>
      <w:r>
        <w:t xml:space="preserve"> 2025).</w:t>
      </w:r>
    </w:p>
    <w:p w14:paraId="5DEC92A0" w14:textId="77777777" w:rsidR="00B261EA" w:rsidRDefault="006377C2">
      <w:pPr>
        <w:spacing w:after="240"/>
        <w:jc w:val="center"/>
      </w:pPr>
      <w:r>
        <w:rPr>
          <w:noProof/>
          <w:lang w:val="en-IN" w:eastAsia="en-IN"/>
        </w:rPr>
        <w:lastRenderedPageBreak/>
        <w:drawing>
          <wp:inline distT="114300" distB="114300" distL="114300" distR="114300" wp14:anchorId="280C0054" wp14:editId="6F755AC6">
            <wp:extent cx="5770245" cy="261620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3"/>
                    <a:srcRect/>
                    <a:stretch>
                      <a:fillRect/>
                    </a:stretch>
                  </pic:blipFill>
                  <pic:spPr>
                    <a:xfrm>
                      <a:off x="0" y="0"/>
                      <a:ext cx="5770547" cy="2616200"/>
                    </a:xfrm>
                    <a:prstGeom prst="rect">
                      <a:avLst/>
                    </a:prstGeom>
                    <a:ln w="25400">
                      <a:solidFill>
                        <a:srgbClr val="000000"/>
                      </a:solidFill>
                      <a:prstDash val="solid"/>
                    </a:ln>
                  </pic:spPr>
                </pic:pic>
              </a:graphicData>
            </a:graphic>
          </wp:inline>
        </w:drawing>
      </w:r>
    </w:p>
    <w:p w14:paraId="57C1E934" w14:textId="77777777" w:rsidR="00B261EA" w:rsidRDefault="006377C2">
      <w:pPr>
        <w:spacing w:after="240"/>
        <w:jc w:val="center"/>
        <w:rPr>
          <w:b/>
          <w:bCs/>
          <w:color w:val="09172A"/>
        </w:rPr>
      </w:pPr>
      <w:r>
        <w:rPr>
          <w:b/>
          <w:bCs/>
        </w:rPr>
        <w:t xml:space="preserve">Figure 3: </w:t>
      </w:r>
      <w:r>
        <w:rPr>
          <w:b/>
          <w:bCs/>
          <w:color w:val="09172A"/>
        </w:rPr>
        <w:t>A summary timeline of Len’s care leading up to the reference event is set out</w:t>
      </w:r>
    </w:p>
    <w:p w14:paraId="451C4B01" w14:textId="77777777" w:rsidR="00B261EA" w:rsidRDefault="006377C2">
      <w:pPr>
        <w:spacing w:after="240"/>
        <w:jc w:val="center"/>
        <w:rPr>
          <w:b/>
          <w:bCs/>
          <w:color w:val="09172A"/>
        </w:rPr>
      </w:pPr>
      <w:r>
        <w:rPr>
          <w:b/>
          <w:bCs/>
          <w:color w:val="09172A"/>
        </w:rPr>
        <w:t>(Source: HSSIB, 2026)</w:t>
      </w:r>
    </w:p>
    <w:p w14:paraId="69763A68" w14:textId="77777777" w:rsidR="00B261EA" w:rsidRDefault="006377C2">
      <w:pPr>
        <w:spacing w:after="240"/>
      </w:pPr>
      <w:r>
        <w:t>Conclusively, the case shows that centralisation or even decentralisation is not enough to guarantee patient safety. Although centralised systems offer uniformity and control measures, this needs to be enhanced with effective local execution and responsibility. On the same note, decentralised systems demand high levels of oversight, communication and standardisation to avoid variability and errors. There is a need to have a balance between the two methods with the help of well-established governance structures and constant supervision to enhance decision making, accountability and avoidance of a similar situation in the future.</w:t>
      </w:r>
    </w:p>
    <w:p w14:paraId="77AB87D6" w14:textId="77777777" w:rsidR="00B261EA" w:rsidRDefault="006377C2">
      <w:pPr>
        <w:pStyle w:val="Heading2"/>
        <w:widowControl w:val="0"/>
        <w:spacing w:before="241" w:after="240"/>
        <w:ind w:left="14"/>
        <w:rPr>
          <w:rFonts w:ascii="Arial" w:eastAsia="Arial" w:hAnsi="Arial" w:cs="Arial"/>
        </w:rPr>
      </w:pPr>
      <w:bookmarkStart w:id="8" w:name="_heading=h.1vpsu3q1xiqo" w:colFirst="0" w:colLast="0"/>
      <w:bookmarkStart w:id="9" w:name="_Toc226223324"/>
      <w:bookmarkEnd w:id="8"/>
      <w:r>
        <w:rPr>
          <w:rFonts w:ascii="Arial" w:eastAsia="Arial" w:hAnsi="Arial" w:cs="Arial"/>
        </w:rPr>
        <w:t>2.3  Leadership Theory Application</w:t>
      </w:r>
      <w:bookmarkEnd w:id="9"/>
    </w:p>
    <w:p w14:paraId="0A8717B4" w14:textId="77777777" w:rsidR="00B261EA" w:rsidRDefault="006377C2">
      <w:pPr>
        <w:spacing w:after="240"/>
      </w:pPr>
      <w:r>
        <w:t>The case of morphine overdose in Len illustrates that there are a lot of leadership dilemmas at various levels of the healthcare structure. The use of leadership theories is a systematic approach to assessing the role of leadership behaviours on decision-making, communication, and ultimately patient safety outcomes.</w:t>
      </w:r>
    </w:p>
    <w:p w14:paraId="7BA50AB6" w14:textId="77777777" w:rsidR="00B261EA" w:rsidRDefault="006377C2">
      <w:pPr>
        <w:spacing w:after="240"/>
      </w:pPr>
      <w:r>
        <w:t>According to the</w:t>
      </w:r>
      <w:r>
        <w:rPr>
          <w:b/>
          <w:bCs/>
        </w:rPr>
        <w:t xml:space="preserve"> Great Man Theory,</w:t>
      </w:r>
      <w:r>
        <w:t xml:space="preserve"> leadership is motivated by people who have an inner authority and charisma. In the present case, the aspects of this theory can be observed in the case of the GP who was the sole decision-maker in making clinical </w:t>
      </w:r>
      <w:r>
        <w:lastRenderedPageBreak/>
        <w:t>judgments when prescribing morphine during a telephone visit. The GP used professional knowledge and authority to address the pain of Len, and this is consistent with the command-based style of leadership</w:t>
      </w:r>
      <w:r w:rsidR="00D31B29">
        <w:t xml:space="preserve"> (</w:t>
      </w:r>
      <w:r w:rsidR="00D31B29">
        <w:rPr>
          <w:color w:val="222222"/>
          <w:shd w:val="clear" w:color="auto" w:fill="FFFFFF"/>
        </w:rPr>
        <w:t>Clark and Mcquade,</w:t>
      </w:r>
      <w:r w:rsidR="00D31B29" w:rsidRPr="00D31B29">
        <w:rPr>
          <w:color w:val="222222"/>
          <w:shd w:val="clear" w:color="auto" w:fill="FFFFFF"/>
        </w:rPr>
        <w:t xml:space="preserve"> 2024</w:t>
      </w:r>
      <w:r w:rsidR="00D31B29">
        <w:rPr>
          <w:color w:val="222222"/>
          <w:shd w:val="clear" w:color="auto" w:fill="FFFFFF"/>
        </w:rPr>
        <w:t>)</w:t>
      </w:r>
      <w:r>
        <w:t>. Even though such decisiveness might be appropriate in time-sensitive clinical scenarios, it restricts team contributions and decreases the possibility of shared decision-making. The lack of multidisciplinary participation, especially the lack of pharmacists or nurses in the activities of prescriptions and patient education, indicates the drawback of individual leadership and the lack of collaboration on the system level (HSSIB, 2026).</w:t>
      </w:r>
    </w:p>
    <w:p w14:paraId="0598DC69" w14:textId="77777777" w:rsidR="00B261EA" w:rsidRDefault="006377C2">
      <w:pPr>
        <w:spacing w:after="240"/>
      </w:pPr>
      <w:r>
        <w:rPr>
          <w:b/>
          <w:bCs/>
        </w:rPr>
        <w:t>Trait Theory</w:t>
      </w:r>
      <w:r>
        <w:t xml:space="preserve"> also elaborates leadership performance on the personal traits of an individual, like confidence, decisiveness, and empathy. In the case of Len, clinical confidence and decisiveness were exhibited when the GP prescribed morphine at the right dose, which was reduced. Nevertheless, empathetic communication or patient-centred interaction is not well evidenced, especially in the process of ensuring that Len and his wife comprehended the dosage instructions. Based on the research, the presence of emotionally intelligent leadership contributes significantly to the improvement of patient safety culture and the effectiveness of communication within healthcare teams (Lee and Jang, 2023). The absence of effective communication implies that there is a deficiency in the qualities of relational leadership, which can have led to the failure of the patient to comprehend the instructions on medication.</w:t>
      </w:r>
    </w:p>
    <w:p w14:paraId="544C5806" w14:textId="77777777" w:rsidR="00B261EA" w:rsidRDefault="006377C2">
      <w:pPr>
        <w:spacing w:after="240"/>
      </w:pPr>
      <w:r>
        <w:t xml:space="preserve">The </w:t>
      </w:r>
      <w:r>
        <w:rPr>
          <w:b/>
          <w:bCs/>
        </w:rPr>
        <w:t>behavioural leadership</w:t>
      </w:r>
      <w:r>
        <w:t xml:space="preserve"> theories differentiate between task-oriented and people-oriented leadership. Leadership behaviours in this instance were very task-oriented, and clinical outcomes, such as pain management, dominated, and communication and patient education were ignored. As an example, the prescription was done according to the national guidelines, but there was a particular lack of focus on the administration of drugs at home safely. Research indicates that healthcare settings, where task and people-oriented leaders have equal representation, have fewer safety incidents because of enhanced teamwork and communication (Mistri </w:t>
      </w:r>
      <w:r>
        <w:rPr>
          <w:i/>
          <w:iCs/>
        </w:rPr>
        <w:t>et al.,</w:t>
      </w:r>
      <w:r>
        <w:t xml:space="preserve"> 2023). Lack of people-oriented leadership behaviours is demonstrated by the inability to provide clear instructions or ensure that patients comprehend what they are expected to do.</w:t>
      </w:r>
    </w:p>
    <w:p w14:paraId="0FD9BAA5" w14:textId="77777777" w:rsidR="00B261EA" w:rsidRDefault="006377C2">
      <w:pPr>
        <w:spacing w:after="240"/>
      </w:pPr>
      <w:r>
        <w:rPr>
          <w:b/>
          <w:bCs/>
        </w:rPr>
        <w:t>Contingency and situational leadership</w:t>
      </w:r>
      <w:r>
        <w:t xml:space="preserve"> theories underline the importance of the situation-based change in leadership style depending on the ability of the team and the complexity of the situation. The situation surrounding the COVID-19 pandemic also </w:t>
      </w:r>
      <w:r>
        <w:lastRenderedPageBreak/>
        <w:t>affected the use of remote consultations by the GP, as it showed a degree of situational adaptation. The leadership response was, however, not comprehensive in explaining the increased risks of remote prescribing, especially on high-risk medications such as morphine. Situational leadership would have necessitated extra measures, including follow-up communication, pharmacist counselling, or aids to help patients comprehend. There is evidence to suggest that adaptive leadership enhances patient safety outcomes through the ability to offer flexible responses to complicated clinical scenarios (Buka and Truman, 2024).</w:t>
      </w:r>
    </w:p>
    <w:p w14:paraId="2EDA04F7" w14:textId="77777777" w:rsidR="00B261EA" w:rsidRDefault="006377C2">
      <w:pPr>
        <w:spacing w:after="240"/>
      </w:pPr>
      <w:r>
        <w:t xml:space="preserve">The </w:t>
      </w:r>
      <w:r>
        <w:rPr>
          <w:b/>
          <w:bCs/>
        </w:rPr>
        <w:t xml:space="preserve">Tannenbaum and Schmidt Continuum </w:t>
      </w:r>
      <w:r>
        <w:t>sheds light on the different leadership styles, which include autocratic and participative types of leadership. The leadership in the case of Len was mostly autocratic, where decisions were made by the clinicians without involving the patient or family in comprehending and handling the medication. Such non-participation narrowed down the joint responsibility and diminished the chance of detecting possible risks. It has been demonstrated that participatory leadership (where patients and families are involved in decisions) can contribute to better safety outcomes and fewer errors, especially in medication management (Grimes and Guinan, 2023). The lack of such an approach points to a lack of opportunity for collaborative care.</w:t>
      </w:r>
    </w:p>
    <w:p w14:paraId="7CFD33F8" w14:textId="77777777" w:rsidR="00B261EA" w:rsidRDefault="006377C2">
      <w:pPr>
        <w:spacing w:after="240"/>
      </w:pPr>
      <w:r>
        <w:rPr>
          <w:b/>
          <w:bCs/>
        </w:rPr>
        <w:t>Transformational leadership</w:t>
      </w:r>
      <w:r>
        <w:t xml:space="preserve">, vision, motivation and system improvement seem to be missing in the case to a large extent. Transformational leaders ensure a high level of safety culture, open communication, and implement the changes at the system level to avoid errors. Contrastingly, the system here was reactive as opposed to proactive because it responded to the incident after it happened, as opposed to preventing it with their well-developed safety measures. It has been shown that transformational leadership is linked to better patient safety results, increased staff morale, and enhanced performance of organisations (Singh </w:t>
      </w:r>
      <w:r>
        <w:rPr>
          <w:i/>
          <w:iCs/>
        </w:rPr>
        <w:t>et al.,</w:t>
      </w:r>
      <w:r>
        <w:t xml:space="preserve"> 2024). The absence of active safety measures, like better labelling procedures or education of patient approaches, shows that there is little transformational leadership at the organisational and system levels.</w:t>
      </w:r>
    </w:p>
    <w:p w14:paraId="18BFB2CC" w14:textId="77777777" w:rsidR="00B261EA" w:rsidRDefault="006377C2">
      <w:pPr>
        <w:spacing w:after="240"/>
      </w:pPr>
      <w:r>
        <w:t xml:space="preserve">Critically speaking, the leadership in this case was largely reactive and command-based as opposed to being proactive and purpose-oriented. Although the technical aspect of the clinical decisions was adequate, the absence of holistic leadership that </w:t>
      </w:r>
      <w:r>
        <w:lastRenderedPageBreak/>
        <w:t xml:space="preserve">covers communication, teamwork, and system design led to the negative outcome. According to the data on patient safety research, ineffective communication and weak safety culture are considered the major factors that contribute to medication errors, which supports the significance of effective leadership in avoiding such occurrences (Elliott </w:t>
      </w:r>
      <w:r>
        <w:rPr>
          <w:i/>
          <w:iCs/>
        </w:rPr>
        <w:t>et al.,</w:t>
      </w:r>
      <w:r>
        <w:t xml:space="preserve"> 2024).</w:t>
      </w:r>
    </w:p>
    <w:p w14:paraId="0D3AFFC6" w14:textId="77777777" w:rsidR="00B261EA" w:rsidRDefault="006377C2">
      <w:pPr>
        <w:widowControl w:val="0"/>
        <w:spacing w:before="240" w:after="240"/>
        <w:rPr>
          <w:b/>
          <w:bCs/>
        </w:rPr>
      </w:pPr>
      <w:r>
        <w:rPr>
          <w:b/>
          <w:bCs/>
        </w:rPr>
        <w:t xml:space="preserve">Table 2: </w:t>
      </w:r>
      <w:r>
        <w:rPr>
          <w:b/>
          <w:bCs/>
          <w:color w:val="000000"/>
        </w:rPr>
        <w:t>Leadership Theory Application with Examples and Supporting Data</w:t>
      </w:r>
    </w:p>
    <w:tbl>
      <w:tblPr>
        <w:tblStyle w:val="Style20"/>
        <w:tblW w:w="9330" w:type="dxa"/>
        <w:tblInd w:w="-2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30"/>
        <w:gridCol w:w="3180"/>
        <w:gridCol w:w="4320"/>
      </w:tblGrid>
      <w:tr w:rsidR="00B261EA" w14:paraId="094CF9DE" w14:textId="77777777">
        <w:trPr>
          <w:trHeight w:val="785"/>
        </w:trPr>
        <w:tc>
          <w:tcPr>
            <w:tcW w:w="1830"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2B73033B" w14:textId="77777777" w:rsidR="00B261EA" w:rsidRDefault="006377C2">
            <w:pPr>
              <w:widowControl w:val="0"/>
              <w:spacing w:before="241" w:after="240"/>
              <w:ind w:left="14"/>
              <w:jc w:val="center"/>
            </w:pPr>
            <w:r>
              <w:rPr>
                <w:b/>
                <w:bCs/>
              </w:rPr>
              <w:t>Theory / Model</w:t>
            </w:r>
          </w:p>
        </w:tc>
        <w:tc>
          <w:tcPr>
            <w:tcW w:w="3180"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764FC007" w14:textId="77777777" w:rsidR="00B261EA" w:rsidRDefault="006377C2">
            <w:pPr>
              <w:widowControl w:val="0"/>
              <w:spacing w:before="241" w:after="240"/>
              <w:ind w:left="14"/>
              <w:jc w:val="center"/>
            </w:pPr>
            <w:r>
              <w:rPr>
                <w:b/>
                <w:bCs/>
              </w:rPr>
              <w:t>Application Example</w:t>
            </w:r>
          </w:p>
        </w:tc>
        <w:tc>
          <w:tcPr>
            <w:tcW w:w="4320"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6C86C553" w14:textId="77777777" w:rsidR="00B261EA" w:rsidRDefault="006377C2">
            <w:pPr>
              <w:widowControl w:val="0"/>
              <w:spacing w:before="241" w:after="240"/>
              <w:ind w:left="14"/>
              <w:jc w:val="center"/>
            </w:pPr>
            <w:r>
              <w:rPr>
                <w:b/>
                <w:bCs/>
              </w:rPr>
              <w:t>Supporting Data &amp; Critique</w:t>
            </w:r>
          </w:p>
        </w:tc>
      </w:tr>
      <w:tr w:rsidR="00B261EA" w14:paraId="0116364C" w14:textId="77777777">
        <w:trPr>
          <w:trHeight w:val="1610"/>
        </w:trPr>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1A5EBC" w14:textId="77777777" w:rsidR="00B261EA" w:rsidRDefault="006377C2">
            <w:pPr>
              <w:widowControl w:val="0"/>
              <w:spacing w:before="241" w:after="240"/>
              <w:ind w:left="14"/>
            </w:pPr>
            <w:r>
              <w:rPr>
                <w:b/>
                <w:bCs/>
              </w:rPr>
              <w:t>Great Man Theory</w:t>
            </w:r>
          </w:p>
        </w:tc>
        <w:tc>
          <w:tcPr>
            <w:tcW w:w="3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B14F21" w14:textId="77777777" w:rsidR="00B261EA" w:rsidRDefault="006377C2">
            <w:pPr>
              <w:widowControl w:val="0"/>
              <w:spacing w:before="241" w:after="240"/>
              <w:ind w:left="14"/>
            </w:pPr>
            <w:r>
              <w:t>A senior clinician led change through strong personal authority and charisma during the medication safety incident.</w:t>
            </w:r>
          </w:p>
        </w:tc>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356FFE" w14:textId="77777777" w:rsidR="00B261EA" w:rsidRDefault="006377C2">
            <w:pPr>
              <w:widowControl w:val="0"/>
              <w:spacing w:before="241" w:after="240"/>
              <w:ind w:left="14"/>
            </w:pPr>
            <w:r>
              <w:t>While effective in urgent situations, over-reliance on individual leadership reduces system resilience and team-based decision-making, increasing long-term risk (WHO, 2026).</w:t>
            </w:r>
          </w:p>
        </w:tc>
      </w:tr>
      <w:tr w:rsidR="00B261EA" w14:paraId="06BE1C03" w14:textId="77777777">
        <w:trPr>
          <w:trHeight w:val="1610"/>
        </w:trPr>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2DBEFA" w14:textId="77777777" w:rsidR="00B261EA" w:rsidRDefault="006377C2">
            <w:pPr>
              <w:widowControl w:val="0"/>
              <w:spacing w:before="241" w:after="240"/>
              <w:ind w:left="14"/>
            </w:pPr>
            <w:r>
              <w:rPr>
                <w:b/>
                <w:bCs/>
              </w:rPr>
              <w:t>Trait Theory</w:t>
            </w:r>
          </w:p>
        </w:tc>
        <w:tc>
          <w:tcPr>
            <w:tcW w:w="3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044D99" w14:textId="77777777" w:rsidR="00B261EA" w:rsidRDefault="006377C2">
            <w:pPr>
              <w:widowControl w:val="0"/>
              <w:spacing w:before="241" w:after="240"/>
              <w:ind w:left="14"/>
            </w:pPr>
            <w:r>
              <w:t>The leader demonstrated confidence, decisiveness, and empathy when responding to the morphine overdose incident.</w:t>
            </w:r>
          </w:p>
        </w:tc>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219E2E" w14:textId="77777777" w:rsidR="00B261EA" w:rsidRDefault="006377C2">
            <w:pPr>
              <w:widowControl w:val="0"/>
              <w:spacing w:before="241" w:after="240"/>
              <w:ind w:left="14"/>
            </w:pPr>
            <w:r>
              <w:t>Evidence suggests emotionally intelligent leaders improve staff morale and safety culture, with up to 22% higher staff satisfaction reported in healthcare settings (Lee and Jang, 2023).</w:t>
            </w:r>
          </w:p>
        </w:tc>
      </w:tr>
      <w:tr w:rsidR="00B261EA" w14:paraId="3EC4F8BF" w14:textId="77777777">
        <w:trPr>
          <w:trHeight w:val="1880"/>
        </w:trPr>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555A3" w14:textId="77777777" w:rsidR="00B261EA" w:rsidRDefault="006377C2">
            <w:pPr>
              <w:widowControl w:val="0"/>
              <w:spacing w:before="241" w:after="240"/>
              <w:ind w:left="14"/>
            </w:pPr>
            <w:r>
              <w:rPr>
                <w:b/>
                <w:bCs/>
              </w:rPr>
              <w:t>Behavioural Theories</w:t>
            </w:r>
          </w:p>
        </w:tc>
        <w:tc>
          <w:tcPr>
            <w:tcW w:w="3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F3310B" w14:textId="77777777" w:rsidR="00B261EA" w:rsidRDefault="006377C2">
            <w:pPr>
              <w:widowControl w:val="0"/>
              <w:spacing w:before="241" w:after="240"/>
              <w:ind w:left="14"/>
            </w:pPr>
            <w:r>
              <w:t>Leadership focused more on task completion (drug administration efficiency) rather than staff communication and collaboration.</w:t>
            </w:r>
          </w:p>
        </w:tc>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D633D" w14:textId="77777777" w:rsidR="00B261EA" w:rsidRDefault="006377C2">
            <w:pPr>
              <w:widowControl w:val="0"/>
              <w:spacing w:before="241" w:after="240"/>
              <w:ind w:left="14"/>
            </w:pPr>
            <w:r>
              <w:t>Studies indicate that balancing task-oriented and people-oriented leadership reduces clinical errors, with hospitals reporting up to 30% fewer safety incidents when communication is prioritised (Mistri et al., 2023).</w:t>
            </w:r>
          </w:p>
        </w:tc>
      </w:tr>
    </w:tbl>
    <w:p w14:paraId="25878C35" w14:textId="77777777" w:rsidR="00B261EA" w:rsidRDefault="006377C2">
      <w:pPr>
        <w:widowControl w:val="0"/>
        <w:spacing w:after="240"/>
        <w:ind w:left="31"/>
        <w:jc w:val="center"/>
        <w:rPr>
          <w:b/>
          <w:bCs/>
          <w:color w:val="000000"/>
        </w:rPr>
      </w:pPr>
      <w:r>
        <w:rPr>
          <w:b/>
          <w:bCs/>
          <w:color w:val="000000"/>
        </w:rPr>
        <w:t xml:space="preserve">Table 2: Leadership Theory Application with Examples and Supporting Data </w:t>
      </w:r>
    </w:p>
    <w:p w14:paraId="5C1A9868" w14:textId="77777777" w:rsidR="00B261EA" w:rsidRDefault="006377C2">
      <w:pPr>
        <w:widowControl w:val="0"/>
        <w:spacing w:after="240"/>
        <w:ind w:left="31"/>
        <w:jc w:val="center"/>
        <w:rPr>
          <w:b/>
          <w:bCs/>
          <w:color w:val="000000"/>
        </w:rPr>
      </w:pPr>
      <w:r>
        <w:rPr>
          <w:b/>
          <w:bCs/>
          <w:color w:val="000000"/>
        </w:rPr>
        <w:lastRenderedPageBreak/>
        <w:t>(Source: Author)</w:t>
      </w:r>
    </w:p>
    <w:p w14:paraId="0355AEBE" w14:textId="77777777" w:rsidR="00B261EA" w:rsidRDefault="006377C2">
      <w:pPr>
        <w:spacing w:after="240"/>
      </w:pPr>
      <w:r>
        <w:t>In addition,</w:t>
      </w:r>
      <w:r>
        <w:rPr>
          <w:b/>
          <w:bCs/>
        </w:rPr>
        <w:t xml:space="preserve"> system-level performance indicators</w:t>
      </w:r>
      <w:r>
        <w:t xml:space="preserve"> can also be used to determine the effectiveness of the leadership, including incident reporting and safety culture. According to NHS information, medication errors are a recurring problem even with the current policies, and it is possible to infer that leadership approaches have not entirely considered systemic risks (NHS England, 2026). This underscores the necessity of the more distributed leadership styles, where the patient safety responsibility is distributed throughout the teams and not vested in a single position.</w:t>
      </w:r>
    </w:p>
    <w:p w14:paraId="091D6427" w14:textId="77777777" w:rsidR="00B261EA" w:rsidRDefault="006377C2">
      <w:pPr>
        <w:spacing w:after="240"/>
      </w:pPr>
      <w:r>
        <w:t>To sum up, the analysis of leadership theories demonstrates that there was a shortage of adaptive, participatory, and transformational leadership despite the presence of such aspects as decisiveness and clinical competence. The type of leadership used was not quite suitable to the complex nature of the situation, especially in the case of high-vigilance drugs and remote care. Better communication, understanding of the patient, and proactive system design could have worked better, creating a more balanced approach to the process, incorporating emotional intelligence, team collaboration, and all this could have led to the incident being prevented.</w:t>
      </w:r>
    </w:p>
    <w:p w14:paraId="4797D754" w14:textId="77777777" w:rsidR="00B261EA" w:rsidRDefault="006377C2">
      <w:pPr>
        <w:pStyle w:val="Heading2"/>
        <w:widowControl w:val="0"/>
        <w:spacing w:before="241" w:after="240"/>
        <w:ind w:left="13"/>
        <w:rPr>
          <w:rFonts w:ascii="Arial" w:eastAsia="Arial" w:hAnsi="Arial" w:cs="Arial"/>
        </w:rPr>
      </w:pPr>
      <w:bookmarkStart w:id="10" w:name="_heading=h.1w2bmsb3gzun" w:colFirst="0" w:colLast="0"/>
      <w:bookmarkStart w:id="11" w:name="_Toc226223325"/>
      <w:bookmarkEnd w:id="10"/>
      <w:r>
        <w:rPr>
          <w:rFonts w:ascii="Arial" w:eastAsia="Arial" w:hAnsi="Arial" w:cs="Arial"/>
        </w:rPr>
        <w:t>2.4 Critique, Improvements, and Lessons Learned</w:t>
      </w:r>
      <w:bookmarkEnd w:id="11"/>
      <w:r>
        <w:rPr>
          <w:rFonts w:ascii="Arial" w:eastAsia="Arial" w:hAnsi="Arial" w:cs="Arial"/>
        </w:rPr>
        <w:t xml:space="preserve"> </w:t>
      </w:r>
    </w:p>
    <w:p w14:paraId="272C7CF8" w14:textId="77777777" w:rsidR="00B261EA" w:rsidRDefault="006377C2">
      <w:pPr>
        <w:spacing w:after="240"/>
      </w:pPr>
      <w:r>
        <w:t>The failures in leadership and interaction between the governance are identified as a major issue in the case study, especially in medication safety management. One of the most significant problems was the poor culture of escalation, whereby employees were hesitant to raise issues because of the hierarchical obstacles and the fear of being blamed. This is a manifestation of the lack of psychological safety, which is essential in efficient reporting systems and patient safety outcomes (Lee and Jang, 2023). This form of leadership was seen to be responsive and not proactive, as it was concerned with responding to incidents and not preventing them.</w:t>
      </w:r>
    </w:p>
    <w:p w14:paraId="70C30C8F" w14:textId="77777777" w:rsidR="00B261EA" w:rsidRDefault="006377C2">
      <w:pPr>
        <w:spacing w:after="240"/>
      </w:pPr>
      <w:r>
        <w:t xml:space="preserve">The lack of timely reporting of errors is another indication of a gap in governance since insufficient data promptly constrained the effectiveness of the organisation's response to the risks of medication. There is evidence that medication errors are not always reported or reported in due time, which further exposes patients to harm and systemic inefficiencies (Elliott </w:t>
      </w:r>
      <w:r>
        <w:rPr>
          <w:i/>
          <w:iCs/>
        </w:rPr>
        <w:t>et al.,</w:t>
      </w:r>
      <w:r>
        <w:t xml:space="preserve"> 2024). This is a sign of a lack of integration of strong digital </w:t>
      </w:r>
      <w:r>
        <w:lastRenderedPageBreak/>
        <w:t>reporting systems and decentralised decision-making frameworks that would enable frontline employees.</w:t>
      </w:r>
    </w:p>
    <w:p w14:paraId="05C5BB52" w14:textId="77777777" w:rsidR="00B261EA" w:rsidRDefault="006377C2">
      <w:pPr>
        <w:spacing w:after="240"/>
      </w:pPr>
      <w:r>
        <w:t>The other very serious problem was the problem of labelling confusion of medication, especially on morphine preparations. The lack of standard labelling within the system also played a direct role in the overdose case, as this is an instance of a failure of centralisation in terms of national regulatory control (HSSIB, 2026). Although the centralised systems are to promote uniformity, this example shows that poor national standards could pose a large number of risks.</w:t>
      </w:r>
    </w:p>
    <w:p w14:paraId="0DAFE586" w14:textId="77777777" w:rsidR="00B261EA" w:rsidRDefault="006377C2">
      <w:pPr>
        <w:spacing w:after="240"/>
      </w:pPr>
      <w:r>
        <w:t>The contribution of weak governance mechanisms was also not excluded, with inadequate audit trails and accountability both at the organisational and system levels. Clinical governance needs to be effective and necessitate a constant check, a feedback cycle, and well-established responsibilities, none of which were present in this situation (Buka and Truman, 2024). This shows the value of incorporating governance in leadership practices in order to make them accountable.</w:t>
      </w:r>
    </w:p>
    <w:p w14:paraId="30050A04" w14:textId="77777777" w:rsidR="00B261EA" w:rsidRDefault="006377C2">
      <w:pPr>
        <w:spacing w:after="240"/>
      </w:pPr>
      <w:r>
        <w:t xml:space="preserve">In terms of leadership, the strategy was mostly task-based, and operational efficiency was more important than communication and collaboration. It has been demonstrated that balanced leadership, where tasks and relations are equally considered, is effective in enhancing patient safety results (Mistri </w:t>
      </w:r>
      <w:r>
        <w:rPr>
          <w:i/>
          <w:iCs/>
        </w:rPr>
        <w:t xml:space="preserve">et al., </w:t>
      </w:r>
      <w:r>
        <w:t>2023). Moreover, it lacked transformational and emotionally intelligent leadership, which reduced the staff engagement and learning.</w:t>
      </w:r>
    </w:p>
    <w:p w14:paraId="4C5E081B" w14:textId="77777777" w:rsidR="00B261EA" w:rsidRDefault="006377C2">
      <w:pPr>
        <w:widowControl w:val="0"/>
        <w:spacing w:after="240"/>
        <w:ind w:left="9" w:right="19" w:hanging="7"/>
        <w:jc w:val="left"/>
        <w:rPr>
          <w:b/>
          <w:bCs/>
        </w:rPr>
      </w:pPr>
      <w:r>
        <w:rPr>
          <w:b/>
          <w:bCs/>
        </w:rPr>
        <w:t>Table 3: Problem–Data–Improvement Analysis</w:t>
      </w:r>
    </w:p>
    <w:tbl>
      <w:tblPr>
        <w:tblStyle w:val="Style21"/>
        <w:tblW w:w="9087"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2077"/>
        <w:gridCol w:w="3636"/>
        <w:gridCol w:w="3374"/>
      </w:tblGrid>
      <w:tr w:rsidR="00B261EA" w14:paraId="1C00CCFD" w14:textId="77777777">
        <w:trPr>
          <w:trHeight w:val="500"/>
        </w:trPr>
        <w:tc>
          <w:tcPr>
            <w:tcW w:w="2076"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4E69C6AE" w14:textId="77777777" w:rsidR="00B261EA" w:rsidRDefault="006377C2">
            <w:pPr>
              <w:widowControl w:val="0"/>
              <w:spacing w:before="97" w:after="240"/>
              <w:ind w:left="9" w:right="19" w:hanging="7"/>
              <w:jc w:val="center"/>
              <w:rPr>
                <w:color w:val="000000"/>
              </w:rPr>
            </w:pPr>
            <w:r>
              <w:rPr>
                <w:b/>
                <w:bCs/>
                <w:color w:val="000000"/>
              </w:rPr>
              <w:t>Problem</w:t>
            </w:r>
          </w:p>
        </w:tc>
        <w:tc>
          <w:tcPr>
            <w:tcW w:w="3636"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4AF7D701" w14:textId="77777777" w:rsidR="00B261EA" w:rsidRDefault="006377C2">
            <w:pPr>
              <w:widowControl w:val="0"/>
              <w:spacing w:before="97" w:after="240"/>
              <w:ind w:left="9" w:right="19" w:hanging="7"/>
              <w:jc w:val="center"/>
              <w:rPr>
                <w:color w:val="000000"/>
              </w:rPr>
            </w:pPr>
            <w:r>
              <w:rPr>
                <w:b/>
                <w:bCs/>
                <w:color w:val="000000"/>
              </w:rPr>
              <w:t>Evidence/Data</w:t>
            </w:r>
          </w:p>
        </w:tc>
        <w:tc>
          <w:tcPr>
            <w:tcW w:w="3374"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21001A61" w14:textId="77777777" w:rsidR="00B261EA" w:rsidRDefault="006377C2">
            <w:pPr>
              <w:widowControl w:val="0"/>
              <w:spacing w:before="97" w:after="240"/>
              <w:ind w:left="9" w:right="19" w:hanging="7"/>
              <w:jc w:val="center"/>
              <w:rPr>
                <w:color w:val="000000"/>
              </w:rPr>
            </w:pPr>
            <w:r>
              <w:rPr>
                <w:b/>
                <w:bCs/>
                <w:color w:val="000000"/>
              </w:rPr>
              <w:t>Improvement Strategy</w:t>
            </w:r>
          </w:p>
        </w:tc>
      </w:tr>
      <w:tr w:rsidR="00B261EA" w14:paraId="1362742D" w14:textId="77777777">
        <w:trPr>
          <w:trHeight w:val="1055"/>
        </w:trPr>
        <w:tc>
          <w:tcPr>
            <w:tcW w:w="207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C4BFE7" w14:textId="77777777" w:rsidR="00B261EA" w:rsidRDefault="006377C2">
            <w:pPr>
              <w:widowControl w:val="0"/>
              <w:spacing w:before="97" w:after="240"/>
              <w:ind w:left="9" w:right="19" w:hanging="7"/>
              <w:jc w:val="left"/>
              <w:rPr>
                <w:b/>
                <w:bCs/>
                <w:i/>
                <w:iCs/>
                <w:color w:val="000000"/>
              </w:rPr>
            </w:pPr>
            <w:r>
              <w:rPr>
                <w:b/>
                <w:bCs/>
                <w:i/>
                <w:iCs/>
                <w:color w:val="000000"/>
              </w:rPr>
              <w:t>Poor escalation culture</w:t>
            </w:r>
          </w:p>
        </w:tc>
        <w:tc>
          <w:tcPr>
            <w:tcW w:w="36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02F163" w14:textId="77777777" w:rsidR="00B261EA" w:rsidRDefault="006377C2">
            <w:pPr>
              <w:widowControl w:val="0"/>
              <w:spacing w:before="97" w:after="240"/>
              <w:ind w:left="9" w:right="19" w:hanging="7"/>
              <w:jc w:val="left"/>
              <w:rPr>
                <w:color w:val="000000"/>
              </w:rPr>
            </w:pPr>
            <w:r>
              <w:rPr>
                <w:color w:val="000000"/>
              </w:rPr>
              <w:t>Staff hesitation in raising concerns due to fear and unclear reporting structures in medication incidents</w:t>
            </w:r>
          </w:p>
        </w:tc>
        <w:tc>
          <w:tcPr>
            <w:tcW w:w="337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F32F18" w14:textId="77777777" w:rsidR="00B261EA" w:rsidRDefault="006377C2">
            <w:pPr>
              <w:widowControl w:val="0"/>
              <w:spacing w:before="97" w:after="240"/>
              <w:ind w:left="9" w:right="19" w:hanging="7"/>
              <w:jc w:val="left"/>
              <w:rPr>
                <w:color w:val="000000"/>
              </w:rPr>
            </w:pPr>
            <w:r>
              <w:rPr>
                <w:color w:val="000000"/>
              </w:rPr>
              <w:t>Build psychological safety through leadership training and open communication systems</w:t>
            </w:r>
          </w:p>
        </w:tc>
      </w:tr>
      <w:tr w:rsidR="00B261EA" w14:paraId="771CB3D5" w14:textId="77777777">
        <w:trPr>
          <w:trHeight w:val="1055"/>
        </w:trPr>
        <w:tc>
          <w:tcPr>
            <w:tcW w:w="207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0FAEA0" w14:textId="77777777" w:rsidR="00B261EA" w:rsidRDefault="006377C2">
            <w:pPr>
              <w:widowControl w:val="0"/>
              <w:spacing w:before="97" w:after="240"/>
              <w:ind w:left="9" w:right="19" w:hanging="7"/>
              <w:jc w:val="left"/>
              <w:rPr>
                <w:b/>
                <w:bCs/>
                <w:i/>
                <w:iCs/>
                <w:color w:val="000000"/>
              </w:rPr>
            </w:pPr>
            <w:r>
              <w:rPr>
                <w:b/>
                <w:bCs/>
                <w:i/>
                <w:iCs/>
                <w:color w:val="000000"/>
              </w:rPr>
              <w:lastRenderedPageBreak/>
              <w:t>Delayed error reporting</w:t>
            </w:r>
          </w:p>
        </w:tc>
        <w:tc>
          <w:tcPr>
            <w:tcW w:w="36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AB0684" w14:textId="77777777" w:rsidR="00B261EA" w:rsidRDefault="006377C2">
            <w:pPr>
              <w:widowControl w:val="0"/>
              <w:spacing w:before="97" w:after="240"/>
              <w:ind w:left="9" w:right="19" w:hanging="7"/>
              <w:jc w:val="left"/>
              <w:rPr>
                <w:color w:val="000000"/>
              </w:rPr>
            </w:pPr>
            <w:r>
              <w:rPr>
                <w:color w:val="000000"/>
              </w:rPr>
              <w:t>Significant proportion of medication errors reported late, reducing timely intervention</w:t>
            </w:r>
          </w:p>
        </w:tc>
        <w:tc>
          <w:tcPr>
            <w:tcW w:w="337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B25E059" w14:textId="77777777" w:rsidR="00B261EA" w:rsidRDefault="006377C2">
            <w:pPr>
              <w:widowControl w:val="0"/>
              <w:spacing w:before="97" w:after="240"/>
              <w:ind w:left="9" w:right="19" w:hanging="7"/>
              <w:jc w:val="left"/>
              <w:rPr>
                <w:color w:val="000000"/>
              </w:rPr>
            </w:pPr>
            <w:r>
              <w:rPr>
                <w:color w:val="000000"/>
              </w:rPr>
              <w:t>Implement digital reporting systems and empower frontline staff for immediate escalation</w:t>
            </w:r>
          </w:p>
        </w:tc>
      </w:tr>
      <w:tr w:rsidR="00B261EA" w14:paraId="5CCAE45B" w14:textId="77777777">
        <w:trPr>
          <w:trHeight w:val="1055"/>
        </w:trPr>
        <w:tc>
          <w:tcPr>
            <w:tcW w:w="207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32BFC2D" w14:textId="77777777" w:rsidR="00B261EA" w:rsidRDefault="006377C2">
            <w:pPr>
              <w:widowControl w:val="0"/>
              <w:spacing w:before="97" w:after="240"/>
              <w:ind w:left="9" w:right="19" w:hanging="7"/>
              <w:jc w:val="left"/>
              <w:rPr>
                <w:b/>
                <w:bCs/>
                <w:i/>
                <w:iCs/>
                <w:color w:val="000000"/>
              </w:rPr>
            </w:pPr>
            <w:r>
              <w:rPr>
                <w:b/>
                <w:bCs/>
                <w:i/>
                <w:iCs/>
                <w:color w:val="000000"/>
              </w:rPr>
              <w:t>Confusing medication labelling</w:t>
            </w:r>
          </w:p>
        </w:tc>
        <w:tc>
          <w:tcPr>
            <w:tcW w:w="36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975FF52" w14:textId="77777777" w:rsidR="00B261EA" w:rsidRDefault="006377C2">
            <w:pPr>
              <w:widowControl w:val="0"/>
              <w:spacing w:before="97" w:after="240"/>
              <w:ind w:left="9" w:right="19" w:hanging="7"/>
              <w:jc w:val="left"/>
              <w:rPr>
                <w:color w:val="000000"/>
              </w:rPr>
            </w:pPr>
            <w:r>
              <w:rPr>
                <w:color w:val="000000"/>
              </w:rPr>
              <w:t>Similar morphine formulations contributed to overdose risk in the case study</w:t>
            </w:r>
          </w:p>
        </w:tc>
        <w:tc>
          <w:tcPr>
            <w:tcW w:w="337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D0D6BC" w14:textId="77777777" w:rsidR="00B261EA" w:rsidRDefault="006377C2">
            <w:pPr>
              <w:widowControl w:val="0"/>
              <w:spacing w:before="97" w:after="240"/>
              <w:ind w:left="9" w:right="19" w:hanging="7"/>
              <w:jc w:val="left"/>
              <w:rPr>
                <w:color w:val="000000"/>
              </w:rPr>
            </w:pPr>
            <w:r>
              <w:rPr>
                <w:color w:val="000000"/>
              </w:rPr>
              <w:t>Standardise national labelling and introduce barcode medication administration</w:t>
            </w:r>
          </w:p>
        </w:tc>
      </w:tr>
      <w:tr w:rsidR="00B261EA" w14:paraId="7A1E9524" w14:textId="77777777">
        <w:trPr>
          <w:trHeight w:val="1055"/>
        </w:trPr>
        <w:tc>
          <w:tcPr>
            <w:tcW w:w="207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A74CD9" w14:textId="77777777" w:rsidR="00B261EA" w:rsidRDefault="006377C2">
            <w:pPr>
              <w:widowControl w:val="0"/>
              <w:spacing w:before="97" w:after="240"/>
              <w:ind w:left="9" w:right="19" w:hanging="7"/>
              <w:jc w:val="left"/>
              <w:rPr>
                <w:b/>
                <w:bCs/>
                <w:i/>
                <w:iCs/>
                <w:color w:val="000000"/>
              </w:rPr>
            </w:pPr>
            <w:r>
              <w:rPr>
                <w:b/>
                <w:bCs/>
                <w:i/>
                <w:iCs/>
                <w:color w:val="000000"/>
              </w:rPr>
              <w:t>Weak governance and oversight</w:t>
            </w:r>
          </w:p>
        </w:tc>
        <w:tc>
          <w:tcPr>
            <w:tcW w:w="36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33C2036" w14:textId="77777777" w:rsidR="00B261EA" w:rsidRDefault="006377C2">
            <w:pPr>
              <w:widowControl w:val="0"/>
              <w:spacing w:before="97" w:after="240"/>
              <w:ind w:left="9" w:right="19" w:hanging="7"/>
              <w:jc w:val="left"/>
              <w:rPr>
                <w:color w:val="000000"/>
              </w:rPr>
            </w:pPr>
            <w:r>
              <w:rPr>
                <w:color w:val="000000"/>
              </w:rPr>
              <w:t>Lack of consistent monitoring and audit of medication practices at local level</w:t>
            </w:r>
          </w:p>
        </w:tc>
        <w:tc>
          <w:tcPr>
            <w:tcW w:w="337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AC895D" w14:textId="77777777" w:rsidR="00B261EA" w:rsidRDefault="006377C2">
            <w:pPr>
              <w:widowControl w:val="0"/>
              <w:spacing w:before="97" w:after="240"/>
              <w:ind w:left="9" w:right="19" w:hanging="7"/>
              <w:jc w:val="left"/>
              <w:rPr>
                <w:color w:val="000000"/>
              </w:rPr>
            </w:pPr>
            <w:r>
              <w:rPr>
                <w:color w:val="000000"/>
              </w:rPr>
              <w:t>Strengthen clinical governance frameworks and introduce real-time audit systems</w:t>
            </w:r>
          </w:p>
        </w:tc>
      </w:tr>
      <w:tr w:rsidR="00B261EA" w14:paraId="7198D151" w14:textId="77777777">
        <w:trPr>
          <w:trHeight w:val="1055"/>
        </w:trPr>
        <w:tc>
          <w:tcPr>
            <w:tcW w:w="207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4C768D" w14:textId="77777777" w:rsidR="00B261EA" w:rsidRDefault="006377C2">
            <w:pPr>
              <w:widowControl w:val="0"/>
              <w:spacing w:before="97" w:after="240"/>
              <w:ind w:left="9" w:right="19" w:hanging="7"/>
              <w:jc w:val="left"/>
              <w:rPr>
                <w:b/>
                <w:bCs/>
                <w:i/>
                <w:iCs/>
                <w:color w:val="000000"/>
              </w:rPr>
            </w:pPr>
            <w:r>
              <w:rPr>
                <w:b/>
                <w:bCs/>
                <w:i/>
                <w:iCs/>
                <w:color w:val="000000"/>
              </w:rPr>
              <w:t>Communication breakdowns</w:t>
            </w:r>
          </w:p>
        </w:tc>
        <w:tc>
          <w:tcPr>
            <w:tcW w:w="36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6CA510" w14:textId="77777777" w:rsidR="00B261EA" w:rsidRDefault="006377C2">
            <w:pPr>
              <w:widowControl w:val="0"/>
              <w:spacing w:before="97" w:after="240"/>
              <w:ind w:left="9" w:right="19" w:hanging="7"/>
              <w:jc w:val="left"/>
              <w:rPr>
                <w:color w:val="000000"/>
              </w:rPr>
            </w:pPr>
            <w:r>
              <w:rPr>
                <w:color w:val="000000"/>
              </w:rPr>
              <w:t>Poor interprofessional communication impacted safe medication administration</w:t>
            </w:r>
          </w:p>
        </w:tc>
        <w:tc>
          <w:tcPr>
            <w:tcW w:w="337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05263D" w14:textId="77777777" w:rsidR="00B261EA" w:rsidRDefault="006377C2">
            <w:pPr>
              <w:widowControl w:val="0"/>
              <w:spacing w:before="97" w:after="240"/>
              <w:ind w:left="9" w:right="19" w:hanging="7"/>
              <w:jc w:val="left"/>
              <w:rPr>
                <w:color w:val="000000"/>
              </w:rPr>
            </w:pPr>
            <w:r>
              <w:rPr>
                <w:color w:val="000000"/>
              </w:rPr>
              <w:t>Promote teamwork training and interprofessional collaboration strategies</w:t>
            </w:r>
          </w:p>
        </w:tc>
      </w:tr>
    </w:tbl>
    <w:p w14:paraId="0EA3047E" w14:textId="77777777" w:rsidR="00B261EA" w:rsidRDefault="006377C2">
      <w:pPr>
        <w:widowControl w:val="0"/>
        <w:spacing w:after="240"/>
        <w:ind w:left="9" w:right="19" w:hanging="7"/>
        <w:jc w:val="center"/>
        <w:rPr>
          <w:b/>
          <w:bCs/>
        </w:rPr>
      </w:pPr>
      <w:r>
        <w:rPr>
          <w:b/>
          <w:bCs/>
        </w:rPr>
        <w:t>Table 3: Problem–Data–Improvement Analysis</w:t>
      </w:r>
    </w:p>
    <w:p w14:paraId="1EF01730" w14:textId="77777777" w:rsidR="00B261EA" w:rsidRDefault="006377C2">
      <w:pPr>
        <w:widowControl w:val="0"/>
        <w:spacing w:before="97" w:after="240"/>
        <w:ind w:left="9" w:right="19" w:hanging="7"/>
        <w:jc w:val="center"/>
        <w:rPr>
          <w:b/>
          <w:bCs/>
          <w:color w:val="000000"/>
        </w:rPr>
      </w:pPr>
      <w:r>
        <w:rPr>
          <w:b/>
          <w:bCs/>
          <w:color w:val="000000"/>
        </w:rPr>
        <w:t>(Source: Author)</w:t>
      </w:r>
    </w:p>
    <w:p w14:paraId="7BB655DD" w14:textId="77777777" w:rsidR="00B261EA" w:rsidRDefault="006377C2">
      <w:pPr>
        <w:spacing w:after="240"/>
      </w:pPr>
      <w:r>
        <w:t>In solving these problems, organisations ought to implement digital reporting systems, reinforce the governance frameworks, and advance the distributed models of leadership. Safety management can be improved with the help of technologies, including AI and digital twins (Elkefi and Asan, 2022). Also, interprofessional collaboration and constant training can help to enhance communication and minimise errors (Grimes and Guinan, 2023).</w:t>
      </w:r>
    </w:p>
    <w:p w14:paraId="1D08FFCA" w14:textId="77777777" w:rsidR="00B261EA" w:rsidRDefault="006377C2">
      <w:pPr>
        <w:spacing w:after="240"/>
        <w:jc w:val="center"/>
      </w:pPr>
      <w:r>
        <w:rPr>
          <w:noProof/>
          <w:lang w:val="en-IN" w:eastAsia="en-IN"/>
        </w:rPr>
        <w:lastRenderedPageBreak/>
        <w:drawing>
          <wp:inline distT="114300" distB="114300" distL="114300" distR="114300" wp14:anchorId="042849FB" wp14:editId="18AAD2D1">
            <wp:extent cx="5770245" cy="37338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14"/>
                    <a:srcRect/>
                    <a:stretch>
                      <a:fillRect/>
                    </a:stretch>
                  </pic:blipFill>
                  <pic:spPr>
                    <a:xfrm>
                      <a:off x="0" y="0"/>
                      <a:ext cx="5770547" cy="3733800"/>
                    </a:xfrm>
                    <a:prstGeom prst="rect">
                      <a:avLst/>
                    </a:prstGeom>
                    <a:ln w="25400">
                      <a:solidFill>
                        <a:srgbClr val="000000"/>
                      </a:solidFill>
                      <a:prstDash val="solid"/>
                    </a:ln>
                  </pic:spPr>
                </pic:pic>
              </a:graphicData>
            </a:graphic>
          </wp:inline>
        </w:drawing>
      </w:r>
    </w:p>
    <w:p w14:paraId="7D49AFA3" w14:textId="77777777" w:rsidR="00B261EA" w:rsidRDefault="006377C2">
      <w:pPr>
        <w:spacing w:after="240"/>
        <w:jc w:val="center"/>
        <w:rPr>
          <w:b/>
          <w:bCs/>
        </w:rPr>
      </w:pPr>
      <w:r>
        <w:rPr>
          <w:b/>
          <w:bCs/>
        </w:rPr>
        <w:t>Figure 4: Morphine oral sulphate</w:t>
      </w:r>
    </w:p>
    <w:p w14:paraId="0EE3F674" w14:textId="77777777" w:rsidR="00B261EA" w:rsidRDefault="006377C2">
      <w:pPr>
        <w:spacing w:after="240"/>
        <w:jc w:val="center"/>
        <w:rPr>
          <w:b/>
          <w:bCs/>
        </w:rPr>
      </w:pPr>
      <w:r>
        <w:rPr>
          <w:b/>
          <w:bCs/>
        </w:rPr>
        <w:t>(Source: HSSIB, 2026)</w:t>
      </w:r>
    </w:p>
    <w:p w14:paraId="5A728BBE" w14:textId="77777777" w:rsidR="00B261EA" w:rsidRDefault="006377C2">
      <w:pPr>
        <w:spacing w:after="240"/>
      </w:pPr>
      <w:r>
        <w:t>To sum up, the combination of centralised systems vulnerabilities, reactive leadership, and lack of good feedback mechanisms resulted in the unfavourable results. The lesson that health organisations should learn is that safety is a matter of interconnected systems, leadership that is proactive and governance that is based on data. It is necessary to constantly use performance data, staff feedback, and safety metrics to make them accountable and improve them over the long term (WHO, 2026).</w:t>
      </w:r>
    </w:p>
    <w:p w14:paraId="7767DC6D" w14:textId="77777777" w:rsidR="00B261EA" w:rsidRDefault="006377C2">
      <w:pPr>
        <w:pStyle w:val="Heading1"/>
        <w:spacing w:after="240"/>
        <w:rPr>
          <w:rFonts w:ascii="Arial" w:eastAsia="Arial" w:hAnsi="Arial" w:cs="Arial"/>
        </w:rPr>
      </w:pPr>
      <w:bookmarkStart w:id="12" w:name="_heading=h.wm00bitzxbpz" w:colFirst="0" w:colLast="0"/>
      <w:bookmarkStart w:id="13" w:name="_Toc226223326"/>
      <w:bookmarkEnd w:id="12"/>
      <w:r>
        <w:rPr>
          <w:rFonts w:ascii="Arial" w:eastAsia="Arial" w:hAnsi="Arial" w:cs="Arial"/>
        </w:rPr>
        <w:t>3. Recommendations</w:t>
      </w:r>
      <w:bookmarkEnd w:id="13"/>
    </w:p>
    <w:p w14:paraId="66802AB8" w14:textId="77777777" w:rsidR="00B261EA" w:rsidRDefault="006377C2">
      <w:pPr>
        <w:spacing w:after="240"/>
      </w:pPr>
      <w:r>
        <w:t>Among the systemic failures that the case study has identified, transformational and distributed leadership approaches should be adopted by the organisation as the top priority. Transformational leaders can build a culture of openness, trust, and psychological safety so that the staff is free to report risks without fear of being blamed</w:t>
      </w:r>
      <w:r w:rsidR="00D31B29">
        <w:t xml:space="preserve"> (</w:t>
      </w:r>
      <w:r w:rsidR="00D31B29" w:rsidRPr="00D31B29">
        <w:rPr>
          <w:color w:val="222222"/>
          <w:shd w:val="clear" w:color="auto" w:fill="FFFFFF"/>
        </w:rPr>
        <w:t>Broo</w:t>
      </w:r>
      <w:r w:rsidR="00D31B29">
        <w:rPr>
          <w:color w:val="222222"/>
          <w:shd w:val="clear" w:color="auto" w:fill="FFFFFF"/>
        </w:rPr>
        <w:t>me,</w:t>
      </w:r>
      <w:r w:rsidR="00D31B29" w:rsidRPr="00D31B29">
        <w:rPr>
          <w:color w:val="222222"/>
          <w:shd w:val="clear" w:color="auto" w:fill="FFFFFF"/>
        </w:rPr>
        <w:t xml:space="preserve"> 2024</w:t>
      </w:r>
      <w:r w:rsidR="00D31B29">
        <w:rPr>
          <w:color w:val="222222"/>
          <w:shd w:val="clear" w:color="auto" w:fill="FFFFFF"/>
        </w:rPr>
        <w:t>)</w:t>
      </w:r>
      <w:r>
        <w:t xml:space="preserve">. This will be necessary in enhancing incident reporting and empowering patient safety culture. Simultaneously, the idea of distributed leadership </w:t>
      </w:r>
      <w:r>
        <w:lastRenderedPageBreak/>
        <w:t>must be promoted to enable frontline employees to make decisions faster and provide more responsive care.</w:t>
      </w:r>
    </w:p>
    <w:p w14:paraId="5DF3CF0D" w14:textId="77777777" w:rsidR="00B261EA" w:rsidRDefault="006377C2">
      <w:pPr>
        <w:spacing w:after="240"/>
      </w:pPr>
      <w:r>
        <w:t>It is also important to strengthen the systems of governance</w:t>
      </w:r>
      <w:r w:rsidR="00D31B29">
        <w:t xml:space="preserve"> (</w:t>
      </w:r>
      <w:r w:rsidR="00D31B29">
        <w:rPr>
          <w:color w:val="222222"/>
          <w:shd w:val="clear" w:color="auto" w:fill="FFFFFF"/>
        </w:rPr>
        <w:t xml:space="preserve">Eeckloo and De Regge, </w:t>
      </w:r>
      <w:r w:rsidR="00D31B29" w:rsidRPr="00D31B29">
        <w:rPr>
          <w:color w:val="222222"/>
          <w:shd w:val="clear" w:color="auto" w:fill="FFFFFF"/>
        </w:rPr>
        <w:t>2023</w:t>
      </w:r>
      <w:r w:rsidR="00D31B29">
        <w:rPr>
          <w:color w:val="222222"/>
          <w:shd w:val="clear" w:color="auto" w:fill="FFFFFF"/>
        </w:rPr>
        <w:t>)</w:t>
      </w:r>
      <w:r>
        <w:t>. The organisation must have strong clinical governance systems, such as real-time audit systems, clear accountability lines and frequent audit of medication safety practices. The implementation of digital reporting platforms may guarantee a timely error reporting procedure and allow for making decisions based on data. Such systems are expected to be incorporated in the various departments to improve transparency and coordination</w:t>
      </w:r>
      <w:r w:rsidR="00D31B29">
        <w:t xml:space="preserve"> (</w:t>
      </w:r>
      <w:r w:rsidR="00D31B29">
        <w:rPr>
          <w:color w:val="222222"/>
          <w:shd w:val="clear" w:color="auto" w:fill="FFFFFF"/>
        </w:rPr>
        <w:t xml:space="preserve">Eeckloo and De Regge, </w:t>
      </w:r>
      <w:r w:rsidR="00D31B29" w:rsidRPr="00D31B29">
        <w:rPr>
          <w:color w:val="222222"/>
          <w:shd w:val="clear" w:color="auto" w:fill="FFFFFF"/>
        </w:rPr>
        <w:t>2023</w:t>
      </w:r>
      <w:r w:rsidR="00D31B29">
        <w:rPr>
          <w:color w:val="222222"/>
          <w:shd w:val="clear" w:color="auto" w:fill="FFFFFF"/>
        </w:rPr>
        <w:t>)</w:t>
      </w:r>
      <w:r>
        <w:t>.</w:t>
      </w:r>
    </w:p>
    <w:p w14:paraId="6D5B0960" w14:textId="77777777" w:rsidR="00B261EA" w:rsidRDefault="006377C2">
      <w:pPr>
        <w:spacing w:after="240"/>
      </w:pPr>
      <w:r>
        <w:t>Another important priority is to improve communication. The implementation of daily safety huddles may help to identify any risks proactively, enhance teamwork, and provide the transfer of critical information that is effective among medical workers</w:t>
      </w:r>
      <w:r w:rsidR="00D31B29">
        <w:t xml:space="preserve"> (</w:t>
      </w:r>
      <w:r w:rsidR="00D31B29" w:rsidRPr="00D31B29">
        <w:rPr>
          <w:color w:val="222222"/>
          <w:shd w:val="clear" w:color="auto" w:fill="FFFFFF"/>
        </w:rPr>
        <w:t>Broo</w:t>
      </w:r>
      <w:r w:rsidR="00D31B29">
        <w:rPr>
          <w:color w:val="222222"/>
          <w:shd w:val="clear" w:color="auto" w:fill="FFFFFF"/>
        </w:rPr>
        <w:t>me,</w:t>
      </w:r>
      <w:r w:rsidR="00D31B29" w:rsidRPr="00D31B29">
        <w:rPr>
          <w:color w:val="222222"/>
          <w:shd w:val="clear" w:color="auto" w:fill="FFFFFF"/>
        </w:rPr>
        <w:t xml:space="preserve"> 2024</w:t>
      </w:r>
      <w:r w:rsidR="00D31B29">
        <w:rPr>
          <w:color w:val="222222"/>
          <w:shd w:val="clear" w:color="auto" w:fill="FFFFFF"/>
        </w:rPr>
        <w:t>)</w:t>
      </w:r>
      <w:r>
        <w:t>. Also, the interprofessional training programs are to be introduced in order to improve collaboration and minimise communication failures.</w:t>
      </w:r>
    </w:p>
    <w:p w14:paraId="5883980B" w14:textId="77777777" w:rsidR="00B261EA" w:rsidRDefault="006377C2">
      <w:pPr>
        <w:spacing w:after="240"/>
      </w:pPr>
      <w:r>
        <w:t>Technically, the organisation ought to invest in barcode medication administration systems so as to reduce the possibility of human error in drug dispensing and administration. This is in line with the evidence-based practices that have a great impact on minimising the medication-related incidents</w:t>
      </w:r>
      <w:r w:rsidR="00D31B29">
        <w:t xml:space="preserve"> (</w:t>
      </w:r>
      <w:r w:rsidR="00D31B29">
        <w:rPr>
          <w:color w:val="222222"/>
          <w:shd w:val="clear" w:color="auto" w:fill="FFFFFF"/>
        </w:rPr>
        <w:t xml:space="preserve">Eeckloo and De Regge, </w:t>
      </w:r>
      <w:r w:rsidR="00D31B29" w:rsidRPr="00D31B29">
        <w:rPr>
          <w:color w:val="222222"/>
          <w:shd w:val="clear" w:color="auto" w:fill="FFFFFF"/>
        </w:rPr>
        <w:t>2023</w:t>
      </w:r>
      <w:r w:rsidR="00D31B29">
        <w:rPr>
          <w:color w:val="222222"/>
          <w:shd w:val="clear" w:color="auto" w:fill="FFFFFF"/>
        </w:rPr>
        <w:t>)</w:t>
      </w:r>
      <w:r>
        <w:t>. Moreover, the use of modern technologies, including AI-based surveillance, would enhance predictive risk management and efficiency.</w:t>
      </w:r>
    </w:p>
    <w:p w14:paraId="4B6CB4B0" w14:textId="77777777" w:rsidR="00B261EA" w:rsidRDefault="006377C2">
      <w:pPr>
        <w:spacing w:after="240"/>
      </w:pPr>
      <w:r>
        <w:t>In order to increase the level of allocative efficiency, it is recommended to allocate resources to such risk areas as medication safety, training of staff, and digital infrastructure. The organisational practice of continuous learning, such as regular feedback loops, incident reviews, and staff engagement surveys, should be integrated into continuous learning mechanisms.</w:t>
      </w:r>
    </w:p>
    <w:p w14:paraId="245CA3D9" w14:textId="77777777" w:rsidR="00B261EA" w:rsidRDefault="006377C2">
      <w:pPr>
        <w:spacing w:after="240"/>
      </w:pPr>
      <w:r>
        <w:t>Lastly, the engagement of stakeholders and co-production must be enhanced by including patients, families, and frontline staff in safety enhancement programs. Through this inclusive manner, policies are feasible, situation-based, and long-term. On the whole, the suggestions represent the focus on the transition to proactive leadership, combined systems, and constant improvement to make healthcare delivery safe.</w:t>
      </w:r>
    </w:p>
    <w:p w14:paraId="1106827E" w14:textId="77777777" w:rsidR="00B261EA" w:rsidRDefault="006377C2">
      <w:pPr>
        <w:pStyle w:val="Heading1"/>
        <w:spacing w:after="240"/>
        <w:rPr>
          <w:rFonts w:ascii="Arial" w:eastAsia="Arial" w:hAnsi="Arial" w:cs="Arial"/>
        </w:rPr>
      </w:pPr>
      <w:bookmarkStart w:id="14" w:name="_heading=h.548w9m7malbh" w:colFirst="0" w:colLast="0"/>
      <w:bookmarkStart w:id="15" w:name="_Toc226223327"/>
      <w:bookmarkEnd w:id="14"/>
      <w:r>
        <w:rPr>
          <w:rFonts w:ascii="Arial" w:eastAsia="Arial" w:hAnsi="Arial" w:cs="Arial"/>
        </w:rPr>
        <w:lastRenderedPageBreak/>
        <w:t>4. Conclusion</w:t>
      </w:r>
      <w:bookmarkEnd w:id="15"/>
    </w:p>
    <w:p w14:paraId="41C8DA44" w14:textId="77777777" w:rsidR="00B261EA" w:rsidRDefault="006377C2">
      <w:pPr>
        <w:spacing w:after="240"/>
      </w:pPr>
      <w:r>
        <w:t>The case study indicates severe leadership shortcomings, such as the inability to make decisions in a reactive manner, the lack of psychological safety, and the lack of staff empowerment. Analysis of the systems thinking showed weaknesses like poor communication, inadequate medication safety processes and fragmented governance. These structural vices, coupled with task-oriented leadership, led to delayed reporting, accountability problems, and high chances of harm. There was an absence of connection between the governance structures and the frontline practice, which also increased the failures in the system. Notably, the results indicate that an individual-based performance is not enough. Systems thinking is more sustainable in terms of making improvements, through focusing on interdependencies, reinforced feedback loops and continuous learning to create safer and more resilient healthcare systems.</w:t>
      </w:r>
    </w:p>
    <w:p w14:paraId="516A28E9" w14:textId="77777777" w:rsidR="00B261EA" w:rsidRDefault="006377C2">
      <w:pPr>
        <w:spacing w:after="240"/>
      </w:pPr>
      <w:r>
        <w:t>Systems thinking considers the incident as caused by an array of interacting weaknesses in the overall system rather than by an isolated failure. Weaknesses identified included poor visibility of medication labelling, untimely or inappropriate design of dosing instructions, and failure to make sure patients and their caregivers could accurately interpret correct dosage information.</w:t>
      </w:r>
    </w:p>
    <w:p w14:paraId="70B0540C" w14:textId="77777777" w:rsidR="00B261EA" w:rsidRDefault="006377C2">
      <w:pPr>
        <w:spacing w:after="240"/>
      </w:pPr>
      <w:r>
        <w:t>Within healthcare organisations, the goal of leaders may have been to comply with procedural requirements rather than to proactively identify risks and mitigate them. Therefore, they may have missed opportunities to identify potential hazards proactively. This indicates that there is an imbalance between how policies are supposed to be followed and how they are actually being followed and also reflects that the governance mechanisms did not fully protect the vulnerable individuals for which they were developed.</w:t>
      </w:r>
    </w:p>
    <w:p w14:paraId="379555A8" w14:textId="77777777" w:rsidR="00B261EA" w:rsidRDefault="006377C2" w:rsidP="00D31B29">
      <w:pPr>
        <w:spacing w:after="240"/>
        <w:sectPr w:rsidR="00B261EA">
          <w:pgSz w:w="11900" w:h="16820"/>
          <w:pgMar w:top="1425" w:right="1380" w:bottom="1488" w:left="1437" w:header="0" w:footer="720" w:gutter="0"/>
          <w:cols w:space="720"/>
        </w:sectPr>
      </w:pPr>
      <w:r>
        <w:t>This example shows how applying systems thinking will lead to greater improvement for a longer time in patient safety than teaching individuals and blaming them (Len, for example). With systems thinking, we focus on how we can change processes, improve communications (by using tools), and focus on human factors of care delivery, rather than blaming either Len or his wife</w:t>
      </w:r>
      <w:bookmarkStart w:id="16" w:name="_heading=h.vtuqwvgbwudw" w:colFirst="0" w:colLast="0"/>
      <w:bookmarkEnd w:id="16"/>
      <w:r w:rsidR="00D31B29">
        <w:t>.</w:t>
      </w:r>
    </w:p>
    <w:p w14:paraId="7703ED43" w14:textId="77777777" w:rsidR="00B261EA" w:rsidRDefault="006377C2" w:rsidP="00D31B29">
      <w:pPr>
        <w:pStyle w:val="Heading1"/>
        <w:widowControl w:val="0"/>
        <w:spacing w:before="1081" w:after="240"/>
        <w:rPr>
          <w:rFonts w:ascii="Arial" w:eastAsia="Arial" w:hAnsi="Arial" w:cs="Arial"/>
        </w:rPr>
      </w:pPr>
      <w:bookmarkStart w:id="17" w:name="_heading=h.ds7fkvxckunt" w:colFirst="0" w:colLast="0"/>
      <w:bookmarkStart w:id="18" w:name="_Toc226223328"/>
      <w:bookmarkEnd w:id="17"/>
      <w:r>
        <w:rPr>
          <w:rFonts w:ascii="Arial" w:eastAsia="Arial" w:hAnsi="Arial" w:cs="Arial"/>
        </w:rPr>
        <w:lastRenderedPageBreak/>
        <w:t>Reference list</w:t>
      </w:r>
      <w:bookmarkEnd w:id="18"/>
    </w:p>
    <w:p w14:paraId="6CB21E5F" w14:textId="77777777" w:rsidR="00B261EA" w:rsidRDefault="006377C2">
      <w:pPr>
        <w:spacing w:after="240"/>
        <w:rPr>
          <w:color w:val="222222"/>
          <w:highlight w:val="white"/>
        </w:rPr>
      </w:pPr>
      <w:r>
        <w:rPr>
          <w:color w:val="222222"/>
          <w:highlight w:val="white"/>
        </w:rPr>
        <w:t xml:space="preserve">Aschroft, M. and Oakeshott, I., 2022. </w:t>
      </w:r>
      <w:r>
        <w:rPr>
          <w:i/>
          <w:iCs/>
          <w:color w:val="222222"/>
          <w:highlight w:val="white"/>
        </w:rPr>
        <w:t>Life support: The state of the NHS in an age of pandemics</w:t>
      </w:r>
      <w:r>
        <w:rPr>
          <w:color w:val="222222"/>
          <w:highlight w:val="white"/>
        </w:rPr>
        <w:t>. Biteback Publishing.</w:t>
      </w:r>
    </w:p>
    <w:p w14:paraId="08440618" w14:textId="77777777" w:rsidR="00D31B29" w:rsidRDefault="006377C2">
      <w:pPr>
        <w:spacing w:after="240"/>
        <w:rPr>
          <w:color w:val="222222"/>
          <w:highlight w:val="white"/>
        </w:rPr>
      </w:pPr>
      <w:r>
        <w:rPr>
          <w:color w:val="222222"/>
          <w:highlight w:val="white"/>
        </w:rPr>
        <w:t>Barr, J. and Dowding, L., 2022. Leadership in health care.</w:t>
      </w:r>
    </w:p>
    <w:p w14:paraId="34AA89A1" w14:textId="77777777" w:rsidR="00B261EA" w:rsidRDefault="006377C2">
      <w:pPr>
        <w:spacing w:after="240"/>
        <w:rPr>
          <w:color w:val="222222"/>
          <w:highlight w:val="white"/>
        </w:rPr>
      </w:pPr>
      <w:r>
        <w:rPr>
          <w:color w:val="222222"/>
          <w:highlight w:val="white"/>
        </w:rPr>
        <w:t xml:space="preserve">Boudal, E.H.M. and Said, F.M., 2024. Transformational Leadership Among Nurses AND Its Effect on Patient Safety: A Systematic Literature Review. </w:t>
      </w:r>
      <w:r>
        <w:rPr>
          <w:i/>
          <w:iCs/>
          <w:color w:val="222222"/>
          <w:highlight w:val="white"/>
        </w:rPr>
        <w:t>International Journal of Medical Science and Dental Health</w:t>
      </w:r>
      <w:r>
        <w:rPr>
          <w:color w:val="222222"/>
          <w:highlight w:val="white"/>
        </w:rPr>
        <w:t xml:space="preserve">, </w:t>
      </w:r>
      <w:r>
        <w:rPr>
          <w:i/>
          <w:iCs/>
          <w:color w:val="222222"/>
          <w:highlight w:val="white"/>
        </w:rPr>
        <w:t>11</w:t>
      </w:r>
      <w:r>
        <w:rPr>
          <w:color w:val="222222"/>
          <w:highlight w:val="white"/>
        </w:rPr>
        <w:t>(08), pp.146-160.</w:t>
      </w:r>
    </w:p>
    <w:p w14:paraId="0D6EC733" w14:textId="77777777" w:rsidR="00D31B29" w:rsidRDefault="006377C2">
      <w:pPr>
        <w:spacing w:after="240"/>
        <w:rPr>
          <w:color w:val="222222"/>
          <w:highlight w:val="white"/>
        </w:rPr>
      </w:pPr>
      <w:r>
        <w:rPr>
          <w:color w:val="222222"/>
          <w:highlight w:val="white"/>
        </w:rPr>
        <w:t xml:space="preserve">Bourne, R.S., Jennings, J.K., Panagioti, M., Hodkinson, A., Sutton, A. and Ashcroft, D.M., 2022. Medication-related interventions to improve medication safety and patient outcomes on transition from adult intensive care settings: a systematic review and meta-analysis. </w:t>
      </w:r>
      <w:r>
        <w:rPr>
          <w:i/>
          <w:iCs/>
          <w:color w:val="222222"/>
          <w:highlight w:val="white"/>
        </w:rPr>
        <w:t>BMJ quality &amp; safety</w:t>
      </w:r>
      <w:r>
        <w:rPr>
          <w:color w:val="222222"/>
          <w:highlight w:val="white"/>
        </w:rPr>
        <w:t xml:space="preserve">, </w:t>
      </w:r>
      <w:r>
        <w:rPr>
          <w:i/>
          <w:iCs/>
          <w:color w:val="222222"/>
          <w:highlight w:val="white"/>
        </w:rPr>
        <w:t>31</w:t>
      </w:r>
      <w:r>
        <w:rPr>
          <w:color w:val="222222"/>
          <w:highlight w:val="white"/>
        </w:rPr>
        <w:t>(8), pp.609-622.</w:t>
      </w:r>
    </w:p>
    <w:p w14:paraId="6DDC9D9B" w14:textId="77777777" w:rsidR="00B261EA" w:rsidRPr="00D31B29" w:rsidRDefault="006377C2">
      <w:pPr>
        <w:spacing w:after="240"/>
        <w:rPr>
          <w:color w:val="222222"/>
          <w:highlight w:val="white"/>
        </w:rPr>
      </w:pPr>
      <w:r>
        <w:rPr>
          <w:color w:val="222222"/>
          <w:highlight w:val="white"/>
        </w:rPr>
        <w:t xml:space="preserve">Brooke-Wavell, K., Skelton, </w:t>
      </w:r>
      <w:r w:rsidRPr="00D31B29">
        <w:rPr>
          <w:color w:val="222222"/>
          <w:highlight w:val="white"/>
        </w:rPr>
        <w:t xml:space="preserve">D.A., Barker, K.L., Clark, E.M., De Biase, S., Arnold, S., Paskins, Z., Robinson, K.R., Lewis, R.M., Tobias, J.H. and Ward, K.A., 2022. Strong, steady and straight: UK consensus statement on physical activity and exercise for osteoporosis. </w:t>
      </w:r>
      <w:r w:rsidRPr="00D31B29">
        <w:rPr>
          <w:i/>
          <w:iCs/>
          <w:color w:val="222222"/>
          <w:highlight w:val="white"/>
        </w:rPr>
        <w:t>British journal of sports medicine</w:t>
      </w:r>
      <w:r w:rsidRPr="00D31B29">
        <w:rPr>
          <w:color w:val="222222"/>
          <w:highlight w:val="white"/>
        </w:rPr>
        <w:t xml:space="preserve">, </w:t>
      </w:r>
      <w:r w:rsidRPr="00D31B29">
        <w:rPr>
          <w:i/>
          <w:iCs/>
          <w:color w:val="222222"/>
          <w:highlight w:val="white"/>
        </w:rPr>
        <w:t>56</w:t>
      </w:r>
      <w:r w:rsidRPr="00D31B29">
        <w:rPr>
          <w:color w:val="222222"/>
          <w:highlight w:val="white"/>
        </w:rPr>
        <w:t>(15), pp.837-846.</w:t>
      </w:r>
    </w:p>
    <w:p w14:paraId="43973859" w14:textId="77777777" w:rsidR="00D31B29" w:rsidRPr="00D31B29" w:rsidRDefault="00D31B29">
      <w:pPr>
        <w:spacing w:after="240"/>
        <w:rPr>
          <w:color w:val="222222"/>
          <w:highlight w:val="white"/>
        </w:rPr>
      </w:pPr>
      <w:r w:rsidRPr="00D31B29">
        <w:rPr>
          <w:color w:val="222222"/>
          <w:shd w:val="clear" w:color="auto" w:fill="FFFFFF"/>
        </w:rPr>
        <w:t>Broome, M.E., 2024. </w:t>
      </w:r>
      <w:r w:rsidRPr="00D31B29">
        <w:rPr>
          <w:i/>
          <w:iCs/>
          <w:color w:val="222222"/>
          <w:shd w:val="clear" w:color="auto" w:fill="FFFFFF"/>
        </w:rPr>
        <w:t>Transformational leadership in nursing: From expert clinician to influential leader</w:t>
      </w:r>
      <w:r w:rsidRPr="00D31B29">
        <w:rPr>
          <w:color w:val="222222"/>
          <w:shd w:val="clear" w:color="auto" w:fill="FFFFFF"/>
        </w:rPr>
        <w:t>. springer publishing company.</w:t>
      </w:r>
    </w:p>
    <w:p w14:paraId="1B597D89" w14:textId="77777777" w:rsidR="00B261EA" w:rsidRDefault="006377C2">
      <w:pPr>
        <w:spacing w:after="240"/>
        <w:rPr>
          <w:color w:val="222222"/>
          <w:highlight w:val="white"/>
        </w:rPr>
      </w:pPr>
      <w:r>
        <w:rPr>
          <w:color w:val="222222"/>
          <w:highlight w:val="white"/>
        </w:rPr>
        <w:t xml:space="preserve">Brown, C. and Brown, M., 2023. Blood and blood products transfusion errors: what can we do to improve patient safety?. </w:t>
      </w:r>
      <w:r>
        <w:rPr>
          <w:i/>
          <w:iCs/>
          <w:color w:val="222222"/>
          <w:highlight w:val="white"/>
        </w:rPr>
        <w:t>British Journal of Nursing</w:t>
      </w:r>
      <w:r>
        <w:rPr>
          <w:color w:val="222222"/>
          <w:highlight w:val="white"/>
        </w:rPr>
        <w:t xml:space="preserve">, </w:t>
      </w:r>
      <w:r>
        <w:rPr>
          <w:i/>
          <w:iCs/>
          <w:color w:val="222222"/>
          <w:highlight w:val="white"/>
        </w:rPr>
        <w:t>32</w:t>
      </w:r>
      <w:r>
        <w:rPr>
          <w:color w:val="222222"/>
          <w:highlight w:val="white"/>
        </w:rPr>
        <w:t>(7), pp.326-332.</w:t>
      </w:r>
    </w:p>
    <w:p w14:paraId="5331A405" w14:textId="77777777" w:rsidR="00B261EA" w:rsidRDefault="006377C2">
      <w:pPr>
        <w:spacing w:after="240"/>
        <w:rPr>
          <w:color w:val="222222"/>
          <w:highlight w:val="white"/>
        </w:rPr>
      </w:pPr>
      <w:r>
        <w:rPr>
          <w:color w:val="222222"/>
          <w:highlight w:val="white"/>
        </w:rPr>
        <w:t xml:space="preserve">Buka, P. and Truman, C., 2024. Clinical governance, risk and human factors. In </w:t>
      </w:r>
      <w:r>
        <w:rPr>
          <w:i/>
          <w:iCs/>
          <w:color w:val="222222"/>
          <w:highlight w:val="white"/>
        </w:rPr>
        <w:t>Patient Safety in Clinical Practice</w:t>
      </w:r>
      <w:r>
        <w:rPr>
          <w:color w:val="222222"/>
          <w:highlight w:val="white"/>
        </w:rPr>
        <w:t xml:space="preserve"> (pp. 15-30). Routledge.</w:t>
      </w:r>
    </w:p>
    <w:p w14:paraId="326E36F3" w14:textId="77777777" w:rsidR="00B261EA" w:rsidRDefault="006377C2">
      <w:pPr>
        <w:spacing w:after="240"/>
        <w:rPr>
          <w:color w:val="222222"/>
          <w:highlight w:val="white"/>
        </w:rPr>
      </w:pPr>
      <w:r>
        <w:rPr>
          <w:color w:val="222222"/>
          <w:highlight w:val="white"/>
        </w:rPr>
        <w:t xml:space="preserve">Buka, P. ed., 2024. </w:t>
      </w:r>
      <w:r>
        <w:rPr>
          <w:i/>
          <w:iCs/>
          <w:color w:val="222222"/>
          <w:highlight w:val="white"/>
        </w:rPr>
        <w:t>Patient Safety in Clinical Practice: A Diverse Approach to Safe Healthcare for All</w:t>
      </w:r>
      <w:r>
        <w:rPr>
          <w:color w:val="222222"/>
          <w:highlight w:val="white"/>
        </w:rPr>
        <w:t>. Taylor &amp; Francis.</w:t>
      </w:r>
    </w:p>
    <w:p w14:paraId="493EC7AB" w14:textId="77777777" w:rsidR="00B261EA" w:rsidRDefault="006377C2">
      <w:pPr>
        <w:spacing w:after="240"/>
        <w:rPr>
          <w:color w:val="222222"/>
          <w:highlight w:val="white"/>
        </w:rPr>
      </w:pPr>
      <w:r>
        <w:rPr>
          <w:color w:val="222222"/>
          <w:highlight w:val="white"/>
        </w:rPr>
        <w:lastRenderedPageBreak/>
        <w:t xml:space="preserve">Bumb, D., Gupta, P., Nooyi, S.C. and Chaudhury, N., 2025. A competency-based leadership framework for public health trainers in Meghalaya: insights from a multi-method study. </w:t>
      </w:r>
      <w:r>
        <w:rPr>
          <w:i/>
          <w:iCs/>
          <w:color w:val="222222"/>
          <w:highlight w:val="white"/>
        </w:rPr>
        <w:t>BMJ Public Health</w:t>
      </w:r>
      <w:r>
        <w:rPr>
          <w:color w:val="222222"/>
          <w:highlight w:val="white"/>
        </w:rPr>
        <w:t xml:space="preserve">, </w:t>
      </w:r>
      <w:r>
        <w:rPr>
          <w:i/>
          <w:iCs/>
          <w:color w:val="222222"/>
          <w:highlight w:val="white"/>
        </w:rPr>
        <w:t>3</w:t>
      </w:r>
      <w:r>
        <w:rPr>
          <w:color w:val="222222"/>
          <w:highlight w:val="white"/>
        </w:rPr>
        <w:t>(2).</w:t>
      </w:r>
    </w:p>
    <w:p w14:paraId="087EB83A" w14:textId="77777777" w:rsidR="00B261EA" w:rsidRDefault="006377C2">
      <w:pPr>
        <w:spacing w:after="240"/>
        <w:rPr>
          <w:color w:val="222222"/>
          <w:highlight w:val="white"/>
        </w:rPr>
      </w:pPr>
      <w:r>
        <w:rPr>
          <w:color w:val="222222"/>
          <w:highlight w:val="white"/>
        </w:rPr>
        <w:t xml:space="preserve">Cabrera, D. and Cabrera, L., 2022. DSRP theory: A primer. </w:t>
      </w:r>
      <w:r>
        <w:rPr>
          <w:i/>
          <w:iCs/>
          <w:color w:val="222222"/>
          <w:highlight w:val="white"/>
        </w:rPr>
        <w:t>Systems</w:t>
      </w:r>
      <w:r>
        <w:rPr>
          <w:color w:val="222222"/>
          <w:highlight w:val="white"/>
        </w:rPr>
        <w:t xml:space="preserve">, </w:t>
      </w:r>
      <w:r>
        <w:rPr>
          <w:i/>
          <w:iCs/>
          <w:color w:val="222222"/>
          <w:highlight w:val="white"/>
        </w:rPr>
        <w:t>10</w:t>
      </w:r>
      <w:r>
        <w:rPr>
          <w:color w:val="222222"/>
          <w:highlight w:val="white"/>
        </w:rPr>
        <w:t>(2), p.26.</w:t>
      </w:r>
    </w:p>
    <w:p w14:paraId="006E3907" w14:textId="77777777" w:rsidR="00B261EA" w:rsidRDefault="006377C2">
      <w:pPr>
        <w:spacing w:after="240"/>
        <w:rPr>
          <w:color w:val="222222"/>
          <w:highlight w:val="white"/>
        </w:rPr>
      </w:pPr>
      <w:r>
        <w:rPr>
          <w:color w:val="222222"/>
          <w:highlight w:val="white"/>
        </w:rPr>
        <w:t xml:space="preserve">Cabrera, D. and Cabrera, L., 2023. What is systems thinking?. In </w:t>
      </w:r>
      <w:r>
        <w:rPr>
          <w:i/>
          <w:iCs/>
          <w:color w:val="222222"/>
          <w:highlight w:val="white"/>
        </w:rPr>
        <w:t>Learning, design, and technology: An international compendium of theory, research, practice, and policy</w:t>
      </w:r>
      <w:r>
        <w:rPr>
          <w:color w:val="222222"/>
          <w:highlight w:val="white"/>
        </w:rPr>
        <w:t xml:space="preserve"> (pp. 1495-1522). Cham: Springer International Publishing.</w:t>
      </w:r>
    </w:p>
    <w:p w14:paraId="1F8E7E9D" w14:textId="77777777" w:rsidR="00B261EA" w:rsidRPr="00D31B29" w:rsidRDefault="006377C2">
      <w:pPr>
        <w:spacing w:after="240"/>
        <w:rPr>
          <w:color w:val="222222"/>
          <w:highlight w:val="white"/>
        </w:rPr>
      </w:pPr>
      <w:r>
        <w:rPr>
          <w:color w:val="222222"/>
          <w:highlight w:val="white"/>
        </w:rPr>
        <w:t xml:space="preserve">Chaudry, A., Hussain, P.M., Halari, S., Thakor, S., Sivapalan, A., Ikar, A., Okhiria, T. and Meyer, E., 2024. What is the impact of leaders with emotional intelligence on proxy performance metrics in 21st century healthcare?—A systematic literature review. </w:t>
      </w:r>
      <w:r>
        <w:rPr>
          <w:i/>
          <w:iCs/>
          <w:color w:val="222222"/>
          <w:highlight w:val="white"/>
        </w:rPr>
        <w:t xml:space="preserve">International Journal of </w:t>
      </w:r>
      <w:r w:rsidRPr="00D31B29">
        <w:rPr>
          <w:i/>
          <w:iCs/>
          <w:color w:val="222222"/>
          <w:highlight w:val="white"/>
        </w:rPr>
        <w:t>Environmental Research and Public Health</w:t>
      </w:r>
      <w:r w:rsidRPr="00D31B29">
        <w:rPr>
          <w:color w:val="222222"/>
          <w:highlight w:val="white"/>
        </w:rPr>
        <w:t xml:space="preserve">, </w:t>
      </w:r>
      <w:r w:rsidRPr="00D31B29">
        <w:rPr>
          <w:i/>
          <w:iCs/>
          <w:color w:val="222222"/>
          <w:highlight w:val="white"/>
        </w:rPr>
        <w:t>21</w:t>
      </w:r>
      <w:r w:rsidRPr="00D31B29">
        <w:rPr>
          <w:color w:val="222222"/>
          <w:highlight w:val="white"/>
        </w:rPr>
        <w:t>(11), p.1531.</w:t>
      </w:r>
    </w:p>
    <w:p w14:paraId="389C01F0" w14:textId="77777777" w:rsidR="00B261EA" w:rsidRPr="00D31B29" w:rsidRDefault="006377C2">
      <w:pPr>
        <w:spacing w:after="240"/>
        <w:rPr>
          <w:color w:val="222222"/>
          <w:highlight w:val="white"/>
        </w:rPr>
      </w:pPr>
      <w:r w:rsidRPr="00D31B29">
        <w:rPr>
          <w:color w:val="222222"/>
          <w:highlight w:val="white"/>
        </w:rPr>
        <w:t xml:space="preserve">Chen, X., Yang, C. and Lin, Z., 2026. Comparative Safety Analysis of Hydromorphone and Morphone Sulfate: Evidence from the 2004–2024 FAERS. </w:t>
      </w:r>
      <w:r w:rsidRPr="00D31B29">
        <w:rPr>
          <w:i/>
          <w:iCs/>
          <w:color w:val="222222"/>
          <w:highlight w:val="white"/>
        </w:rPr>
        <w:t>Journal of Pain Research</w:t>
      </w:r>
      <w:r w:rsidRPr="00D31B29">
        <w:rPr>
          <w:color w:val="222222"/>
          <w:highlight w:val="white"/>
        </w:rPr>
        <w:t>, pp.1-22.</w:t>
      </w:r>
    </w:p>
    <w:p w14:paraId="54031C4E" w14:textId="77777777" w:rsidR="00D31B29" w:rsidRPr="00D31B29" w:rsidRDefault="00D31B29">
      <w:pPr>
        <w:spacing w:after="240"/>
        <w:rPr>
          <w:color w:val="222222"/>
          <w:highlight w:val="white"/>
        </w:rPr>
      </w:pPr>
      <w:r w:rsidRPr="00D31B29">
        <w:rPr>
          <w:color w:val="222222"/>
          <w:shd w:val="clear" w:color="auto" w:fill="FFFFFF"/>
        </w:rPr>
        <w:t>Clark, C. and Mcquade, K., 2024. The Making of Zelensky's Leadership: The Man or the Crisis?. In </w:t>
      </w:r>
      <w:r w:rsidRPr="00D31B29">
        <w:rPr>
          <w:i/>
          <w:iCs/>
          <w:color w:val="222222"/>
          <w:shd w:val="clear" w:color="auto" w:fill="FFFFFF"/>
        </w:rPr>
        <w:t>Leadership During a Crisis</w:t>
      </w:r>
      <w:r w:rsidRPr="00D31B29">
        <w:rPr>
          <w:color w:val="222222"/>
          <w:shd w:val="clear" w:color="auto" w:fill="FFFFFF"/>
        </w:rPr>
        <w:t> (pp. 106-119). Routledge.</w:t>
      </w:r>
    </w:p>
    <w:p w14:paraId="1661C2D7" w14:textId="77777777" w:rsidR="00B261EA" w:rsidRPr="00D31B29" w:rsidRDefault="006377C2">
      <w:pPr>
        <w:spacing w:after="240"/>
        <w:rPr>
          <w:color w:val="222222"/>
          <w:highlight w:val="white"/>
        </w:rPr>
      </w:pPr>
      <w:r>
        <w:rPr>
          <w:color w:val="222222"/>
          <w:highlight w:val="white"/>
        </w:rPr>
        <w:t xml:space="preserve">Edelman, D.A., Duggan, L.V., Lockhart, S.L., Marshall, S.D., Turner, M.C. and Brewster, D.J., 2022. Prevalence and commonality of non‐technical skills and human factors </w:t>
      </w:r>
      <w:r w:rsidRPr="00D31B29">
        <w:rPr>
          <w:color w:val="222222"/>
          <w:highlight w:val="white"/>
        </w:rPr>
        <w:t xml:space="preserve">in airway management guidelines: a narrative review of the last 5 years. </w:t>
      </w:r>
      <w:r w:rsidRPr="00D31B29">
        <w:rPr>
          <w:i/>
          <w:iCs/>
          <w:color w:val="222222"/>
          <w:highlight w:val="white"/>
        </w:rPr>
        <w:t>Anaesthesia</w:t>
      </w:r>
      <w:r w:rsidRPr="00D31B29">
        <w:rPr>
          <w:color w:val="222222"/>
          <w:highlight w:val="white"/>
        </w:rPr>
        <w:t xml:space="preserve">, </w:t>
      </w:r>
      <w:r w:rsidRPr="00D31B29">
        <w:rPr>
          <w:i/>
          <w:iCs/>
          <w:color w:val="222222"/>
          <w:highlight w:val="white"/>
        </w:rPr>
        <w:t>77</w:t>
      </w:r>
      <w:r w:rsidRPr="00D31B29">
        <w:rPr>
          <w:color w:val="222222"/>
          <w:highlight w:val="white"/>
        </w:rPr>
        <w:t>(10), pp.1129-1136.</w:t>
      </w:r>
    </w:p>
    <w:p w14:paraId="3F7C782A" w14:textId="77777777" w:rsidR="00D31B29" w:rsidRPr="00D31B29" w:rsidRDefault="00D31B29">
      <w:pPr>
        <w:spacing w:after="240"/>
        <w:rPr>
          <w:color w:val="222222"/>
          <w:highlight w:val="white"/>
        </w:rPr>
      </w:pPr>
      <w:r w:rsidRPr="00D31B29">
        <w:rPr>
          <w:color w:val="222222"/>
          <w:shd w:val="clear" w:color="auto" w:fill="FFFFFF"/>
        </w:rPr>
        <w:t>Eeckloo, K. and De Regge, M., 2023. Healthcare board leadership and governance: conceptual framings and controversies. In </w:t>
      </w:r>
      <w:r w:rsidRPr="00D31B29">
        <w:rPr>
          <w:i/>
          <w:iCs/>
          <w:color w:val="222222"/>
          <w:shd w:val="clear" w:color="auto" w:fill="FFFFFF"/>
        </w:rPr>
        <w:t>Research Handbook on Leadership in Healthcare</w:t>
      </w:r>
      <w:r w:rsidRPr="00D31B29">
        <w:rPr>
          <w:color w:val="222222"/>
          <w:shd w:val="clear" w:color="auto" w:fill="FFFFFF"/>
        </w:rPr>
        <w:t> (pp. 305-319). Edward Elgar Publishing.</w:t>
      </w:r>
    </w:p>
    <w:p w14:paraId="251AB6BB" w14:textId="77777777" w:rsidR="00B261EA" w:rsidRDefault="006377C2">
      <w:pPr>
        <w:spacing w:after="240"/>
        <w:rPr>
          <w:color w:val="222222"/>
          <w:highlight w:val="white"/>
        </w:rPr>
      </w:pPr>
      <w:r>
        <w:rPr>
          <w:color w:val="222222"/>
          <w:highlight w:val="white"/>
        </w:rPr>
        <w:t xml:space="preserve">Egala, B.S., Pradhan, A.K., Dey, P., Badarla, V. and Mohanty, S.P., 2023. Fortified-chain 2.0: Intelligent blockchain for decentralized smart healthcare system. </w:t>
      </w:r>
      <w:r>
        <w:rPr>
          <w:i/>
          <w:iCs/>
          <w:color w:val="222222"/>
          <w:highlight w:val="white"/>
        </w:rPr>
        <w:t>IEEE Internet of Things Journal</w:t>
      </w:r>
      <w:r>
        <w:rPr>
          <w:color w:val="222222"/>
          <w:highlight w:val="white"/>
        </w:rPr>
        <w:t xml:space="preserve">, </w:t>
      </w:r>
      <w:r>
        <w:rPr>
          <w:i/>
          <w:iCs/>
          <w:color w:val="222222"/>
          <w:highlight w:val="white"/>
        </w:rPr>
        <w:t>10</w:t>
      </w:r>
      <w:r>
        <w:rPr>
          <w:color w:val="222222"/>
          <w:highlight w:val="white"/>
        </w:rPr>
        <w:t>(14), pp.12308-12321.</w:t>
      </w:r>
    </w:p>
    <w:p w14:paraId="0CE0E4C0" w14:textId="77777777" w:rsidR="00B261EA" w:rsidRDefault="006377C2">
      <w:pPr>
        <w:spacing w:after="240"/>
        <w:rPr>
          <w:color w:val="222222"/>
          <w:highlight w:val="white"/>
        </w:rPr>
      </w:pPr>
      <w:r>
        <w:rPr>
          <w:color w:val="222222"/>
          <w:highlight w:val="white"/>
        </w:rPr>
        <w:t xml:space="preserve">Elkefi, S. and Asan, O., 2022. Digital twins for managing health care systems: rapid literature review. </w:t>
      </w:r>
      <w:r>
        <w:rPr>
          <w:i/>
          <w:iCs/>
          <w:color w:val="222222"/>
          <w:highlight w:val="white"/>
        </w:rPr>
        <w:t>Journal of medical Internet research</w:t>
      </w:r>
      <w:r>
        <w:rPr>
          <w:color w:val="222222"/>
          <w:highlight w:val="white"/>
        </w:rPr>
        <w:t xml:space="preserve">, </w:t>
      </w:r>
      <w:r>
        <w:rPr>
          <w:i/>
          <w:iCs/>
          <w:color w:val="222222"/>
          <w:highlight w:val="white"/>
        </w:rPr>
        <w:t>24</w:t>
      </w:r>
      <w:r>
        <w:rPr>
          <w:color w:val="222222"/>
          <w:highlight w:val="white"/>
        </w:rPr>
        <w:t>(8), p.e37641.</w:t>
      </w:r>
    </w:p>
    <w:p w14:paraId="2AB451CC" w14:textId="77777777" w:rsidR="00B261EA" w:rsidRDefault="006377C2">
      <w:pPr>
        <w:spacing w:after="240"/>
        <w:rPr>
          <w:color w:val="222222"/>
          <w:highlight w:val="white"/>
        </w:rPr>
      </w:pPr>
      <w:r>
        <w:rPr>
          <w:color w:val="222222"/>
          <w:highlight w:val="white"/>
        </w:rPr>
        <w:lastRenderedPageBreak/>
        <w:t>Elliott, R.A., Camacho, E., Campbell, F., Jankovic, D., Martyn-St James, M., Kaltenthaler, E., Wong, R., Sculpher, M. and Faria, R., 2024. Prevalence and economic burden of medication errors in the NHS in England: rapid evidence synthesis and economic analysis of the prevalence and burden of medication error in the UK.</w:t>
      </w:r>
    </w:p>
    <w:p w14:paraId="62B2D3DA" w14:textId="77777777" w:rsidR="00B261EA" w:rsidRDefault="006377C2">
      <w:pPr>
        <w:spacing w:after="240"/>
        <w:rPr>
          <w:color w:val="222222"/>
          <w:highlight w:val="white"/>
        </w:rPr>
      </w:pPr>
      <w:r>
        <w:rPr>
          <w:color w:val="222222"/>
          <w:highlight w:val="white"/>
        </w:rPr>
        <w:t xml:space="preserve">Evans, D., 2022. So close to love: compassionate leadership in healthcare. </w:t>
      </w:r>
      <w:r>
        <w:rPr>
          <w:i/>
          <w:iCs/>
          <w:color w:val="222222"/>
          <w:highlight w:val="white"/>
        </w:rPr>
        <w:t>British Journal of Healthcare Management</w:t>
      </w:r>
      <w:r>
        <w:rPr>
          <w:color w:val="222222"/>
          <w:highlight w:val="white"/>
        </w:rPr>
        <w:t xml:space="preserve">, </w:t>
      </w:r>
      <w:r>
        <w:rPr>
          <w:i/>
          <w:iCs/>
          <w:color w:val="222222"/>
          <w:highlight w:val="white"/>
        </w:rPr>
        <w:t>28</w:t>
      </w:r>
      <w:r>
        <w:rPr>
          <w:color w:val="222222"/>
          <w:highlight w:val="white"/>
        </w:rPr>
        <w:t>(4), pp.1-8.</w:t>
      </w:r>
    </w:p>
    <w:p w14:paraId="01763CBF" w14:textId="77777777" w:rsidR="00B261EA" w:rsidRDefault="006377C2">
      <w:pPr>
        <w:spacing w:after="240"/>
        <w:rPr>
          <w:color w:val="222222"/>
          <w:highlight w:val="white"/>
        </w:rPr>
      </w:pPr>
      <w:r>
        <w:rPr>
          <w:color w:val="222222"/>
          <w:highlight w:val="white"/>
        </w:rPr>
        <w:t xml:space="preserve">Grimes, T.C. and Guinan, E.M., 2023. Interprofessional education focused on medication safety: a systematic review. </w:t>
      </w:r>
      <w:r>
        <w:rPr>
          <w:i/>
          <w:iCs/>
          <w:color w:val="222222"/>
          <w:highlight w:val="white"/>
        </w:rPr>
        <w:t>Journal of Interprofessional Care</w:t>
      </w:r>
      <w:r>
        <w:rPr>
          <w:color w:val="222222"/>
          <w:highlight w:val="white"/>
        </w:rPr>
        <w:t xml:space="preserve">, </w:t>
      </w:r>
      <w:r>
        <w:rPr>
          <w:i/>
          <w:iCs/>
          <w:color w:val="222222"/>
          <w:highlight w:val="white"/>
        </w:rPr>
        <w:t>37</w:t>
      </w:r>
      <w:r>
        <w:rPr>
          <w:color w:val="222222"/>
          <w:highlight w:val="white"/>
        </w:rPr>
        <w:t>(1), pp.131-149.</w:t>
      </w:r>
    </w:p>
    <w:p w14:paraId="30052A1A" w14:textId="77777777" w:rsidR="00B261EA" w:rsidRDefault="006377C2">
      <w:pPr>
        <w:spacing w:after="240"/>
      </w:pPr>
      <w:r>
        <w:t xml:space="preserve">HSSIB (2026). </w:t>
      </w:r>
      <w:r>
        <w:rPr>
          <w:i/>
          <w:iCs/>
        </w:rPr>
        <w:t xml:space="preserve">Unintentional overdose of morphine sulfate oral solution. </w:t>
      </w:r>
      <w:r>
        <w:t xml:space="preserve">Available at: </w:t>
      </w:r>
      <w:hyperlink r:id="rId15">
        <w:r>
          <w:rPr>
            <w:color w:val="1155CC"/>
            <w:u w:val="single"/>
          </w:rPr>
          <w:t>https://www.hssib.org.uk/patient-safety-investigations/unintentional-overdose-of-morphine-sulfate-oral-solution/investigation-report/?utm_source=chatgpt.com</w:t>
        </w:r>
      </w:hyperlink>
      <w:r>
        <w:t>. [Accessed on: 04.04.2026].</w:t>
      </w:r>
    </w:p>
    <w:p w14:paraId="512D028F" w14:textId="77777777" w:rsidR="00B261EA" w:rsidRDefault="006377C2">
      <w:pPr>
        <w:spacing w:after="240"/>
        <w:rPr>
          <w:color w:val="222222"/>
          <w:highlight w:val="white"/>
        </w:rPr>
      </w:pPr>
      <w:r>
        <w:rPr>
          <w:color w:val="222222"/>
          <w:highlight w:val="white"/>
        </w:rPr>
        <w:t xml:space="preserve">Jones, M.D., Liu, S., Powell, F., Samsor, A., Ting, F.C.R., Veliotis, N., Wong, Y.M., Franklin, B.D. and Garfield, S., 2024. Exploring the role of guidelines in contributing to medication errors: a descriptive analysis of national patient safety incident data. </w:t>
      </w:r>
      <w:r>
        <w:rPr>
          <w:i/>
          <w:iCs/>
          <w:color w:val="222222"/>
          <w:highlight w:val="white"/>
        </w:rPr>
        <w:t>Drug Safety</w:t>
      </w:r>
      <w:r>
        <w:rPr>
          <w:color w:val="222222"/>
          <w:highlight w:val="white"/>
        </w:rPr>
        <w:t xml:space="preserve">, </w:t>
      </w:r>
      <w:r>
        <w:rPr>
          <w:i/>
          <w:iCs/>
          <w:color w:val="222222"/>
          <w:highlight w:val="white"/>
        </w:rPr>
        <w:t>47</w:t>
      </w:r>
      <w:r>
        <w:rPr>
          <w:color w:val="222222"/>
          <w:highlight w:val="white"/>
        </w:rPr>
        <w:t>(4), pp.389-400.</w:t>
      </w:r>
    </w:p>
    <w:p w14:paraId="46C8087F" w14:textId="77777777" w:rsidR="00B261EA" w:rsidRDefault="006377C2">
      <w:pPr>
        <w:spacing w:after="240"/>
        <w:rPr>
          <w:color w:val="222222"/>
          <w:highlight w:val="white"/>
        </w:rPr>
      </w:pPr>
      <w:r>
        <w:rPr>
          <w:color w:val="222222"/>
          <w:highlight w:val="white"/>
        </w:rPr>
        <w:t xml:space="preserve">Jones, M.D., Liu, S., Powell, F., Samsor, A., Ting, F.C.R., Veliotis, N., Wong, Y.M., Franklin, B.D. and Garfield, S., 2024. Exploring the role of guidelines in contributing to medication errors: a descriptive analysis of national patient safety incident data. </w:t>
      </w:r>
      <w:r>
        <w:rPr>
          <w:i/>
          <w:iCs/>
          <w:color w:val="222222"/>
          <w:highlight w:val="white"/>
        </w:rPr>
        <w:t>Drug Safety</w:t>
      </w:r>
      <w:r>
        <w:rPr>
          <w:color w:val="222222"/>
          <w:highlight w:val="white"/>
        </w:rPr>
        <w:t xml:space="preserve">, </w:t>
      </w:r>
      <w:r>
        <w:rPr>
          <w:i/>
          <w:iCs/>
          <w:color w:val="222222"/>
          <w:highlight w:val="white"/>
        </w:rPr>
        <w:t>47</w:t>
      </w:r>
      <w:r>
        <w:rPr>
          <w:color w:val="222222"/>
          <w:highlight w:val="white"/>
        </w:rPr>
        <w:t>(4), pp.389-400.</w:t>
      </w:r>
    </w:p>
    <w:p w14:paraId="02FAB886" w14:textId="77777777" w:rsidR="00B261EA" w:rsidRDefault="006377C2">
      <w:pPr>
        <w:spacing w:after="240"/>
        <w:rPr>
          <w:color w:val="222222"/>
          <w:highlight w:val="white"/>
        </w:rPr>
      </w:pPr>
      <w:r>
        <w:rPr>
          <w:color w:val="222222"/>
          <w:highlight w:val="white"/>
        </w:rPr>
        <w:t xml:space="preserve">Kakemam, E., Mardani, A., Parsarad, E., Taheri, R., Moosavi, S., Kalhor, R. and Roh, Y.S., 2025. The impact of nurses’ perceptions of systems thinking on patient safety competencies: a cross-sectional study. </w:t>
      </w:r>
      <w:r>
        <w:rPr>
          <w:i/>
          <w:iCs/>
          <w:color w:val="222222"/>
          <w:highlight w:val="white"/>
        </w:rPr>
        <w:t>BMC Health Services Research</w:t>
      </w:r>
      <w:r>
        <w:rPr>
          <w:color w:val="222222"/>
          <w:highlight w:val="white"/>
        </w:rPr>
        <w:t xml:space="preserve">, </w:t>
      </w:r>
      <w:r>
        <w:rPr>
          <w:i/>
          <w:iCs/>
          <w:color w:val="222222"/>
          <w:highlight w:val="white"/>
        </w:rPr>
        <w:t>25</w:t>
      </w:r>
      <w:r>
        <w:rPr>
          <w:color w:val="222222"/>
          <w:highlight w:val="white"/>
        </w:rPr>
        <w:t>(1), p.1233.</w:t>
      </w:r>
    </w:p>
    <w:p w14:paraId="67858B9F" w14:textId="77777777" w:rsidR="00B261EA" w:rsidRDefault="006377C2">
      <w:pPr>
        <w:spacing w:after="240"/>
        <w:rPr>
          <w:color w:val="222222"/>
          <w:highlight w:val="white"/>
        </w:rPr>
      </w:pPr>
      <w:r>
        <w:rPr>
          <w:color w:val="222222"/>
          <w:highlight w:val="white"/>
        </w:rPr>
        <w:t xml:space="preserve">Kasralikar, P., Polu, O.R., Chamarthi, B., Rupavath, R.V.S.S.B., Patel, S. and Tumati, R., 2025. Blockchain for securing AI-driven healthcare systems: a systematic review and future research perspectives. </w:t>
      </w:r>
      <w:r>
        <w:rPr>
          <w:i/>
          <w:iCs/>
          <w:color w:val="222222"/>
          <w:highlight w:val="white"/>
        </w:rPr>
        <w:t>Cureus</w:t>
      </w:r>
      <w:r>
        <w:rPr>
          <w:color w:val="222222"/>
          <w:highlight w:val="white"/>
        </w:rPr>
        <w:t xml:space="preserve">, </w:t>
      </w:r>
      <w:r>
        <w:rPr>
          <w:i/>
          <w:iCs/>
          <w:color w:val="222222"/>
          <w:highlight w:val="white"/>
        </w:rPr>
        <w:t>17</w:t>
      </w:r>
      <w:r>
        <w:rPr>
          <w:color w:val="222222"/>
          <w:highlight w:val="white"/>
        </w:rPr>
        <w:t>(4).</w:t>
      </w:r>
    </w:p>
    <w:p w14:paraId="094A53A5" w14:textId="77777777" w:rsidR="00B261EA" w:rsidRDefault="006377C2">
      <w:pPr>
        <w:spacing w:after="240"/>
        <w:rPr>
          <w:color w:val="222222"/>
          <w:highlight w:val="white"/>
        </w:rPr>
      </w:pPr>
      <w:r>
        <w:rPr>
          <w:color w:val="222222"/>
          <w:highlight w:val="white"/>
        </w:rPr>
        <w:t xml:space="preserve">Kataria, S., Roberts, C.J., Dupaquier, M.M., Arya, P., Sharpe, M., Shekoohi, S. and Kaye, A.D., 2025. Pharmacologic and Clinical Considerations of Morphine. In </w:t>
      </w:r>
      <w:r>
        <w:rPr>
          <w:i/>
          <w:iCs/>
          <w:color w:val="222222"/>
          <w:highlight w:val="white"/>
        </w:rPr>
        <w:lastRenderedPageBreak/>
        <w:t>Outpatient Opioid Prescribing for Chronic Pain: Essentials of Safe and Effective Treatment</w:t>
      </w:r>
      <w:r>
        <w:rPr>
          <w:color w:val="222222"/>
          <w:highlight w:val="white"/>
        </w:rPr>
        <w:t xml:space="preserve"> (pp. 103-119). Cham: Springer Nature Switzerland.</w:t>
      </w:r>
    </w:p>
    <w:p w14:paraId="0377953F" w14:textId="77777777" w:rsidR="00B261EA" w:rsidRDefault="006377C2">
      <w:pPr>
        <w:spacing w:after="240"/>
        <w:rPr>
          <w:color w:val="222222"/>
          <w:highlight w:val="white"/>
        </w:rPr>
      </w:pPr>
      <w:r>
        <w:rPr>
          <w:color w:val="222222"/>
          <w:highlight w:val="white"/>
        </w:rPr>
        <w:t xml:space="preserve">Lee, W. and Jang, I., 2023. Effect of nurses’ professionalism, work environment, and communication with health professionals on patient safety culture (AHRQ 2.0.): a cross‐sectional multicenter study. </w:t>
      </w:r>
      <w:r>
        <w:rPr>
          <w:i/>
          <w:iCs/>
          <w:color w:val="222222"/>
          <w:highlight w:val="white"/>
        </w:rPr>
        <w:t>Journal of Nursing Management</w:t>
      </w:r>
      <w:r>
        <w:rPr>
          <w:color w:val="222222"/>
          <w:highlight w:val="white"/>
        </w:rPr>
        <w:t xml:space="preserve">, </w:t>
      </w:r>
      <w:r>
        <w:rPr>
          <w:i/>
          <w:iCs/>
          <w:color w:val="222222"/>
          <w:highlight w:val="white"/>
        </w:rPr>
        <w:t>2023</w:t>
      </w:r>
      <w:r>
        <w:rPr>
          <w:color w:val="222222"/>
          <w:highlight w:val="white"/>
        </w:rPr>
        <w:t>(1), p.1591128.</w:t>
      </w:r>
    </w:p>
    <w:p w14:paraId="1DA53D1F" w14:textId="77777777" w:rsidR="00B261EA" w:rsidRDefault="006377C2">
      <w:pPr>
        <w:spacing w:after="240"/>
        <w:rPr>
          <w:color w:val="222222"/>
          <w:highlight w:val="white"/>
        </w:rPr>
      </w:pPr>
      <w:r>
        <w:rPr>
          <w:color w:val="222222"/>
          <w:highlight w:val="white"/>
        </w:rPr>
        <w:t xml:space="preserve">Mistri, I.U., Badge, A. and Shahu, S., 2023. Enhancing patient safety culture in hospitals. </w:t>
      </w:r>
      <w:r>
        <w:rPr>
          <w:i/>
          <w:iCs/>
          <w:color w:val="222222"/>
          <w:highlight w:val="white"/>
        </w:rPr>
        <w:t>Cureus</w:t>
      </w:r>
      <w:r>
        <w:rPr>
          <w:color w:val="222222"/>
          <w:highlight w:val="white"/>
        </w:rPr>
        <w:t xml:space="preserve">, </w:t>
      </w:r>
      <w:r>
        <w:rPr>
          <w:i/>
          <w:iCs/>
          <w:color w:val="222222"/>
          <w:highlight w:val="white"/>
        </w:rPr>
        <w:t>15</w:t>
      </w:r>
      <w:r>
        <w:rPr>
          <w:color w:val="222222"/>
          <w:highlight w:val="white"/>
        </w:rPr>
        <w:t>(12), p.e51159.</w:t>
      </w:r>
    </w:p>
    <w:p w14:paraId="6726A0AE" w14:textId="77777777" w:rsidR="00B261EA" w:rsidRDefault="006377C2">
      <w:pPr>
        <w:spacing w:after="240"/>
        <w:rPr>
          <w:highlight w:val="white"/>
        </w:rPr>
      </w:pPr>
      <w:r>
        <w:rPr>
          <w:color w:val="222222"/>
          <w:highlight w:val="white"/>
        </w:rPr>
        <w:t xml:space="preserve">NHS England (2026). </w:t>
      </w:r>
      <w:r>
        <w:rPr>
          <w:i/>
          <w:iCs/>
          <w:color w:val="222222"/>
          <w:highlight w:val="white"/>
        </w:rPr>
        <w:t xml:space="preserve">Patient Safety Data. </w:t>
      </w:r>
      <w:r>
        <w:t xml:space="preserve">Available at: </w:t>
      </w:r>
      <w:hyperlink r:id="rId16">
        <w:r>
          <w:rPr>
            <w:color w:val="1155CC"/>
            <w:u w:val="single"/>
          </w:rPr>
          <w:t>https://www.england.nhs.uk/statistics/statistical-work-areas/patient-safety-data/</w:t>
        </w:r>
      </w:hyperlink>
      <w:r>
        <w:t>. [Accessed on: 04.04.2026].</w:t>
      </w:r>
    </w:p>
    <w:p w14:paraId="4FEF2BEB" w14:textId="77777777" w:rsidR="00B261EA" w:rsidRDefault="006377C2">
      <w:pPr>
        <w:spacing w:after="240"/>
        <w:rPr>
          <w:color w:val="222222"/>
          <w:highlight w:val="white"/>
        </w:rPr>
      </w:pPr>
      <w:r>
        <w:rPr>
          <w:color w:val="222222"/>
          <w:highlight w:val="white"/>
        </w:rPr>
        <w:t xml:space="preserve">Pearson, M., Mohamed, A., Bajwah, S., Fallon, M.T., Date, K., Williams, B., Currow, D.C. and Johnson, M.J., 2025. What enables the safe prescription and monitoring of morphine for chronic breathlessness? Insights from a Normalisation Process Theory-informed implementation survey and interviews with clinicians. </w:t>
      </w:r>
      <w:r>
        <w:rPr>
          <w:i/>
          <w:iCs/>
          <w:color w:val="222222"/>
          <w:highlight w:val="white"/>
        </w:rPr>
        <w:t>MedRxiv</w:t>
      </w:r>
      <w:r>
        <w:rPr>
          <w:color w:val="222222"/>
          <w:highlight w:val="white"/>
        </w:rPr>
        <w:t>, pp.2025-06.</w:t>
      </w:r>
    </w:p>
    <w:p w14:paraId="2574C81D" w14:textId="77777777" w:rsidR="00B261EA" w:rsidRDefault="006377C2">
      <w:pPr>
        <w:spacing w:after="240"/>
        <w:rPr>
          <w:color w:val="222222"/>
          <w:highlight w:val="white"/>
        </w:rPr>
      </w:pPr>
      <w:r>
        <w:rPr>
          <w:color w:val="222222"/>
          <w:highlight w:val="white"/>
        </w:rPr>
        <w:t xml:space="preserve">Pereira, S.C.D.A., Ribeiro, O.M.P.L., Fassarella, C.S. and Santos, E.J.F., 2024. The impact of nursing practice environments on patient safety culture in primary health care: a scoping review. </w:t>
      </w:r>
      <w:r>
        <w:rPr>
          <w:i/>
          <w:iCs/>
          <w:color w:val="222222"/>
          <w:highlight w:val="white"/>
        </w:rPr>
        <w:t>BJGP open</w:t>
      </w:r>
      <w:r>
        <w:rPr>
          <w:color w:val="222222"/>
          <w:highlight w:val="white"/>
        </w:rPr>
        <w:t xml:space="preserve">, </w:t>
      </w:r>
      <w:r>
        <w:rPr>
          <w:i/>
          <w:iCs/>
          <w:color w:val="222222"/>
          <w:highlight w:val="white"/>
        </w:rPr>
        <w:t>8</w:t>
      </w:r>
      <w:r>
        <w:rPr>
          <w:color w:val="222222"/>
          <w:highlight w:val="white"/>
        </w:rPr>
        <w:t>(1), pp.BJGPO-2023.</w:t>
      </w:r>
    </w:p>
    <w:p w14:paraId="0C2DD00A" w14:textId="77777777" w:rsidR="00B261EA" w:rsidRDefault="006377C2">
      <w:pPr>
        <w:spacing w:after="240"/>
        <w:rPr>
          <w:color w:val="222222"/>
          <w:highlight w:val="white"/>
        </w:rPr>
      </w:pPr>
      <w:r>
        <w:rPr>
          <w:color w:val="222222"/>
          <w:highlight w:val="white"/>
        </w:rPr>
        <w:t xml:space="preserve">Ramsay, A.I., Ramsay, A., Tomini, S.M., Tomini, S., Gandhi, S., Fulop, N.J., Fulop, N. and Morris, S., 2025. Centralisation of specialised healthcare services: a scoping review of definitions, types, and impact on outcomes. </w:t>
      </w:r>
      <w:r>
        <w:rPr>
          <w:i/>
          <w:iCs/>
          <w:color w:val="222222"/>
          <w:highlight w:val="white"/>
        </w:rPr>
        <w:t>Health and Social Care Delivery Research</w:t>
      </w:r>
      <w:r>
        <w:rPr>
          <w:color w:val="222222"/>
          <w:highlight w:val="white"/>
        </w:rPr>
        <w:t>, (43), pp.1-70.</w:t>
      </w:r>
    </w:p>
    <w:p w14:paraId="5492B865" w14:textId="77777777" w:rsidR="00B261EA" w:rsidRDefault="006377C2">
      <w:pPr>
        <w:spacing w:after="240"/>
        <w:rPr>
          <w:color w:val="222222"/>
          <w:highlight w:val="white"/>
        </w:rPr>
      </w:pPr>
      <w:r>
        <w:rPr>
          <w:color w:val="222222"/>
          <w:highlight w:val="white"/>
        </w:rPr>
        <w:t xml:space="preserve">Rolls, J., 2024. The transformational leader: The wellspring of the learning organization. In </w:t>
      </w:r>
      <w:r>
        <w:rPr>
          <w:i/>
          <w:iCs/>
          <w:color w:val="222222"/>
          <w:highlight w:val="white"/>
        </w:rPr>
        <w:t>Learning organizations</w:t>
      </w:r>
      <w:r>
        <w:rPr>
          <w:color w:val="222222"/>
          <w:highlight w:val="white"/>
        </w:rPr>
        <w:t xml:space="preserve"> (pp. 101-110). Productivity Press.</w:t>
      </w:r>
    </w:p>
    <w:p w14:paraId="1BB8CD57" w14:textId="77777777" w:rsidR="00B261EA" w:rsidRDefault="006377C2">
      <w:pPr>
        <w:spacing w:after="240"/>
        <w:rPr>
          <w:color w:val="222222"/>
          <w:highlight w:val="white"/>
        </w:rPr>
      </w:pPr>
      <w:r>
        <w:rPr>
          <w:color w:val="222222"/>
          <w:highlight w:val="white"/>
        </w:rPr>
        <w:t xml:space="preserve">Sapkota, S., Dhakal, A., Rushton, S., van Teijlingen, E., Marahatta, S.B., Balen, J. and Lee, A.C., 2023. The impact of decentralisation on health systems: a systematic review of reviews. </w:t>
      </w:r>
      <w:r>
        <w:rPr>
          <w:i/>
          <w:iCs/>
          <w:color w:val="222222"/>
          <w:highlight w:val="white"/>
        </w:rPr>
        <w:t>BMJ Global Health</w:t>
      </w:r>
      <w:r>
        <w:rPr>
          <w:color w:val="222222"/>
          <w:highlight w:val="white"/>
        </w:rPr>
        <w:t xml:space="preserve">, </w:t>
      </w:r>
      <w:r>
        <w:rPr>
          <w:i/>
          <w:iCs/>
          <w:color w:val="222222"/>
          <w:highlight w:val="white"/>
        </w:rPr>
        <w:t>8</w:t>
      </w:r>
      <w:r>
        <w:rPr>
          <w:color w:val="222222"/>
          <w:highlight w:val="white"/>
        </w:rPr>
        <w:t>(12).</w:t>
      </w:r>
    </w:p>
    <w:p w14:paraId="1BAA437F" w14:textId="77777777" w:rsidR="00B261EA" w:rsidRDefault="006377C2">
      <w:pPr>
        <w:spacing w:after="240"/>
        <w:rPr>
          <w:color w:val="222222"/>
          <w:highlight w:val="white"/>
        </w:rPr>
      </w:pPr>
      <w:r>
        <w:rPr>
          <w:color w:val="222222"/>
          <w:highlight w:val="white"/>
        </w:rPr>
        <w:lastRenderedPageBreak/>
        <w:t xml:space="preserve">Singh, A., Yeravdekar, R. and Jadhav, S., 2024. Investigating the influence of selected leadership styles on patient safety and quality of care: a systematic review and meta-analysis. </w:t>
      </w:r>
      <w:r>
        <w:rPr>
          <w:i/>
          <w:iCs/>
          <w:color w:val="222222"/>
          <w:highlight w:val="white"/>
        </w:rPr>
        <w:t>BMJ leader</w:t>
      </w:r>
      <w:r>
        <w:rPr>
          <w:color w:val="222222"/>
          <w:highlight w:val="white"/>
        </w:rPr>
        <w:t xml:space="preserve">, </w:t>
      </w:r>
      <w:r>
        <w:rPr>
          <w:i/>
          <w:iCs/>
          <w:color w:val="222222"/>
          <w:highlight w:val="white"/>
        </w:rPr>
        <w:t>8</w:t>
      </w:r>
      <w:r>
        <w:rPr>
          <w:color w:val="222222"/>
          <w:highlight w:val="white"/>
        </w:rPr>
        <w:t>(3).</w:t>
      </w:r>
    </w:p>
    <w:p w14:paraId="6DEC1E26" w14:textId="77777777" w:rsidR="00B261EA" w:rsidRDefault="006377C2">
      <w:pPr>
        <w:spacing w:after="240"/>
        <w:rPr>
          <w:color w:val="222222"/>
          <w:highlight w:val="white"/>
        </w:rPr>
      </w:pPr>
      <w:r>
        <w:rPr>
          <w:color w:val="222222"/>
          <w:highlight w:val="white"/>
        </w:rPr>
        <w:t xml:space="preserve">Stogiannos, N., Malik, R., Kumar, A., Barnes, A., Pogose, M., Harvey, H., McEntee, M.F. and Malamateniou, C., 2023. Black box no more: a scoping review of AI governance frameworks to guide procurement and adoption of AI in medical imaging and radiotherapy in the UK. </w:t>
      </w:r>
      <w:r>
        <w:rPr>
          <w:i/>
          <w:iCs/>
          <w:color w:val="222222"/>
          <w:highlight w:val="white"/>
        </w:rPr>
        <w:t>The British journal of radiology</w:t>
      </w:r>
      <w:r>
        <w:rPr>
          <w:color w:val="222222"/>
          <w:highlight w:val="white"/>
        </w:rPr>
        <w:t xml:space="preserve">, </w:t>
      </w:r>
      <w:r>
        <w:rPr>
          <w:i/>
          <w:iCs/>
          <w:color w:val="222222"/>
          <w:highlight w:val="white"/>
        </w:rPr>
        <w:t>96</w:t>
      </w:r>
      <w:r>
        <w:rPr>
          <w:color w:val="222222"/>
          <w:highlight w:val="white"/>
        </w:rPr>
        <w:t>(1152), p.20221157.</w:t>
      </w:r>
    </w:p>
    <w:p w14:paraId="164D8ECB" w14:textId="77777777" w:rsidR="00B261EA" w:rsidRDefault="006377C2">
      <w:pPr>
        <w:spacing w:after="240"/>
        <w:rPr>
          <w:color w:val="222222"/>
          <w:highlight w:val="white"/>
        </w:rPr>
      </w:pPr>
      <w:r>
        <w:rPr>
          <w:color w:val="222222"/>
          <w:highlight w:val="white"/>
        </w:rPr>
        <w:t xml:space="preserve">Tahir, F., McDonald, F., Sudan, A., Whittaker, B., Cartwright, J., Sawyer, M., Tweddle, M. and Parker, E., 2025. Assessing the environmental, financial, and social impact of immediate-release morphine tablets compared to oral morphine solution. </w:t>
      </w:r>
      <w:r>
        <w:rPr>
          <w:i/>
          <w:iCs/>
          <w:color w:val="222222"/>
          <w:highlight w:val="white"/>
        </w:rPr>
        <w:t>International Journal of Pharmacy Practice</w:t>
      </w:r>
      <w:r>
        <w:rPr>
          <w:color w:val="222222"/>
          <w:highlight w:val="white"/>
        </w:rPr>
        <w:t>, p.riaf104.</w:t>
      </w:r>
    </w:p>
    <w:p w14:paraId="386BC64E" w14:textId="77777777" w:rsidR="00B261EA" w:rsidRDefault="006377C2">
      <w:pPr>
        <w:spacing w:after="240"/>
        <w:rPr>
          <w:color w:val="222222"/>
          <w:highlight w:val="white"/>
        </w:rPr>
      </w:pPr>
      <w:r>
        <w:rPr>
          <w:color w:val="222222"/>
          <w:highlight w:val="white"/>
        </w:rPr>
        <w:t xml:space="preserve">Thapa, A., Gyawali, P. and Kalauni, D., 2026. Leadership strategies to foster innovation in healthcare organizations of the UK: a systematic review. </w:t>
      </w:r>
      <w:r>
        <w:rPr>
          <w:i/>
          <w:iCs/>
          <w:color w:val="222222"/>
          <w:highlight w:val="white"/>
        </w:rPr>
        <w:t>BMC Health Services Research</w:t>
      </w:r>
      <w:r>
        <w:rPr>
          <w:color w:val="222222"/>
          <w:highlight w:val="white"/>
        </w:rPr>
        <w:t>.</w:t>
      </w:r>
    </w:p>
    <w:p w14:paraId="19A37FE5" w14:textId="77777777" w:rsidR="00B261EA" w:rsidRDefault="006377C2">
      <w:pPr>
        <w:spacing w:after="240"/>
        <w:rPr>
          <w:color w:val="222222"/>
          <w:highlight w:val="white"/>
        </w:rPr>
      </w:pPr>
      <w:r>
        <w:rPr>
          <w:color w:val="222222"/>
          <w:highlight w:val="white"/>
        </w:rPr>
        <w:t xml:space="preserve">Thapa, A., Gyawali, P. and Kalauni, D., 2026. Leadership strategies to foster innovation in healthcare organizations of the UK: a systematic review. </w:t>
      </w:r>
      <w:r>
        <w:rPr>
          <w:i/>
          <w:iCs/>
          <w:color w:val="222222"/>
          <w:highlight w:val="white"/>
        </w:rPr>
        <w:t>BMC Health Services Research</w:t>
      </w:r>
      <w:r>
        <w:rPr>
          <w:color w:val="222222"/>
          <w:highlight w:val="white"/>
        </w:rPr>
        <w:t>.</w:t>
      </w:r>
    </w:p>
    <w:p w14:paraId="306E3AB3" w14:textId="77777777" w:rsidR="00B261EA" w:rsidRDefault="006377C2">
      <w:pPr>
        <w:spacing w:after="240"/>
        <w:rPr>
          <w:highlight w:val="white"/>
        </w:rPr>
      </w:pPr>
      <w:r>
        <w:rPr>
          <w:color w:val="222222"/>
          <w:highlight w:val="white"/>
        </w:rPr>
        <w:t xml:space="preserve">WHO (2026). </w:t>
      </w:r>
      <w:r>
        <w:rPr>
          <w:i/>
          <w:iCs/>
          <w:highlight w:val="white"/>
        </w:rPr>
        <w:t xml:space="preserve">Health systems governance. </w:t>
      </w:r>
      <w:r>
        <w:t xml:space="preserve">Available at: </w:t>
      </w:r>
      <w:hyperlink r:id="rId17" w:anchor="tab=tab_1">
        <w:r>
          <w:rPr>
            <w:color w:val="1155CC"/>
            <w:u w:val="single"/>
          </w:rPr>
          <w:t>https://www.who.int/health-topics/health-systems-governance#tab=tab_1</w:t>
        </w:r>
      </w:hyperlink>
      <w:r>
        <w:t>. [Accessed on: 04.04.2026].</w:t>
      </w:r>
    </w:p>
    <w:p w14:paraId="0FCEBBF3" w14:textId="77777777" w:rsidR="00B261EA" w:rsidRDefault="006377C2">
      <w:pPr>
        <w:spacing w:after="240"/>
        <w:rPr>
          <w:color w:val="222222"/>
          <w:highlight w:val="white"/>
        </w:rPr>
      </w:pPr>
      <w:r>
        <w:rPr>
          <w:color w:val="222222"/>
          <w:highlight w:val="white"/>
        </w:rPr>
        <w:t xml:space="preserve">Wood, D.P., Robinson, C.A., Nathan, R. and McPhillips, R., 2022. A study of the implementation of patient safety policies in the NHS in England since 2000: what can we learn?. </w:t>
      </w:r>
      <w:r>
        <w:rPr>
          <w:i/>
          <w:iCs/>
          <w:color w:val="222222"/>
          <w:highlight w:val="white"/>
        </w:rPr>
        <w:t>Journal of health organization and management</w:t>
      </w:r>
      <w:r>
        <w:rPr>
          <w:color w:val="222222"/>
          <w:highlight w:val="white"/>
        </w:rPr>
        <w:t xml:space="preserve">, </w:t>
      </w:r>
      <w:r>
        <w:rPr>
          <w:i/>
          <w:iCs/>
          <w:color w:val="222222"/>
          <w:highlight w:val="white"/>
        </w:rPr>
        <w:t>36</w:t>
      </w:r>
      <w:r>
        <w:rPr>
          <w:color w:val="222222"/>
          <w:highlight w:val="white"/>
        </w:rPr>
        <w:t>(5), pp.650-665.</w:t>
      </w:r>
    </w:p>
    <w:p w14:paraId="090D015E" w14:textId="77777777" w:rsidR="00B261EA" w:rsidRDefault="00B261EA">
      <w:pPr>
        <w:spacing w:after="240"/>
      </w:pPr>
    </w:p>
    <w:sectPr w:rsidR="00B261EA">
      <w:pgSz w:w="11900" w:h="16820"/>
      <w:pgMar w:top="1425" w:right="1380" w:bottom="1488" w:left="1437" w:header="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14844" w14:textId="77777777" w:rsidR="003C54B7" w:rsidRDefault="003C54B7">
      <w:pPr>
        <w:spacing w:line="240" w:lineRule="auto"/>
      </w:pPr>
      <w:r>
        <w:separator/>
      </w:r>
    </w:p>
  </w:endnote>
  <w:endnote w:type="continuationSeparator" w:id="0">
    <w:p w14:paraId="62DA3CFA" w14:textId="77777777" w:rsidR="003C54B7" w:rsidRDefault="003C54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embedItalic r:id="rId1" w:fontKey="{8CD69A71-DF8B-44F5-8E8E-5D52C5C4650F}"/>
  </w:font>
  <w:font w:name="Calibri">
    <w:panose1 w:val="020F0502020204030204"/>
    <w:charset w:val="00"/>
    <w:family w:val="swiss"/>
    <w:pitch w:val="variable"/>
    <w:sig w:usb0="E4002EFF" w:usb1="C200247B" w:usb2="00000009" w:usb3="00000000" w:csb0="000001FF" w:csb1="00000000"/>
    <w:embedRegular r:id="rId2" w:fontKey="{7FC9BFEC-B3A0-4544-B63A-ECAF7BA7276B}"/>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6C1CF5D9-496B-4C9A-AA29-0B9E163B40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712990"/>
      <w:docPartObj>
        <w:docPartGallery w:val="AutoText"/>
      </w:docPartObj>
    </w:sdtPr>
    <w:sdtContent>
      <w:p w14:paraId="484CCEEB" w14:textId="77777777" w:rsidR="00B261EA" w:rsidRDefault="006377C2">
        <w:pPr>
          <w:pStyle w:val="Footer"/>
          <w:jc w:val="right"/>
        </w:pPr>
        <w:r>
          <w:fldChar w:fldCharType="begin"/>
        </w:r>
        <w:r>
          <w:instrText xml:space="preserve"> PAGE   \* MERGEFORMAT </w:instrText>
        </w:r>
        <w:r>
          <w:fldChar w:fldCharType="separate"/>
        </w:r>
        <w:r w:rsidR="00D31B29">
          <w:rPr>
            <w:noProof/>
          </w:rPr>
          <w:t>20</w:t>
        </w:r>
        <w:r>
          <w:fldChar w:fldCharType="end"/>
        </w:r>
      </w:p>
    </w:sdtContent>
  </w:sdt>
  <w:p w14:paraId="45AAE364" w14:textId="77777777" w:rsidR="00B261EA" w:rsidRDefault="00B26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7513E" w14:textId="77777777" w:rsidR="003C54B7" w:rsidRDefault="003C54B7">
      <w:r>
        <w:separator/>
      </w:r>
    </w:p>
  </w:footnote>
  <w:footnote w:type="continuationSeparator" w:id="0">
    <w:p w14:paraId="72FD78BE" w14:textId="77777777" w:rsidR="003C54B7" w:rsidRDefault="003C54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A1C"/>
    <w:rsid w:val="00007A1C"/>
    <w:rsid w:val="000E7BDE"/>
    <w:rsid w:val="000F419C"/>
    <w:rsid w:val="001F5A30"/>
    <w:rsid w:val="003751B9"/>
    <w:rsid w:val="003C54B7"/>
    <w:rsid w:val="00466073"/>
    <w:rsid w:val="005969EE"/>
    <w:rsid w:val="006377C2"/>
    <w:rsid w:val="009216DC"/>
    <w:rsid w:val="00A5440F"/>
    <w:rsid w:val="00B261EA"/>
    <w:rsid w:val="00CF7B30"/>
    <w:rsid w:val="00D31B29"/>
    <w:rsid w:val="00FD5A8D"/>
    <w:rsid w:val="6AFD1A76"/>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6E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color w:val="0E101A"/>
      <w:sz w:val="24"/>
      <w:szCs w:val="24"/>
      <w:lang w:val="en-GB" w:eastAsia="en-GB"/>
    </w:rPr>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196"/>
      <w:ind w:left="12"/>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rPr>
      <w:rFonts w:cs="Mangal"/>
      <w:szCs w:val="21"/>
    </w:rPr>
  </w:style>
  <w:style w:type="paragraph" w:styleId="Header">
    <w:name w:val="header"/>
    <w:basedOn w:val="Normal"/>
    <w:link w:val="HeaderChar"/>
    <w:uiPriority w:val="99"/>
    <w:unhideWhenUsed/>
    <w:pPr>
      <w:tabs>
        <w:tab w:val="center" w:pos="4513"/>
        <w:tab w:val="right" w:pos="9026"/>
      </w:tabs>
      <w:spacing w:line="240" w:lineRule="auto"/>
    </w:pPr>
    <w:rPr>
      <w:rFonts w:cs="Mangal"/>
      <w:szCs w:val="21"/>
    </w:r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uiPriority w:val="10"/>
    <w:qFormat/>
    <w:pPr>
      <w:keepNext/>
      <w:keepLines/>
      <w:spacing w:before="480" w:after="120"/>
    </w:pPr>
    <w:rPr>
      <w:b/>
      <w:bCs/>
      <w:sz w:val="72"/>
      <w:szCs w:val="72"/>
    </w:rPr>
  </w:style>
  <w:style w:type="paragraph" w:styleId="TOC1">
    <w:name w:val="toc 1"/>
    <w:basedOn w:val="Normal"/>
    <w:next w:val="Normal"/>
    <w:autoRedefine/>
    <w:uiPriority w:val="39"/>
    <w:unhideWhenUsed/>
    <w:pPr>
      <w:spacing w:after="100"/>
    </w:pPr>
    <w:rPr>
      <w:rFonts w:cs="Mangal"/>
      <w:szCs w:val="21"/>
    </w:rPr>
  </w:style>
  <w:style w:type="paragraph" w:styleId="TOC2">
    <w:name w:val="toc 2"/>
    <w:basedOn w:val="Normal"/>
    <w:next w:val="Normal"/>
    <w:autoRedefine/>
    <w:uiPriority w:val="39"/>
    <w:unhideWhenUsed/>
    <w:pPr>
      <w:spacing w:after="100"/>
      <w:ind w:left="240"/>
    </w:pPr>
    <w:rPr>
      <w:rFonts w:cs="Mangal"/>
      <w:szCs w:val="21"/>
    </w:rPr>
  </w:style>
  <w:style w:type="table" w:customStyle="1" w:styleId="TableNormal0">
    <w:name w:val="TableNormal"/>
    <w:tblPr>
      <w:tblCellMar>
        <w:top w:w="100" w:type="dxa"/>
        <w:left w:w="100" w:type="dxa"/>
        <w:bottom w:w="100" w:type="dxa"/>
        <w:right w:w="100" w:type="dxa"/>
      </w:tblCellMar>
    </w:tblPr>
  </w:style>
  <w:style w:type="table" w:customStyle="1" w:styleId="Style12">
    <w:name w:val="_Style 12"/>
    <w:basedOn w:val="TableNormal0"/>
    <w:tblPr/>
  </w:style>
  <w:style w:type="table" w:customStyle="1" w:styleId="Style13">
    <w:name w:val="_Style 13"/>
    <w:basedOn w:val="TableNormal0"/>
    <w:tblPr/>
  </w:style>
  <w:style w:type="table" w:customStyle="1" w:styleId="Style14">
    <w:name w:val="_Style 14"/>
    <w:basedOn w:val="TableNormal0"/>
    <w:tblPr/>
  </w:style>
  <w:style w:type="table" w:customStyle="1" w:styleId="Style15">
    <w:name w:val="_Style 15"/>
    <w:basedOn w:val="TableNormal0"/>
    <w:tblPr/>
  </w:style>
  <w:style w:type="table" w:customStyle="1" w:styleId="Style16">
    <w:name w:val="_Style 16"/>
    <w:basedOn w:val="TableNormal0"/>
    <w:qFormat/>
    <w:tblPr/>
  </w:style>
  <w:style w:type="table" w:customStyle="1" w:styleId="Style18">
    <w:name w:val="_Style 18"/>
    <w:basedOn w:val="TableNormal0"/>
    <w:tblPr/>
  </w:style>
  <w:style w:type="table" w:customStyle="1" w:styleId="Style19">
    <w:name w:val="_Style 19"/>
    <w:basedOn w:val="TableNormal0"/>
    <w:tblPr/>
  </w:style>
  <w:style w:type="table" w:customStyle="1" w:styleId="Style20">
    <w:name w:val="_Style 20"/>
    <w:basedOn w:val="TableNormal0"/>
    <w:tblPr/>
  </w:style>
  <w:style w:type="table" w:customStyle="1" w:styleId="Style21">
    <w:name w:val="_Style 21"/>
    <w:basedOn w:val="TableNormal0"/>
    <w:tblPr/>
  </w:style>
  <w:style w:type="character" w:customStyle="1" w:styleId="HeaderChar">
    <w:name w:val="Header Char"/>
    <w:basedOn w:val="DefaultParagraphFont"/>
    <w:link w:val="Header"/>
    <w:uiPriority w:val="99"/>
    <w:rPr>
      <w:rFonts w:cs="Mangal"/>
      <w:szCs w:val="21"/>
    </w:rPr>
  </w:style>
  <w:style w:type="character" w:customStyle="1" w:styleId="FooterChar">
    <w:name w:val="Footer Char"/>
    <w:basedOn w:val="DefaultParagraphFont"/>
    <w:link w:val="Footer"/>
    <w:uiPriority w:val="99"/>
    <w:rPr>
      <w:rFonts w:cs="Mangal"/>
      <w:szCs w:val="21"/>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ho.int/health-topics/health-systems-governance" TargetMode="External"/><Relationship Id="rId2" Type="http://schemas.openxmlformats.org/officeDocument/2006/relationships/customXml" Target="../customXml/item2.xml"/><Relationship Id="rId16" Type="http://schemas.openxmlformats.org/officeDocument/2006/relationships/hyperlink" Target="https://www.england.nhs.uk/statistics/statistical-work-areas/patient-safety-da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ssib.org.uk/patient-safety-investigations/unintentional-overdose-of-morphine-sulfate-oral-solution/investigation-report/?utm_source=chatgpt.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GDjDjeNcQxrv2t+AlJGaV9VIYw==">CgMxLjAyDmguYTVodHF3ejNheGZlMg5oLmNuY3NybDZ6dG9uODIOaC5tNGlteW1qMXRiemIyDmguZGI1NDcwbTJ6NnhrMg5oLjF2cHN1M3ExeGlxbzIOaC4xdzJibXNiM2d6dW4yDmgud20wMGJpdHp4YnB6Mg5oLjU0OHc5bTdtYWxiaDIOaC52dHVxd3ZnYnd1ZHcyDmguZHM3Zmt2eGNrdW50OAByITF2ZUJmRjBQSzV0dkpaVy1HNmdGQ2xCdkpDbnJUNUZPRA==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4A30C84-A8BC-43B3-8D80-79B232C15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6770</Words>
  <Characters>38591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2026-04-04T12:39:00Z</dcterms:created>
  <dcterms:modified xsi:type="dcterms:W3CDTF">2026-04-21T01:05:00Z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49059D406F5F4BB0B33CC3E1F4346700_12</vt:lpwstr>
  </property>
</Properties>
</file>