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32981" w14:textId="77777777" w:rsidR="00490997" w:rsidRDefault="00490997" w:rsidP="00490997">
      <w:r>
        <w:t>Part 2.</w:t>
      </w:r>
    </w:p>
    <w:p w14:paraId="464C405C" w14:textId="77777777" w:rsidR="00490997" w:rsidRDefault="00490997" w:rsidP="00490997">
      <w:r>
        <w:t>This section examines the concept on the unique child and critically evaluates two different forms of assessment within play-based curricula. The Notice, Analyse and Respond (NAR) arrangements in the Welsh Non-Maintained Curriculum (WG, 2022) and Denmark’s use of pedagogical documentation and learning journals to support each child as an individual (Danish Ministry of Education, 2018). The Early Years Foundation Stage (DfE, 2025) describes the unique child as constantly learning, resilient, capable and self-assured. Similarly, Early Years Coalition (2021) positions the unique child as capable, motivated learners who shaped their own development. Siraj et al. (2023) emphasize that supporting the unique child principle requires practitioners to recognise individual strengths, needs and interests. This reflects Vygotsky’s (1978) view that learning is socially constructed and unique to each child’s experience, while Bronfenbrenner’s ecological systems theory (1979) highlights how individual development is shaped by the interactions across children’s environmental systems. However, interpretation of the unique child varies across curricular contexts due to cultural and societal belief about childhood learning and play (Dahlberg et al. 2013).</w:t>
      </w:r>
    </w:p>
    <w:p w14:paraId="764DE50E" w14:textId="77777777" w:rsidR="00490997" w:rsidRDefault="00490997" w:rsidP="00490997">
      <w:r>
        <w:t>The Welsh Non-maintained curriculum (WG,2022) recognises that every child is unique and promotes a holistic, play-based approach to assessment. The NAR arrangement position the child at the centre by encouraging practitioners to observe children’s play analyse what these reveals about their learning and respond by adapting provision to supports ongoing development. Welsh Government guidance emphasizes that observation should be grounded in strong knowledge of child development and used to understand the child’s interests, motivations and well-being, enabling meaningful planning and supporting authentic learning tailored for the unique child (WG, 2022).  This embodies the unique child be recognising development as individuals and varied rather than a measure of accountability (WG, 2024).</w:t>
      </w:r>
    </w:p>
    <w:p w14:paraId="25594FE9" w14:textId="77777777" w:rsidR="00490997" w:rsidRDefault="00490997" w:rsidP="00490997">
      <w:r>
        <w:t xml:space="preserve">Research suggests that responsive, observation-based assessment strengthens practitioners understanding of children’s interests and learning processes (Siraj et al. 2015; Pascal et al. 2018).  Bradbury (2019) argues that age related assessments systems can contribute to deficit labelling by positioning children against predetermined norms and reduces them to measurable data a process she links to </w:t>
      </w:r>
      <w:proofErr w:type="spellStart"/>
      <w:r>
        <w:t>schoolification</w:t>
      </w:r>
      <w:proofErr w:type="spellEnd"/>
      <w:r>
        <w:t xml:space="preserve"> of the early childhood education rather than unique individuals who develop at their own pace (Bradbury, 2019). Whereas NAR approach avoids this by embedding assessment within play, supporting a holistic and child-centred understanding of development and values the unique child.</w:t>
      </w:r>
    </w:p>
    <w:p w14:paraId="6E5B6101" w14:textId="77777777" w:rsidR="00490997" w:rsidRDefault="00490997" w:rsidP="00490997">
      <w:r>
        <w:t>However, the effectiveness of NAR is shaped by the capacity of the early year’s workforce. Ward’s (2025) workforce report highlights staff shortages, high workloads and limited time for reflective practice, meaning practitioners often struggle to complete observation</w:t>
      </w:r>
      <w:r>
        <w:rPr>
          <w:rFonts w:ascii="Cambria Math" w:hAnsi="Cambria Math" w:cs="Cambria Math"/>
        </w:rPr>
        <w:t>‑</w:t>
      </w:r>
      <w:r>
        <w:t>based assessment in the depth intended. Owston et al. (2024) similarly report that recruitment and retention challenges are placing pressure on settings, reducing the time practitioners have for high</w:t>
      </w:r>
      <w:r>
        <w:rPr>
          <w:rFonts w:ascii="Cambria Math" w:hAnsi="Cambria Math" w:cs="Cambria Math"/>
        </w:rPr>
        <w:t>‑</w:t>
      </w:r>
      <w:r>
        <w:t>quality interactions and making it harder to sustain consistent, reflective assessment practice.  As NAR is an observational assessment is also vulnerable to bias. Noor et al. (2023) identify the halo and horn effects as common bias in practitioners judgement, where existing perceptions of a child shape what is noticed and recorded, while Inner Drive (2026) argue that cognitive biases can unconsciously shape how practitioners interpret children’s behaviour when they are under pressure or feel the need to demonstrate progress. Bradbury and Roberts</w:t>
      </w:r>
      <w:r>
        <w:rPr>
          <w:rFonts w:ascii="Cambria Math" w:hAnsi="Cambria Math" w:cs="Cambria Math"/>
        </w:rPr>
        <w:t>‑</w:t>
      </w:r>
      <w:r>
        <w:t>Holmes (2017) highlight that accountability demands can lead to performative assessment rather than authentic documentation, and Osgood (2015) argues that regulatory requirements can pull practitioners away from children</w:t>
      </w:r>
      <w:r>
        <w:rPr>
          <w:rFonts w:ascii="Aptos" w:hAnsi="Aptos" w:cs="Aptos"/>
        </w:rPr>
        <w:t>’</w:t>
      </w:r>
      <w:r>
        <w:t xml:space="preserve">s play, limiting authentic opportunities </w:t>
      </w:r>
      <w:r>
        <w:lastRenderedPageBreak/>
        <w:t>to extend learning. Care Inspectorate Wales’s Inspection Framework places strong emphasis on documentation, record</w:t>
      </w:r>
      <w:r>
        <w:rPr>
          <w:rFonts w:ascii="Cambria Math" w:hAnsi="Cambria Math" w:cs="Cambria Math"/>
        </w:rPr>
        <w:t>‑</w:t>
      </w:r>
      <w:r>
        <w:t>keeping and evidence of compliance (CIW, 2023). These pressures shift purposeful and meaningful assessment towards compliance, and the unique child is longer is at the centre of practice, as practitioners have reduced capacity to notice children</w:t>
      </w:r>
      <w:r>
        <w:rPr>
          <w:rFonts w:ascii="Aptos" w:hAnsi="Aptos" w:cs="Aptos"/>
        </w:rPr>
        <w:t>’</w:t>
      </w:r>
      <w:r>
        <w:t>s interests, emotional cues and emerging needs within play.</w:t>
      </w:r>
    </w:p>
    <w:p w14:paraId="42A54884" w14:textId="77777777" w:rsidR="00490997" w:rsidRDefault="00490997" w:rsidP="00490997">
      <w:r>
        <w:t>In contrast, the Danish strengthened pedagogical curriculum recognises the unique child through how they engage with the environment, peers and the community Pedagogical documentation and learning journals are used to capture children experiences, perspectives and participation, emphasising autonomy, well-being and child voice (Danish Ministry for Education, 2018). This reflects Denmark’s wider cultural commitment to trust, independence and democratic practice, where children are viewed as active citizens rather than learners to be measured (Brostrom, 2017).</w:t>
      </w:r>
    </w:p>
    <w:p w14:paraId="59DBD22F" w14:textId="77777777" w:rsidR="00490997" w:rsidRDefault="00490997" w:rsidP="00490997">
      <w:r>
        <w:t>In comparison to Wales Denmark has virtually no formal assessment system for tracking children’s development. Learning journals are used to document meaningful moments, relationships and experiences, supporting rich, authentic learning without the pressure of accountability structures. These journals tend to focus on how the environments supports the child rather than evaluating the child against developmental expectations. This approach highly supports the principle of the unique child as it prioritises children lived experiences, autonomy and well-being over regulatory or guidance expectations. (Brostrom, 2017; Danish Ministry of Education, 2018).</w:t>
      </w:r>
    </w:p>
    <w:p w14:paraId="6BA43003" w14:textId="7832F3C1" w:rsidR="00490997" w:rsidRDefault="00490997" w:rsidP="00490997">
      <w:r>
        <w:t>Both Welsh and Danish approaches to assessment position the child as competent and capable, but they view the unique child in different ways. Wales uses NAR, as a structured formative cycle that supports consistency, early identification and clear evidence of progress, reflecting a wider emphasis on equity, accountability and quality assurance (WG, 22; ALNET 2018). The Welsh model offers clear expectations, values the child’s current stage of development and reduces the risk of emerging needs being overlooked, embodying the principle of the unique child by recognising development as an individual rather than as a measure of accountability (WG, 2024). However, in a pressured workforce it can become compliance</w:t>
      </w:r>
      <w:r>
        <w:rPr>
          <w:rFonts w:ascii="Cambria Math" w:hAnsi="Cambria Math" w:cs="Cambria Math"/>
        </w:rPr>
        <w:t>‑</w:t>
      </w:r>
      <w:r>
        <w:t>driven, with practitioners focusing on producing evidence rather than engaging meaningfully within children</w:t>
      </w:r>
      <w:r>
        <w:rPr>
          <w:rFonts w:ascii="Aptos" w:hAnsi="Aptos" w:cs="Aptos"/>
        </w:rPr>
        <w:t>’</w:t>
      </w:r>
      <w:r>
        <w:t xml:space="preserve">s play. Inspection framework for childcare and play in Wales places strong emphasis on documentation, record keeping and evidence of compliance (CIW, 2023) and the Early Years and Childcare Workforce Survey highlights staffing recruitment and retention, limited time for reflective practice, making this shift towards performance and compliance driven more likely in practice. (Social Care Wales, 2026). In contrast Denmark’s use of pedagogical documentation through learning journals viewing the unique child through relational pedagogy, prioritizing well-being and child participation, reflecting the cultural commitment they have in trust, autonomy and democratic practice (Danish Ministry of Education, 2018). Learning journals supports the unique child through rich, authentic learning experiences but the lack of structured systems in assessment of child development, may result in delayed identification of emerging needs. However, although there is lack of contemporary evidence to evaluate the impact of learning journals on immediate outcomes for children, international from UNICEF Office of Research (2025) and data from OECD child wee-being dashboard (2024) consistently places Denmark among the highest performing countries for child wellbeing and life satisfaction, while the Uk including Wales rank lower. This does not directly evidence early years assessment outcomes, but it does suggest Denmark’s broader and relational, autonomy focused approach may contribute to better long-term well-being. These </w:t>
      </w:r>
      <w:r>
        <w:lastRenderedPageBreak/>
        <w:t>differences highlight how the unique child is shaped by cultural values and policy priorities reinforcing the wider influences on implementation of assessment within the early year’s curricula and as discussed in Part 1.</w:t>
      </w:r>
    </w:p>
    <w:p w14:paraId="43BF44B6" w14:textId="14D2DB47" w:rsidR="009323DA" w:rsidRDefault="00490997" w:rsidP="00490997">
      <w:r>
        <w:t>In conclusion, by comparing learning journals and NAR as forms of early years assessment highlights how different pedagogical cultures interpret and implement the principle of the unique child. In Demark, fewer regulatory expectations and minimal documentation requirements enable practitioners to embrace the unique child more fully through relational, autonomy focused practice. This creates richer, more authentic opportunities and experiences for children to learn and grow. However, the lack of structured assessment system carries risk, include inconsistent implementation in practice and potential to miss identification of emerging needs. In contrast, Wales regulatory frameworks and guidance is designed to ensure quality, accountability and early identification providing clear expectations and consistency. However, these structured systems can unintentionally steer practice from child centred pedagogy, as paperwork and evidence of compliance take up practitioner’s time and attention. As a result, the principle of the unique child is lost to the demands of assessment systems that take priority. This raises an important question for earl years; how can systems balance the need for accountability and developmental oversight without allowing assessment processes to lose valuing the Unique child?</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97"/>
    <w:rsid w:val="00490997"/>
    <w:rsid w:val="009323DA"/>
    <w:rsid w:val="009E40E5"/>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36972"/>
  <w15:chartTrackingRefBased/>
  <w15:docId w15:val="{D7E15C90-D715-4396-8033-D7F66EC0D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9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9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9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9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9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9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97"/>
    <w:rPr>
      <w:rFonts w:eastAsiaTheme="majorEastAsia" w:cstheme="majorBidi"/>
      <w:color w:val="272727" w:themeColor="text1" w:themeTint="D8"/>
    </w:rPr>
  </w:style>
  <w:style w:type="paragraph" w:styleId="Title">
    <w:name w:val="Title"/>
    <w:basedOn w:val="Normal"/>
    <w:next w:val="Normal"/>
    <w:link w:val="TitleChar"/>
    <w:uiPriority w:val="10"/>
    <w:qFormat/>
    <w:rsid w:val="00490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9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9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97"/>
    <w:pPr>
      <w:spacing w:before="160"/>
      <w:jc w:val="center"/>
    </w:pPr>
    <w:rPr>
      <w:i/>
      <w:iCs/>
      <w:color w:val="404040" w:themeColor="text1" w:themeTint="BF"/>
    </w:rPr>
  </w:style>
  <w:style w:type="character" w:customStyle="1" w:styleId="QuoteChar">
    <w:name w:val="Quote Char"/>
    <w:basedOn w:val="DefaultParagraphFont"/>
    <w:link w:val="Quote"/>
    <w:uiPriority w:val="29"/>
    <w:rsid w:val="00490997"/>
    <w:rPr>
      <w:i/>
      <w:iCs/>
      <w:color w:val="404040" w:themeColor="text1" w:themeTint="BF"/>
    </w:rPr>
  </w:style>
  <w:style w:type="paragraph" w:styleId="ListParagraph">
    <w:name w:val="List Paragraph"/>
    <w:basedOn w:val="Normal"/>
    <w:uiPriority w:val="34"/>
    <w:qFormat/>
    <w:rsid w:val="00490997"/>
    <w:pPr>
      <w:ind w:left="720"/>
      <w:contextualSpacing/>
    </w:pPr>
  </w:style>
  <w:style w:type="character" w:styleId="IntenseEmphasis">
    <w:name w:val="Intense Emphasis"/>
    <w:basedOn w:val="DefaultParagraphFont"/>
    <w:uiPriority w:val="21"/>
    <w:qFormat/>
    <w:rsid w:val="00490997"/>
    <w:rPr>
      <w:i/>
      <w:iCs/>
      <w:color w:val="0F4761" w:themeColor="accent1" w:themeShade="BF"/>
    </w:rPr>
  </w:style>
  <w:style w:type="paragraph" w:styleId="IntenseQuote">
    <w:name w:val="Intense Quote"/>
    <w:basedOn w:val="Normal"/>
    <w:next w:val="Normal"/>
    <w:link w:val="IntenseQuoteChar"/>
    <w:uiPriority w:val="30"/>
    <w:qFormat/>
    <w:rsid w:val="004909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97"/>
    <w:rPr>
      <w:i/>
      <w:iCs/>
      <w:color w:val="0F4761" w:themeColor="accent1" w:themeShade="BF"/>
    </w:rPr>
  </w:style>
  <w:style w:type="character" w:styleId="IntenseReference">
    <w:name w:val="Intense Reference"/>
    <w:basedOn w:val="DefaultParagraphFont"/>
    <w:uiPriority w:val="32"/>
    <w:qFormat/>
    <w:rsid w:val="0049099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1427</Words>
  <Characters>8139</Characters>
  <Application>Microsoft Office Word</Application>
  <DocSecurity>0</DocSecurity>
  <Lines>67</Lines>
  <Paragraphs>19</Paragraphs>
  <ScaleCrop>false</ScaleCrop>
  <Company/>
  <LinksUpToDate>false</LinksUpToDate>
  <CharactersWithSpaces>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2026-06-14T16:59:00Z</dcterms:created>
  <dcterms:modified xsi:type="dcterms:W3CDTF">2026-06-14T17:00:00Z</dcterms:modified>
</cp:coreProperties>
</file>