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Normal"/>
        <w:tblW w:w="0" w:type="auto"/>
        <w:tblInd w:w="390" w:type="dxa"/>
        <w:tblLayout w:type="fixed"/>
        <w:tblLook w:val="06A0" w:firstRow="1" w:lastRow="0" w:firstColumn="1" w:lastColumn="0" w:noHBand="1" w:noVBand="1"/>
      </w:tblPr>
      <w:tblGrid>
        <w:gridCol w:w="1830"/>
        <w:gridCol w:w="3540"/>
        <w:gridCol w:w="1980"/>
        <w:gridCol w:w="1374"/>
      </w:tblGrid>
      <w:tr w:rsidR="2AD25726" w:rsidTr="2AD25726" w14:paraId="10FFA793">
        <w:trPr>
          <w:trHeight w:val="1095"/>
        </w:trPr>
        <w:tc>
          <w:tcPr>
            <w:tcW w:w="1830"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2AD25726" w:rsidP="2AD25726" w:rsidRDefault="2AD25726" w14:paraId="55DF8EE5" w14:textId="662A6DC0">
            <w:pPr>
              <w:jc w:val="both"/>
            </w:pPr>
            <w:r w:rsidRPr="2AD25726" w:rsidR="2AD25726">
              <w:rPr>
                <w:rFonts w:ascii="Arial" w:hAnsi="Arial" w:eastAsia="Arial" w:cs="Arial"/>
                <w:b w:val="1"/>
                <w:bCs w:val="1"/>
                <w:color w:val="000000" w:themeColor="text1" w:themeTint="FF" w:themeShade="FF"/>
                <w:sz w:val="24"/>
                <w:szCs w:val="24"/>
              </w:rPr>
              <w:t>Student name:</w:t>
            </w:r>
          </w:p>
        </w:tc>
        <w:tc>
          <w:tcPr>
            <w:tcW w:w="3540" w:type="dxa"/>
            <w:tcBorders>
              <w:top w:val="single" w:sz="8"/>
              <w:left w:val="single" w:sz="8"/>
              <w:bottom w:val="single" w:sz="8"/>
              <w:right w:val="single" w:sz="8"/>
            </w:tcBorders>
            <w:tcMar>
              <w:left w:w="108" w:type="dxa"/>
              <w:right w:w="108" w:type="dxa"/>
            </w:tcMar>
            <w:vAlign w:val="top"/>
          </w:tcPr>
          <w:p w:rsidR="2AD25726" w:rsidP="2AD25726" w:rsidRDefault="2AD25726" w14:paraId="4CE97C27" w14:textId="47606DAF">
            <w:pPr>
              <w:tabs>
                <w:tab w:val="left" w:leader="none" w:pos="2364"/>
              </w:tabs>
              <w:jc w:val="both"/>
            </w:pPr>
            <w:r w:rsidRPr="2AD25726" w:rsidR="2AD25726">
              <w:rPr>
                <w:rFonts w:ascii="Arial" w:hAnsi="Arial" w:eastAsia="Arial" w:cs="Arial"/>
                <w:b w:val="1"/>
                <w:bCs w:val="1"/>
                <w:sz w:val="24"/>
                <w:szCs w:val="24"/>
              </w:rPr>
              <w:t>Godfred minnow Yankey</w:t>
            </w:r>
          </w:p>
          <w:p w:rsidR="2AD25726" w:rsidP="2AD25726" w:rsidRDefault="2AD25726" w14:paraId="05980495" w14:textId="1436AA68">
            <w:pPr>
              <w:tabs>
                <w:tab w:val="left" w:leader="none" w:pos="2364"/>
              </w:tabs>
              <w:jc w:val="both"/>
            </w:pPr>
            <w:r w:rsidRPr="2AD25726" w:rsidR="2AD25726">
              <w:rPr>
                <w:rFonts w:ascii="Arial" w:hAnsi="Arial" w:eastAsia="Arial" w:cs="Arial"/>
                <w:b w:val="1"/>
                <w:bCs w:val="1"/>
                <w:sz w:val="24"/>
                <w:szCs w:val="24"/>
              </w:rPr>
              <w:t xml:space="preserve"> </w:t>
            </w:r>
          </w:p>
        </w:tc>
        <w:tc>
          <w:tcPr>
            <w:tcW w:w="1980"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2AD25726" w:rsidP="2AD25726" w:rsidRDefault="2AD25726" w14:paraId="3D48A883" w14:textId="4360851D">
            <w:pPr>
              <w:jc w:val="both"/>
            </w:pPr>
            <w:r w:rsidRPr="2AD25726" w:rsidR="2AD25726">
              <w:rPr>
                <w:rFonts w:ascii="Arial" w:hAnsi="Arial" w:eastAsia="Arial" w:cs="Arial"/>
                <w:b w:val="1"/>
                <w:bCs w:val="1"/>
                <w:color w:val="000000" w:themeColor="text1" w:themeTint="FF" w:themeShade="FF"/>
                <w:sz w:val="24"/>
                <w:szCs w:val="24"/>
              </w:rPr>
              <w:t>Student ID number:</w:t>
            </w:r>
          </w:p>
        </w:tc>
        <w:tc>
          <w:tcPr>
            <w:tcW w:w="1374" w:type="dxa"/>
            <w:tcBorders>
              <w:top w:val="single" w:sz="8"/>
              <w:left w:val="single" w:sz="8"/>
              <w:bottom w:val="single" w:sz="8"/>
              <w:right w:val="single" w:sz="8"/>
            </w:tcBorders>
            <w:tcMar>
              <w:left w:w="108" w:type="dxa"/>
              <w:right w:w="108" w:type="dxa"/>
            </w:tcMar>
            <w:vAlign w:val="top"/>
          </w:tcPr>
          <w:p w:rsidR="1B2854ED" w:rsidP="2AD25726" w:rsidRDefault="1B2854ED" w14:paraId="2D5B087F" w14:textId="70F191A5">
            <w:pPr>
              <w:jc w:val="both"/>
              <w:rPr>
                <w:rFonts w:ascii="Arial" w:hAnsi="Arial" w:eastAsia="Arial" w:cs="Arial"/>
                <w:b w:val="1"/>
                <w:bCs w:val="1"/>
                <w:sz w:val="24"/>
                <w:szCs w:val="24"/>
              </w:rPr>
            </w:pPr>
            <w:r w:rsidRPr="2AD25726" w:rsidR="1B2854ED">
              <w:rPr>
                <w:rFonts w:ascii="Arial" w:hAnsi="Arial" w:eastAsia="Arial" w:cs="Arial"/>
                <w:b w:val="1"/>
                <w:bCs w:val="1"/>
                <w:sz w:val="24"/>
                <w:szCs w:val="24"/>
              </w:rPr>
              <w:t>2212092</w:t>
            </w:r>
          </w:p>
        </w:tc>
      </w:tr>
      <w:tr w:rsidR="2AD25726" w:rsidTr="2AD25726" w14:paraId="57582EE1">
        <w:trPr>
          <w:trHeight w:val="615"/>
        </w:trPr>
        <w:tc>
          <w:tcPr>
            <w:tcW w:w="1830" w:type="dxa"/>
            <w:tcBorders>
              <w:top w:val="single" w:sz="8"/>
              <w:left w:val="single" w:sz="8"/>
              <w:bottom w:val="single" w:sz="8"/>
              <w:right w:val="single" w:sz="8"/>
            </w:tcBorders>
            <w:tcMar>
              <w:left w:w="108" w:type="dxa"/>
              <w:right w:w="108" w:type="dxa"/>
            </w:tcMar>
            <w:vAlign w:val="top"/>
          </w:tcPr>
          <w:p w:rsidR="2AD25726" w:rsidP="2AD25726" w:rsidRDefault="2AD25726" w14:paraId="4A2B0D94" w14:textId="0A5EA230">
            <w:pPr>
              <w:jc w:val="both"/>
            </w:pPr>
            <w:r w:rsidRPr="2AD25726" w:rsidR="2AD25726">
              <w:rPr>
                <w:rFonts w:ascii="Arial" w:hAnsi="Arial" w:eastAsia="Arial" w:cs="Arial"/>
                <w:b w:val="1"/>
                <w:bCs w:val="1"/>
                <w:sz w:val="24"/>
                <w:szCs w:val="24"/>
              </w:rPr>
              <w:t>Programme:</w:t>
            </w:r>
          </w:p>
        </w:tc>
        <w:tc>
          <w:tcPr>
            <w:tcW w:w="6894" w:type="dxa"/>
            <w:gridSpan w:val="3"/>
            <w:tcBorders>
              <w:top w:val="single" w:sz="8"/>
              <w:left w:val="single" w:sz="8"/>
              <w:bottom w:val="single" w:sz="8"/>
              <w:right w:val="single" w:sz="8"/>
            </w:tcBorders>
            <w:tcMar>
              <w:left w:w="108" w:type="dxa"/>
              <w:right w:w="108" w:type="dxa"/>
            </w:tcMar>
            <w:vAlign w:val="top"/>
          </w:tcPr>
          <w:p w:rsidR="2AD25726" w:rsidP="2AD25726" w:rsidRDefault="2AD25726" w14:paraId="001E1828" w14:textId="5905C309">
            <w:pPr>
              <w:jc w:val="both"/>
            </w:pPr>
            <w:r w:rsidRPr="2AD25726" w:rsidR="2AD25726">
              <w:rPr>
                <w:rFonts w:ascii="Arial" w:hAnsi="Arial" w:eastAsia="Arial" w:cs="Arial"/>
                <w:sz w:val="24"/>
                <w:szCs w:val="24"/>
              </w:rPr>
              <w:t>Higher educational skills certificate</w:t>
            </w:r>
          </w:p>
        </w:tc>
      </w:tr>
      <w:tr w:rsidR="2AD25726" w:rsidTr="2AD25726" w14:paraId="67C99E41">
        <w:trPr>
          <w:trHeight w:val="600"/>
        </w:trPr>
        <w:tc>
          <w:tcPr>
            <w:tcW w:w="1830"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2AD25726" w:rsidP="2AD25726" w:rsidRDefault="2AD25726" w14:paraId="70FBB732" w14:textId="401F1926">
            <w:pPr>
              <w:jc w:val="both"/>
            </w:pPr>
            <w:r w:rsidRPr="2AD25726" w:rsidR="2AD25726">
              <w:rPr>
                <w:rFonts w:ascii="Arial" w:hAnsi="Arial" w:eastAsia="Arial" w:cs="Arial"/>
                <w:b w:val="1"/>
                <w:bCs w:val="1"/>
                <w:color w:val="000000" w:themeColor="text1" w:themeTint="FF" w:themeShade="FF"/>
                <w:sz w:val="24"/>
                <w:szCs w:val="24"/>
              </w:rPr>
              <w:t>Module</w:t>
            </w:r>
          </w:p>
        </w:tc>
        <w:tc>
          <w:tcPr>
            <w:tcW w:w="6894" w:type="dxa"/>
            <w:gridSpan w:val="3"/>
            <w:tcBorders>
              <w:top w:val="single" w:sz="8"/>
              <w:left w:val="single" w:sz="8"/>
              <w:bottom w:val="single" w:sz="8"/>
              <w:right w:val="single" w:sz="8"/>
            </w:tcBorders>
            <w:tcMar>
              <w:left w:w="108" w:type="dxa"/>
              <w:right w:w="108" w:type="dxa"/>
            </w:tcMar>
            <w:vAlign w:val="top"/>
          </w:tcPr>
          <w:p w:rsidR="2AD25726" w:rsidP="2AD25726" w:rsidRDefault="2AD25726" w14:paraId="72053975" w14:textId="31F8B4A5">
            <w:pPr>
              <w:jc w:val="both"/>
            </w:pPr>
            <w:r w:rsidRPr="2AD25726" w:rsidR="2AD25726">
              <w:rPr>
                <w:rFonts w:ascii="Arial" w:hAnsi="Arial" w:eastAsia="Arial" w:cs="Arial"/>
                <w:b w:val="1"/>
                <w:bCs w:val="1"/>
                <w:sz w:val="24"/>
                <w:szCs w:val="24"/>
              </w:rPr>
              <w:t>Initial of health and social care</w:t>
            </w:r>
          </w:p>
        </w:tc>
      </w:tr>
      <w:tr w:rsidR="2AD25726" w:rsidTr="2AD25726" w14:paraId="6AB76EB4">
        <w:trPr>
          <w:trHeight w:val="1320"/>
        </w:trPr>
        <w:tc>
          <w:tcPr>
            <w:tcW w:w="1830"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2AD25726" w:rsidP="2AD25726" w:rsidRDefault="2AD25726" w14:paraId="3C3FEB3C" w14:textId="7FF974B6">
            <w:pPr>
              <w:jc w:val="both"/>
            </w:pPr>
            <w:r w:rsidRPr="2AD25726" w:rsidR="2AD25726">
              <w:rPr>
                <w:rFonts w:ascii="Arial" w:hAnsi="Arial" w:eastAsia="Arial" w:cs="Arial"/>
                <w:b w:val="1"/>
                <w:bCs w:val="1"/>
                <w:color w:val="000000" w:themeColor="text1" w:themeTint="FF" w:themeShade="FF"/>
                <w:sz w:val="24"/>
                <w:szCs w:val="24"/>
              </w:rPr>
              <w:t>Module code</w:t>
            </w:r>
          </w:p>
        </w:tc>
        <w:tc>
          <w:tcPr>
            <w:tcW w:w="3540" w:type="dxa"/>
            <w:tcBorders>
              <w:top w:val="single" w:sz="8"/>
              <w:left w:val="single" w:sz="8"/>
              <w:bottom w:val="single" w:sz="8"/>
              <w:right w:val="single" w:sz="8"/>
            </w:tcBorders>
            <w:tcMar>
              <w:left w:w="108" w:type="dxa"/>
              <w:right w:w="108" w:type="dxa"/>
            </w:tcMar>
            <w:vAlign w:val="top"/>
          </w:tcPr>
          <w:p w:rsidR="2AD25726" w:rsidP="2AD25726" w:rsidRDefault="2AD25726" w14:paraId="6E94CA19" w14:textId="2E413C28">
            <w:pPr>
              <w:jc w:val="both"/>
            </w:pPr>
            <w:r w:rsidRPr="2AD25726" w:rsidR="2AD25726">
              <w:rPr>
                <w:rFonts w:ascii="Arial" w:hAnsi="Arial" w:eastAsia="Arial" w:cs="Arial"/>
                <w:b w:val="1"/>
                <w:bCs w:val="1"/>
                <w:sz w:val="24"/>
                <w:szCs w:val="24"/>
              </w:rPr>
              <w:t xml:space="preserve">          LCHS4004</w:t>
            </w:r>
          </w:p>
        </w:tc>
        <w:tc>
          <w:tcPr>
            <w:tcW w:w="1980" w:type="dxa"/>
            <w:tcBorders>
              <w:top w:val="nil" w:sz="8"/>
              <w:left w:val="single" w:sz="8"/>
              <w:bottom w:val="single" w:sz="8"/>
              <w:right w:val="single" w:sz="8"/>
            </w:tcBorders>
            <w:shd w:val="clear" w:color="auto" w:fill="D9D9D9" w:themeFill="background1" w:themeFillShade="D9"/>
            <w:tcMar>
              <w:left w:w="108" w:type="dxa"/>
              <w:right w:w="108" w:type="dxa"/>
            </w:tcMar>
            <w:vAlign w:val="top"/>
          </w:tcPr>
          <w:p w:rsidR="2AD25726" w:rsidP="2AD25726" w:rsidRDefault="2AD25726" w14:paraId="4A53027E" w14:textId="45085D2C">
            <w:pPr>
              <w:pStyle w:val="Heading2"/>
            </w:pPr>
            <w:r w:rsidRPr="2AD25726" w:rsidR="2AD25726">
              <w:rPr>
                <w:rFonts w:ascii="Arial" w:hAnsi="Arial" w:eastAsia="Arial" w:cs="Arial"/>
                <w:sz w:val="24"/>
                <w:szCs w:val="24"/>
              </w:rPr>
              <w:t xml:space="preserve"> </w:t>
            </w:r>
          </w:p>
        </w:tc>
        <w:tc>
          <w:tcPr>
            <w:tcW w:w="1374" w:type="dxa"/>
            <w:tcBorders>
              <w:top w:val="nil" w:sz="8"/>
              <w:left w:val="single" w:sz="8"/>
              <w:bottom w:val="single" w:sz="8"/>
              <w:right w:val="single" w:sz="8"/>
            </w:tcBorders>
            <w:tcMar>
              <w:left w:w="108" w:type="dxa"/>
              <w:right w:w="108" w:type="dxa"/>
            </w:tcMar>
            <w:vAlign w:val="top"/>
          </w:tcPr>
          <w:p w:rsidR="2AD25726" w:rsidP="2AD25726" w:rsidRDefault="2AD25726" w14:paraId="01D7D491" w14:textId="6C262A63">
            <w:pPr>
              <w:jc w:val="both"/>
            </w:pPr>
            <w:r w:rsidRPr="2AD25726" w:rsidR="2AD25726">
              <w:rPr>
                <w:rFonts w:ascii="Arial" w:hAnsi="Arial" w:eastAsia="Arial" w:cs="Arial"/>
                <w:b w:val="1"/>
                <w:bCs w:val="1"/>
                <w:sz w:val="24"/>
                <w:szCs w:val="24"/>
              </w:rPr>
              <w:t xml:space="preserve"> </w:t>
            </w:r>
          </w:p>
        </w:tc>
      </w:tr>
      <w:tr w:rsidR="2AD25726" w:rsidTr="2AD25726" w14:paraId="3ED49D67">
        <w:trPr>
          <w:trHeight w:val="4455"/>
        </w:trPr>
        <w:tc>
          <w:tcPr>
            <w:tcW w:w="1830"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2AD25726" w:rsidP="2AD25726" w:rsidRDefault="2AD25726" w14:paraId="3BB5BBAE" w14:textId="11960064">
            <w:pPr>
              <w:jc w:val="both"/>
            </w:pPr>
            <w:r w:rsidRPr="2AD25726" w:rsidR="2AD25726">
              <w:rPr>
                <w:rFonts w:ascii="Arial" w:hAnsi="Arial" w:eastAsia="Arial" w:cs="Arial"/>
                <w:b w:val="1"/>
                <w:bCs w:val="1"/>
                <w:color w:val="000000" w:themeColor="text1" w:themeTint="FF" w:themeShade="FF"/>
                <w:sz w:val="24"/>
                <w:szCs w:val="24"/>
              </w:rPr>
              <w:t>Lecturer</w:t>
            </w:r>
          </w:p>
        </w:tc>
        <w:tc>
          <w:tcPr>
            <w:tcW w:w="3540" w:type="dxa"/>
            <w:tcBorders>
              <w:top w:val="single" w:sz="8"/>
              <w:left w:val="single" w:sz="8"/>
              <w:bottom w:val="single" w:sz="8"/>
              <w:right w:val="single" w:sz="8"/>
            </w:tcBorders>
            <w:tcMar>
              <w:left w:w="108" w:type="dxa"/>
              <w:right w:w="108" w:type="dxa"/>
            </w:tcMar>
            <w:vAlign w:val="top"/>
          </w:tcPr>
          <w:p w:rsidR="59DB7338" w:rsidP="2AD25726" w:rsidRDefault="59DB7338" w14:paraId="0107EDAF" w14:textId="7710793D">
            <w:pPr>
              <w:rPr>
                <w:rFonts w:ascii="Arial" w:hAnsi="Arial" w:eastAsia="Arial" w:cs="Arial"/>
                <w:sz w:val="24"/>
                <w:szCs w:val="24"/>
              </w:rPr>
            </w:pPr>
            <w:r w:rsidRPr="2AD25726" w:rsidR="59DB7338">
              <w:rPr>
                <w:rFonts w:ascii="Arial" w:hAnsi="Arial" w:eastAsia="Arial" w:cs="Arial"/>
                <w:sz w:val="24"/>
                <w:szCs w:val="24"/>
              </w:rPr>
              <w:t>Gillian Weaver</w:t>
            </w:r>
          </w:p>
        </w:tc>
        <w:tc>
          <w:tcPr>
            <w:tcW w:w="1980"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2AD25726" w:rsidP="2AD25726" w:rsidRDefault="2AD25726" w14:paraId="506FB8EE" w14:textId="3C1862ED">
            <w:pPr>
              <w:jc w:val="both"/>
            </w:pPr>
            <w:r w:rsidRPr="2AD25726" w:rsidR="2AD25726">
              <w:rPr>
                <w:rFonts w:ascii="Arial" w:hAnsi="Arial" w:eastAsia="Arial" w:cs="Arial"/>
                <w:b w:val="1"/>
                <w:bCs w:val="1"/>
                <w:sz w:val="24"/>
                <w:szCs w:val="24"/>
              </w:rPr>
              <w:t xml:space="preserve"> </w:t>
            </w:r>
          </w:p>
        </w:tc>
        <w:tc>
          <w:tcPr>
            <w:tcW w:w="1374" w:type="dxa"/>
            <w:tcBorders>
              <w:top w:val="single" w:sz="8"/>
              <w:left w:val="single" w:sz="8"/>
              <w:bottom w:val="single" w:sz="8"/>
              <w:right w:val="single" w:sz="8"/>
            </w:tcBorders>
            <w:tcMar>
              <w:left w:w="108" w:type="dxa"/>
              <w:right w:w="108" w:type="dxa"/>
            </w:tcMar>
            <w:vAlign w:val="top"/>
          </w:tcPr>
          <w:p w:rsidR="2AD25726" w:rsidRDefault="2AD25726" w14:paraId="773808C1" w14:textId="3A943FF2">
            <w:r w:rsidRPr="2AD25726" w:rsidR="2AD25726">
              <w:rPr>
                <w:rFonts w:ascii="Arial" w:hAnsi="Arial" w:eastAsia="Arial" w:cs="Arial"/>
                <w:sz w:val="24"/>
                <w:szCs w:val="24"/>
                <w:lang w:val="en-US"/>
              </w:rPr>
              <w:t xml:space="preserve"> </w:t>
            </w:r>
          </w:p>
          <w:p w:rsidR="2AD25726" w:rsidRDefault="2AD25726" w14:paraId="207A635D" w14:textId="3DE89525">
            <w:r w:rsidRPr="2AD25726" w:rsidR="2AD25726">
              <w:rPr>
                <w:rFonts w:ascii="Arial" w:hAnsi="Arial" w:eastAsia="Arial" w:cs="Arial"/>
                <w:sz w:val="24"/>
                <w:szCs w:val="24"/>
              </w:rPr>
              <w:t xml:space="preserve"> </w:t>
            </w:r>
          </w:p>
        </w:tc>
      </w:tr>
      <w:tr w:rsidR="2AD25726" w:rsidTr="2AD25726" w14:paraId="65CBFC63">
        <w:trPr>
          <w:trHeight w:val="1095"/>
        </w:trPr>
        <w:tc>
          <w:tcPr>
            <w:tcW w:w="1830"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2AD25726" w:rsidP="2AD25726" w:rsidRDefault="2AD25726" w14:paraId="5D53B68D" w14:textId="2BCC7F44">
            <w:pPr>
              <w:jc w:val="both"/>
            </w:pPr>
            <w:r w:rsidRPr="2AD25726" w:rsidR="2AD25726">
              <w:rPr>
                <w:rFonts w:ascii="Arial" w:hAnsi="Arial" w:eastAsia="Arial" w:cs="Arial"/>
                <w:b w:val="1"/>
                <w:bCs w:val="1"/>
                <w:color w:val="000000" w:themeColor="text1" w:themeTint="FF" w:themeShade="FF"/>
                <w:sz w:val="24"/>
                <w:szCs w:val="24"/>
              </w:rPr>
              <w:t>Assignment Title:</w:t>
            </w:r>
          </w:p>
        </w:tc>
        <w:tc>
          <w:tcPr>
            <w:tcW w:w="3540" w:type="dxa"/>
            <w:tcBorders>
              <w:top w:val="single" w:sz="8"/>
              <w:left w:val="single" w:sz="8"/>
              <w:bottom w:val="single" w:sz="8"/>
              <w:right w:val="single" w:sz="8"/>
            </w:tcBorders>
            <w:tcMar>
              <w:left w:w="108" w:type="dxa"/>
              <w:right w:w="108" w:type="dxa"/>
            </w:tcMar>
            <w:vAlign w:val="top"/>
          </w:tcPr>
          <w:p w:rsidR="2AD25726" w:rsidP="2AD25726" w:rsidRDefault="2AD25726" w14:paraId="62E7DC35" w14:textId="3620C0C4">
            <w:pPr>
              <w:jc w:val="both"/>
            </w:pPr>
            <w:r w:rsidRPr="2AD25726" w:rsidR="2AD25726">
              <w:rPr>
                <w:rFonts w:ascii="Arial" w:hAnsi="Arial" w:eastAsia="Arial" w:cs="Arial"/>
                <w:b w:val="1"/>
                <w:bCs w:val="1"/>
                <w:sz w:val="24"/>
                <w:szCs w:val="24"/>
              </w:rPr>
              <w:t>Rotavirus</w:t>
            </w:r>
          </w:p>
        </w:tc>
        <w:tc>
          <w:tcPr>
            <w:tcW w:w="1980"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2AD25726" w:rsidP="2AD25726" w:rsidRDefault="2AD25726" w14:paraId="4042E0FB" w14:textId="7462B714">
            <w:pPr>
              <w:jc w:val="both"/>
              <w:rPr>
                <w:rFonts w:ascii="Arial" w:hAnsi="Arial" w:eastAsia="Arial" w:cs="Arial"/>
                <w:b w:val="1"/>
                <w:bCs w:val="1"/>
                <w:color w:val="000000" w:themeColor="text1" w:themeTint="FF" w:themeShade="FF"/>
                <w:sz w:val="24"/>
                <w:szCs w:val="24"/>
              </w:rPr>
            </w:pPr>
          </w:p>
        </w:tc>
        <w:tc>
          <w:tcPr>
            <w:tcW w:w="1374" w:type="dxa"/>
            <w:tcBorders>
              <w:top w:val="single" w:sz="8"/>
              <w:left w:val="single" w:sz="8"/>
              <w:bottom w:val="single" w:sz="8"/>
              <w:right w:val="single" w:sz="8"/>
            </w:tcBorders>
            <w:tcMar>
              <w:left w:w="108" w:type="dxa"/>
              <w:right w:w="108" w:type="dxa"/>
            </w:tcMar>
            <w:vAlign w:val="top"/>
          </w:tcPr>
          <w:p w:rsidR="2AD25726" w:rsidP="2AD25726" w:rsidRDefault="2AD25726" w14:paraId="7652956B" w14:textId="0C057920">
            <w:pPr>
              <w:pStyle w:val="Normal"/>
              <w:rPr>
                <w:rFonts w:ascii="Arial" w:hAnsi="Arial" w:eastAsia="Arial" w:cs="Arial"/>
                <w:b w:val="1"/>
                <w:bCs w:val="1"/>
                <w:sz w:val="24"/>
                <w:szCs w:val="24"/>
              </w:rPr>
            </w:pPr>
          </w:p>
        </w:tc>
      </w:tr>
    </w:tbl>
    <w:p xmlns:wp14="http://schemas.microsoft.com/office/word/2010/wordml" w14:paraId="5E5787A5" wp14:textId="5A6BE66E">
      <w:r w:rsidRPr="2AD25726" w:rsidR="74226A3B">
        <w:rPr>
          <w:rFonts w:ascii="Arial" w:hAnsi="Arial" w:eastAsia="Arial" w:cs="Arial"/>
          <w:noProof w:val="0"/>
          <w:sz w:val="24"/>
          <w:szCs w:val="24"/>
          <w:lang w:val="en-GB"/>
        </w:rPr>
        <w:t xml:space="preserve"> </w:t>
      </w:r>
    </w:p>
    <w:p w:rsidR="2AD25726" w:rsidP="2AD25726" w:rsidRDefault="2AD25726" w14:paraId="6BAE41D9" w14:textId="75D0CAAA">
      <w:pPr>
        <w:pStyle w:val="Normal"/>
        <w:rPr>
          <w:rFonts w:ascii="Arial" w:hAnsi="Arial" w:eastAsia="Arial" w:cs="Arial"/>
          <w:noProof w:val="0"/>
          <w:sz w:val="24"/>
          <w:szCs w:val="24"/>
          <w:lang w:val="en-GB"/>
        </w:rPr>
      </w:pPr>
    </w:p>
    <w:p w:rsidR="35225642" w:rsidP="2AD25726" w:rsidRDefault="35225642" w14:paraId="11E16F8E" w14:textId="1EF8D3D4">
      <w:pPr>
        <w:pStyle w:val="Normal"/>
        <w:spacing w:line="360" w:lineRule="auto"/>
        <w:rPr>
          <w:rFonts w:ascii="Arial" w:hAnsi="Arial" w:eastAsia="Arial" w:cs="Arial"/>
          <w:noProof w:val="0"/>
          <w:sz w:val="24"/>
          <w:szCs w:val="24"/>
          <w:lang w:val="en-GB"/>
        </w:rPr>
      </w:pPr>
      <w:r w:rsidRPr="2AD25726" w:rsidR="35225642">
        <w:rPr>
          <w:rFonts w:ascii="Arial" w:hAnsi="Arial" w:eastAsia="Arial" w:cs="Arial"/>
          <w:noProof w:val="0"/>
          <w:sz w:val="22"/>
          <w:szCs w:val="22"/>
          <w:lang w:val="en-GB"/>
        </w:rPr>
        <w:t>Introductio</w:t>
      </w:r>
      <w:r w:rsidRPr="2AD25726" w:rsidR="35225642">
        <w:rPr>
          <w:rFonts w:ascii="Arial" w:hAnsi="Arial" w:eastAsia="Arial" w:cs="Arial"/>
          <w:noProof w:val="0"/>
          <w:sz w:val="22"/>
          <w:szCs w:val="22"/>
          <w:lang w:val="en-GB"/>
        </w:rPr>
        <w:t>n to Rotavirus.</w:t>
      </w:r>
    </w:p>
    <w:p w:rsidR="76839201" w:rsidP="2AD25726" w:rsidRDefault="76839201" w14:paraId="1C05666D" w14:textId="3B0AC749">
      <w:pPr>
        <w:spacing w:line="360" w:lineRule="auto"/>
        <w:rPr>
          <w:rFonts w:ascii="Arial" w:hAnsi="Arial" w:eastAsia="Arial" w:cs="Arial"/>
          <w:noProof w:val="0"/>
          <w:sz w:val="22"/>
          <w:szCs w:val="22"/>
          <w:lang w:val="en-GB"/>
        </w:rPr>
      </w:pPr>
      <w:r w:rsidRPr="2AD25726" w:rsidR="76839201">
        <w:rPr>
          <w:rFonts w:ascii="Arial" w:hAnsi="Arial" w:eastAsia="Arial" w:cs="Arial"/>
          <w:noProof w:val="0"/>
          <w:sz w:val="22"/>
          <w:szCs w:val="22"/>
          <w:lang w:val="en-GB"/>
        </w:rPr>
        <w:t xml:space="preserve">This is a highly contagious virus that can cause an inflammation of the stomach and intestines. </w:t>
      </w:r>
      <w:bookmarkStart w:name="_Int_rgOQnqUX" w:id="1001949307"/>
      <w:r w:rsidRPr="2AD25726" w:rsidR="76839201">
        <w:rPr>
          <w:rFonts w:ascii="Arial" w:hAnsi="Arial" w:eastAsia="Arial" w:cs="Arial"/>
          <w:noProof w:val="0"/>
          <w:sz w:val="22"/>
          <w:szCs w:val="22"/>
          <w:lang w:val="en-GB"/>
        </w:rPr>
        <w:t xml:space="preserve">It is one of the major causes of diarrhoea and dehydration in young children </w:t>
      </w:r>
      <w:r w:rsidRPr="2AD25726" w:rsidR="76839201">
        <w:rPr>
          <w:rFonts w:ascii="Arial" w:hAnsi="Arial" w:eastAsia="Arial" w:cs="Arial"/>
          <w:noProof w:val="0"/>
          <w:sz w:val="22"/>
          <w:szCs w:val="22"/>
          <w:lang w:val="en-GB"/>
        </w:rPr>
        <w:t>worldwide.</w:t>
      </w:r>
      <w:bookmarkEnd w:id="1001949307"/>
      <w:r w:rsidRPr="2AD25726" w:rsidR="209353D0">
        <w:rPr>
          <w:rFonts w:ascii="Arial" w:hAnsi="Arial" w:eastAsia="Arial" w:cs="Arial"/>
          <w:noProof w:val="0"/>
          <w:sz w:val="22"/>
          <w:szCs w:val="22"/>
          <w:lang w:val="en-GB"/>
        </w:rPr>
        <w:t xml:space="preserve"> </w:t>
      </w:r>
    </w:p>
    <w:p w:rsidR="76839201" w:rsidP="2AD25726" w:rsidRDefault="76839201" w14:paraId="698C95A6" w14:textId="298B3D04">
      <w:pPr>
        <w:spacing w:line="360" w:lineRule="auto"/>
        <w:rPr>
          <w:rFonts w:ascii="Arial" w:hAnsi="Arial" w:eastAsia="Arial" w:cs="Arial"/>
          <w:noProof w:val="0"/>
          <w:sz w:val="22"/>
          <w:szCs w:val="22"/>
          <w:lang w:val="en-GB"/>
        </w:rPr>
      </w:pPr>
      <w:r w:rsidRPr="2AD25726" w:rsidR="76839201">
        <w:rPr>
          <w:rFonts w:ascii="Arial" w:hAnsi="Arial" w:eastAsia="Arial" w:cs="Arial"/>
          <w:noProof w:val="0"/>
          <w:sz w:val="22"/>
          <w:szCs w:val="22"/>
          <w:lang w:val="en-GB"/>
        </w:rPr>
        <w:t>Rotavirus spreads through faecal-oral transmission, meaning that it is passed from person through contact with contaminated fees or objects with surfaces contaminated with fees.</w:t>
      </w:r>
    </w:p>
    <w:p w:rsidR="76839201" w:rsidP="2AD25726" w:rsidRDefault="76839201" w14:paraId="4FF3DCB0" w14:textId="64A7D4F9">
      <w:pPr>
        <w:spacing w:line="360" w:lineRule="auto"/>
        <w:rPr>
          <w:rFonts w:ascii="Arial" w:hAnsi="Arial" w:eastAsia="Arial" w:cs="Arial"/>
          <w:noProof w:val="0"/>
          <w:sz w:val="22"/>
          <w:szCs w:val="22"/>
          <w:lang w:val="en-GB"/>
        </w:rPr>
      </w:pPr>
      <w:r w:rsidRPr="2AD25726" w:rsidR="76839201">
        <w:rPr>
          <w:rFonts w:ascii="Arial" w:hAnsi="Arial" w:eastAsia="Arial" w:cs="Arial"/>
          <w:noProof w:val="0"/>
          <w:sz w:val="22"/>
          <w:szCs w:val="22"/>
          <w:lang w:val="en-GB"/>
        </w:rPr>
        <w:t xml:space="preserve"> The virus can also spread through respiratory secretions.</w:t>
      </w:r>
    </w:p>
    <w:p w:rsidR="4AC40A51" w:rsidP="2AD25726" w:rsidRDefault="4AC40A51" w14:paraId="2B679ED9" w14:textId="76BF109A">
      <w:pPr>
        <w:pStyle w:val="Normal"/>
        <w:rPr>
          <w:rFonts w:ascii="Arial" w:hAnsi="Arial" w:eastAsia="Arial" w:cs="Arial"/>
          <w:noProof w:val="0"/>
          <w:sz w:val="22"/>
          <w:szCs w:val="22"/>
          <w:lang w:val="en-GB"/>
        </w:rPr>
      </w:pPr>
      <w:r w:rsidRPr="2AD25726" w:rsidR="4AC40A51">
        <w:rPr>
          <w:rFonts w:ascii="Arial" w:hAnsi="Arial" w:eastAsia="Arial" w:cs="Arial"/>
          <w:noProof w:val="0"/>
          <w:sz w:val="22"/>
          <w:szCs w:val="22"/>
          <w:lang w:val="en-GB"/>
        </w:rPr>
        <w:t xml:space="preserve">Symptoms of rotavirus infection typically include fever, vomiting, and watery diarrhoea, which can last for several days. In severe cases, dehydration can occur, </w:t>
      </w:r>
      <w:r w:rsidRPr="2AD25726" w:rsidR="57321ACE">
        <w:rPr>
          <w:rFonts w:ascii="Arial" w:hAnsi="Arial" w:eastAsia="Arial" w:cs="Arial"/>
          <w:noProof w:val="0"/>
          <w:sz w:val="24"/>
          <w:szCs w:val="24"/>
          <w:lang w:val="en-GB"/>
        </w:rPr>
        <w:t xml:space="preserve">symptoms are usually slow it starts about two days after a person is exposed to rotavirus. </w:t>
      </w:r>
      <w:r w:rsidRPr="2AD25726" w:rsidR="57321ACE">
        <w:rPr>
          <w:rFonts w:ascii="Arial" w:hAnsi="Arial" w:eastAsia="Arial" w:cs="Arial"/>
          <w:noProof w:val="0"/>
          <w:sz w:val="24"/>
          <w:szCs w:val="24"/>
          <w:lang w:val="en-GB"/>
        </w:rPr>
        <w:t>Additional</w:t>
      </w:r>
      <w:r w:rsidRPr="2AD25726" w:rsidR="57321ACE">
        <w:rPr>
          <w:rFonts w:ascii="Arial" w:hAnsi="Arial" w:eastAsia="Arial" w:cs="Arial"/>
          <w:noProof w:val="0"/>
          <w:sz w:val="24"/>
          <w:szCs w:val="24"/>
          <w:lang w:val="en-GB"/>
        </w:rPr>
        <w:t xml:space="preserve"> symptoms may also include loss of appetite and dehydration (loss of body fluid) it </w:t>
      </w:r>
      <w:r w:rsidRPr="2AD25726" w:rsidR="57321ACE">
        <w:rPr>
          <w:rFonts w:ascii="Arial" w:hAnsi="Arial" w:eastAsia="Arial" w:cs="Arial"/>
          <w:noProof w:val="0"/>
          <w:sz w:val="24"/>
          <w:szCs w:val="24"/>
          <w:lang w:val="en-GB"/>
        </w:rPr>
        <w:t>extremely dangerous</w:t>
      </w:r>
      <w:r w:rsidRPr="2AD25726" w:rsidR="57321ACE">
        <w:rPr>
          <w:rFonts w:ascii="Arial" w:hAnsi="Arial" w:eastAsia="Arial" w:cs="Arial"/>
          <w:noProof w:val="0"/>
          <w:sz w:val="24"/>
          <w:szCs w:val="24"/>
          <w:lang w:val="en-GB"/>
        </w:rPr>
        <w:t xml:space="preserve"> with infants. </w:t>
      </w:r>
    </w:p>
    <w:p w:rsidR="57321ACE" w:rsidP="2AD25726" w:rsidRDefault="57321ACE" w14:paraId="4474C576" w14:textId="07D2D5C9">
      <w:pPr>
        <w:pStyle w:val="Normal"/>
        <w:spacing w:line="360" w:lineRule="auto"/>
        <w:rPr>
          <w:rFonts w:ascii="Arial" w:hAnsi="Arial" w:eastAsia="Arial" w:cs="Arial"/>
          <w:noProof w:val="0"/>
          <w:sz w:val="22"/>
          <w:szCs w:val="22"/>
          <w:lang w:val="en-GB"/>
        </w:rPr>
      </w:pPr>
      <w:r w:rsidRPr="2AD25726" w:rsidR="57321ACE">
        <w:rPr>
          <w:rFonts w:ascii="Arial" w:hAnsi="Arial" w:eastAsia="Arial" w:cs="Arial"/>
          <w:noProof w:val="0"/>
          <w:sz w:val="24"/>
          <w:szCs w:val="24"/>
          <w:lang w:val="en-GB"/>
        </w:rPr>
        <w:t>Symptoms of lack of body fluid, decrease urination, feeling of dry mouth, feeling weak and dizzy getting up, hearing the infants or children crying most at times without tears.</w:t>
      </w:r>
    </w:p>
    <w:p w:rsidR="1D3AF5BB" w:rsidP="2AD25726" w:rsidRDefault="1D3AF5BB" w14:paraId="32851D14" w14:textId="43241466">
      <w:pPr>
        <w:spacing w:line="360" w:lineRule="auto"/>
      </w:pPr>
      <w:r w:rsidRPr="2AD25726" w:rsidR="1D3AF5BB">
        <w:rPr>
          <w:rFonts w:ascii="Arial" w:hAnsi="Arial" w:eastAsia="Arial" w:cs="Arial"/>
          <w:b w:val="0"/>
          <w:bCs w:val="0"/>
          <w:i w:val="0"/>
          <w:iCs w:val="0"/>
          <w:caps w:val="0"/>
          <w:smallCaps w:val="0"/>
          <w:noProof w:val="0"/>
          <w:color w:val="000000" w:themeColor="text1" w:themeTint="FF" w:themeShade="FF"/>
          <w:sz w:val="22"/>
          <w:szCs w:val="22"/>
          <w:lang w:val="en-GB"/>
        </w:rPr>
        <w:t xml:space="preserve">Rotavirus is a highly contagious virus that can cause severe diarrhoea in children, particularly in those under the age of 5. In the </w:t>
      </w:r>
      <w:r w:rsidRPr="2AD25726" w:rsidR="1D3AF5BB">
        <w:rPr>
          <w:rFonts w:ascii="Arial" w:hAnsi="Arial" w:eastAsia="Arial" w:cs="Arial"/>
          <w:b w:val="0"/>
          <w:bCs w:val="0"/>
          <w:i w:val="0"/>
          <w:iCs w:val="0"/>
          <w:caps w:val="0"/>
          <w:smallCaps w:val="0"/>
          <w:noProof w:val="0"/>
          <w:color w:val="000000" w:themeColor="text1" w:themeTint="FF" w:themeShade="FF"/>
          <w:sz w:val="22"/>
          <w:szCs w:val="22"/>
          <w:lang w:val="en-GB"/>
        </w:rPr>
        <w:t>UK (United Kingdom)</w:t>
      </w:r>
      <w:r w:rsidRPr="2AD25726" w:rsidR="1D3AF5BB">
        <w:rPr>
          <w:rFonts w:ascii="Arial" w:hAnsi="Arial" w:eastAsia="Arial" w:cs="Arial"/>
          <w:b w:val="0"/>
          <w:bCs w:val="0"/>
          <w:i w:val="0"/>
          <w:iCs w:val="0"/>
          <w:caps w:val="0"/>
          <w:smallCaps w:val="0"/>
          <w:noProof w:val="0"/>
          <w:color w:val="000000" w:themeColor="text1" w:themeTint="FF" w:themeShade="FF"/>
          <w:sz w:val="22"/>
          <w:szCs w:val="22"/>
          <w:lang w:val="en-GB"/>
        </w:rPr>
        <w:t xml:space="preserve">, there are several strategies used to measure the incidence of rotavirus and </w:t>
      </w:r>
      <w:r w:rsidRPr="2AD25726" w:rsidR="1D3AF5BB">
        <w:rPr>
          <w:rFonts w:ascii="Arial" w:hAnsi="Arial" w:eastAsia="Arial" w:cs="Arial"/>
          <w:b w:val="0"/>
          <w:bCs w:val="0"/>
          <w:i w:val="0"/>
          <w:iCs w:val="0"/>
          <w:caps w:val="0"/>
          <w:smallCaps w:val="0"/>
          <w:noProof w:val="0"/>
          <w:color w:val="000000" w:themeColor="text1" w:themeTint="FF" w:themeShade="FF"/>
          <w:sz w:val="22"/>
          <w:szCs w:val="22"/>
          <w:lang w:val="en-GB"/>
        </w:rPr>
        <w:t>monitor</w:t>
      </w:r>
      <w:r w:rsidRPr="2AD25726" w:rsidR="1D3AF5BB">
        <w:rPr>
          <w:rFonts w:ascii="Arial" w:hAnsi="Arial" w:eastAsia="Arial" w:cs="Arial"/>
          <w:b w:val="0"/>
          <w:bCs w:val="0"/>
          <w:i w:val="0"/>
          <w:iCs w:val="0"/>
          <w:caps w:val="0"/>
          <w:smallCaps w:val="0"/>
          <w:noProof w:val="0"/>
          <w:color w:val="000000" w:themeColor="text1" w:themeTint="FF" w:themeShade="FF"/>
          <w:sz w:val="22"/>
          <w:szCs w:val="22"/>
          <w:lang w:val="en-GB"/>
        </w:rPr>
        <w:t xml:space="preserve"> its spread. These strategies include surveillance of hospital admissions, laboratory testing, and national immunization programs.</w:t>
      </w:r>
    </w:p>
    <w:p w:rsidR="1D3AF5BB" w:rsidP="2AD25726" w:rsidRDefault="1D3AF5BB" w14:paraId="15E2CBC0" w14:textId="247F6710">
      <w:pPr>
        <w:spacing w:line="360" w:lineRule="auto"/>
      </w:pPr>
      <w:r w:rsidRPr="2AD25726" w:rsidR="1D3AF5BB">
        <w:rPr>
          <w:rFonts w:ascii="Arial" w:hAnsi="Arial" w:eastAsia="Arial" w:cs="Arial"/>
          <w:b w:val="0"/>
          <w:bCs w:val="0"/>
          <w:i w:val="0"/>
          <w:iCs w:val="0"/>
          <w:caps w:val="0"/>
          <w:smallCaps w:val="0"/>
          <w:noProof w:val="0"/>
          <w:color w:val="000000" w:themeColor="text1" w:themeTint="FF" w:themeShade="FF"/>
          <w:sz w:val="22"/>
          <w:szCs w:val="22"/>
          <w:lang w:val="en-GB"/>
        </w:rPr>
        <w:t xml:space="preserve">One of the main strategies used to measure the incidence of rotavirus in the UK is the surveillance of hospital admissions. Public Health England (PHE) collects data from hospitals across the country to </w:t>
      </w:r>
      <w:r w:rsidRPr="2AD25726" w:rsidR="1D3AF5BB">
        <w:rPr>
          <w:rFonts w:ascii="Arial" w:hAnsi="Arial" w:eastAsia="Arial" w:cs="Arial"/>
          <w:b w:val="0"/>
          <w:bCs w:val="0"/>
          <w:i w:val="0"/>
          <w:iCs w:val="0"/>
          <w:caps w:val="0"/>
          <w:smallCaps w:val="0"/>
          <w:noProof w:val="0"/>
          <w:color w:val="000000" w:themeColor="text1" w:themeTint="FF" w:themeShade="FF"/>
          <w:sz w:val="22"/>
          <w:szCs w:val="22"/>
          <w:lang w:val="en-GB"/>
        </w:rPr>
        <w:t>monitor</w:t>
      </w:r>
      <w:r w:rsidRPr="2AD25726" w:rsidR="1D3AF5BB">
        <w:rPr>
          <w:rFonts w:ascii="Arial" w:hAnsi="Arial" w:eastAsia="Arial" w:cs="Arial"/>
          <w:b w:val="0"/>
          <w:bCs w:val="0"/>
          <w:i w:val="0"/>
          <w:iCs w:val="0"/>
          <w:caps w:val="0"/>
          <w:smallCaps w:val="0"/>
          <w:noProof w:val="0"/>
          <w:color w:val="000000" w:themeColor="text1" w:themeTint="FF" w:themeShade="FF"/>
          <w:sz w:val="22"/>
          <w:szCs w:val="22"/>
          <w:lang w:val="en-GB"/>
        </w:rPr>
        <w:t xml:space="preserve"> the number of children admitted with severe </w:t>
      </w:r>
      <w:r w:rsidRPr="2AD25726" w:rsidR="1D3AF5BB">
        <w:rPr>
          <w:rFonts w:ascii="Arial" w:hAnsi="Arial" w:eastAsia="Arial" w:cs="Arial"/>
          <w:b w:val="0"/>
          <w:bCs w:val="0"/>
          <w:i w:val="0"/>
          <w:iCs w:val="0"/>
          <w:caps w:val="0"/>
          <w:smallCaps w:val="0"/>
          <w:noProof w:val="0"/>
          <w:color w:val="000000" w:themeColor="text1" w:themeTint="FF" w:themeShade="FF"/>
          <w:sz w:val="22"/>
          <w:szCs w:val="22"/>
          <w:lang w:val="en-GB"/>
        </w:rPr>
        <w:t>diarrhoea</w:t>
      </w:r>
      <w:r w:rsidRPr="2AD25726" w:rsidR="1D3AF5BB">
        <w:rPr>
          <w:rFonts w:ascii="Arial" w:hAnsi="Arial" w:eastAsia="Arial" w:cs="Arial"/>
          <w:b w:val="0"/>
          <w:bCs w:val="0"/>
          <w:i w:val="0"/>
          <w:iCs w:val="0"/>
          <w:caps w:val="0"/>
          <w:smallCaps w:val="0"/>
          <w:noProof w:val="0"/>
          <w:color w:val="000000" w:themeColor="text1" w:themeTint="FF" w:themeShade="FF"/>
          <w:sz w:val="22"/>
          <w:szCs w:val="22"/>
          <w:lang w:val="en-GB"/>
        </w:rPr>
        <w:t xml:space="preserve"> caused by rotavirus. This data is used to estimate the overall burden of rotavirus disease in the UK and to </w:t>
      </w:r>
      <w:r w:rsidRPr="2AD25726" w:rsidR="1D3AF5BB">
        <w:rPr>
          <w:rFonts w:ascii="Arial" w:hAnsi="Arial" w:eastAsia="Arial" w:cs="Arial"/>
          <w:b w:val="0"/>
          <w:bCs w:val="0"/>
          <w:i w:val="0"/>
          <w:iCs w:val="0"/>
          <w:caps w:val="0"/>
          <w:smallCaps w:val="0"/>
          <w:noProof w:val="0"/>
          <w:color w:val="000000" w:themeColor="text1" w:themeTint="FF" w:themeShade="FF"/>
          <w:sz w:val="22"/>
          <w:szCs w:val="22"/>
          <w:lang w:val="en-GB"/>
        </w:rPr>
        <w:t>identify</w:t>
      </w:r>
      <w:r w:rsidRPr="2AD25726" w:rsidR="1D3AF5BB">
        <w:rPr>
          <w:rFonts w:ascii="Arial" w:hAnsi="Arial" w:eastAsia="Arial" w:cs="Arial"/>
          <w:b w:val="0"/>
          <w:bCs w:val="0"/>
          <w:i w:val="0"/>
          <w:iCs w:val="0"/>
          <w:caps w:val="0"/>
          <w:smallCaps w:val="0"/>
          <w:noProof w:val="0"/>
          <w:color w:val="000000" w:themeColor="text1" w:themeTint="FF" w:themeShade="FF"/>
          <w:sz w:val="22"/>
          <w:szCs w:val="22"/>
          <w:lang w:val="en-GB"/>
        </w:rPr>
        <w:t xml:space="preserve"> any trends or outbreaks.</w:t>
      </w:r>
    </w:p>
    <w:p w:rsidR="1D3AF5BB" w:rsidP="2AD25726" w:rsidRDefault="1D3AF5BB" w14:paraId="3905FCE1" w14:textId="6B4F0EB2">
      <w:pPr>
        <w:spacing w:line="360" w:lineRule="auto"/>
      </w:pPr>
      <w:r w:rsidRPr="2AD25726" w:rsidR="1D3AF5BB">
        <w:rPr>
          <w:rFonts w:ascii="Arial" w:hAnsi="Arial" w:eastAsia="Arial" w:cs="Arial"/>
          <w:b w:val="0"/>
          <w:bCs w:val="0"/>
          <w:i w:val="0"/>
          <w:iCs w:val="0"/>
          <w:caps w:val="0"/>
          <w:smallCaps w:val="0"/>
          <w:noProof w:val="0"/>
          <w:color w:val="000000" w:themeColor="text1" w:themeTint="FF" w:themeShade="FF"/>
          <w:sz w:val="22"/>
          <w:szCs w:val="22"/>
          <w:lang w:val="en-GB"/>
        </w:rPr>
        <w:t xml:space="preserve">Another strategy used to measure the incidence of rotavirus is laboratory testing. PHE </w:t>
      </w:r>
      <w:r w:rsidRPr="2AD25726" w:rsidR="1D3AF5BB">
        <w:rPr>
          <w:rFonts w:ascii="Arial" w:hAnsi="Arial" w:eastAsia="Arial" w:cs="Arial"/>
          <w:b w:val="0"/>
          <w:bCs w:val="0"/>
          <w:i w:val="0"/>
          <w:iCs w:val="0"/>
          <w:caps w:val="0"/>
          <w:smallCaps w:val="0"/>
          <w:noProof w:val="0"/>
          <w:color w:val="000000" w:themeColor="text1" w:themeTint="FF" w:themeShade="FF"/>
          <w:sz w:val="22"/>
          <w:szCs w:val="22"/>
          <w:lang w:val="en-GB"/>
        </w:rPr>
        <w:t>operates</w:t>
      </w:r>
      <w:r w:rsidRPr="2AD25726" w:rsidR="1D3AF5BB">
        <w:rPr>
          <w:rFonts w:ascii="Arial" w:hAnsi="Arial" w:eastAsia="Arial" w:cs="Arial"/>
          <w:b w:val="0"/>
          <w:bCs w:val="0"/>
          <w:i w:val="0"/>
          <w:iCs w:val="0"/>
          <w:caps w:val="0"/>
          <w:smallCaps w:val="0"/>
          <w:noProof w:val="0"/>
          <w:color w:val="000000" w:themeColor="text1" w:themeTint="FF" w:themeShade="FF"/>
          <w:sz w:val="22"/>
          <w:szCs w:val="22"/>
          <w:lang w:val="en-GB"/>
        </w:rPr>
        <w:t xml:space="preserve"> a national laboratory network that tests samples from patients with suspected rotavirus infection. This allows for </w:t>
      </w:r>
      <w:r w:rsidRPr="2AD25726" w:rsidR="1D3AF5BB">
        <w:rPr>
          <w:rFonts w:ascii="Arial" w:hAnsi="Arial" w:eastAsia="Arial" w:cs="Arial"/>
          <w:b w:val="0"/>
          <w:bCs w:val="0"/>
          <w:i w:val="0"/>
          <w:iCs w:val="0"/>
          <w:caps w:val="0"/>
          <w:smallCaps w:val="0"/>
          <w:noProof w:val="0"/>
          <w:color w:val="000000" w:themeColor="text1" w:themeTint="FF" w:themeShade="FF"/>
          <w:sz w:val="22"/>
          <w:szCs w:val="22"/>
          <w:lang w:val="en-GB"/>
        </w:rPr>
        <w:t>accurate</w:t>
      </w:r>
      <w:r w:rsidRPr="2AD25726" w:rsidR="1D3AF5BB">
        <w:rPr>
          <w:rFonts w:ascii="Arial" w:hAnsi="Arial" w:eastAsia="Arial" w:cs="Arial"/>
          <w:b w:val="0"/>
          <w:bCs w:val="0"/>
          <w:i w:val="0"/>
          <w:iCs w:val="0"/>
          <w:caps w:val="0"/>
          <w:smallCaps w:val="0"/>
          <w:noProof w:val="0"/>
          <w:color w:val="000000" w:themeColor="text1" w:themeTint="FF" w:themeShade="FF"/>
          <w:sz w:val="22"/>
          <w:szCs w:val="22"/>
          <w:lang w:val="en-GB"/>
        </w:rPr>
        <w:t xml:space="preserve"> diagnosis and confirmation of cases, as well as the identification of different strains of the virus. This information is then used to track the spread of the virus and to inform public health interventions.</w:t>
      </w:r>
    </w:p>
    <w:p w:rsidR="1D3AF5BB" w:rsidP="2AD25726" w:rsidRDefault="1D3AF5BB" w14:paraId="1B907A0D" w14:textId="103F7194">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AD25726" w:rsidR="1D3AF5BB">
        <w:rPr>
          <w:rFonts w:ascii="Arial" w:hAnsi="Arial" w:eastAsia="Arial" w:cs="Arial"/>
          <w:b w:val="0"/>
          <w:bCs w:val="0"/>
          <w:i w:val="0"/>
          <w:iCs w:val="0"/>
          <w:caps w:val="0"/>
          <w:smallCaps w:val="0"/>
          <w:noProof w:val="0"/>
          <w:color w:val="000000" w:themeColor="text1" w:themeTint="FF" w:themeShade="FF"/>
          <w:sz w:val="22"/>
          <w:szCs w:val="22"/>
          <w:lang w:val="en-GB"/>
        </w:rPr>
        <w:t xml:space="preserve">Finally, the UK has implemented a national immunization program to help prevent rotavirus infections. Since 2013, the rotavirus vaccine has been offered to all infants in the UK as part of their routine immunization schedule. </w:t>
      </w:r>
      <w:r w:rsidRPr="2AD25726" w:rsidR="1D3AF5BB">
        <w:rPr>
          <w:rFonts w:ascii="Arial" w:hAnsi="Arial" w:eastAsia="Arial" w:cs="Arial"/>
          <w:b w:val="0"/>
          <w:bCs w:val="0"/>
          <w:i w:val="0"/>
          <w:iCs w:val="0"/>
          <w:caps w:val="0"/>
          <w:smallCaps w:val="0"/>
          <w:noProof w:val="0"/>
          <w:color w:val="000000" w:themeColor="text1" w:themeTint="FF" w:themeShade="FF"/>
          <w:sz w:val="22"/>
          <w:szCs w:val="22"/>
          <w:lang w:val="en-GB"/>
        </w:rPr>
        <w:t>This has led to a significant reduction in the incidence of rotavirus in the country.</w:t>
      </w:r>
    </w:p>
    <w:p w:rsidR="1D3AF5BB" w:rsidP="2AD25726" w:rsidRDefault="1D3AF5BB" w14:paraId="0EED6E28" w14:textId="7FBC0ED6">
      <w:pPr>
        <w:spacing w:line="360" w:lineRule="auto"/>
      </w:pPr>
      <w:r w:rsidRPr="2AD25726" w:rsidR="1D3AF5BB">
        <w:rPr>
          <w:rFonts w:ascii="Arial" w:hAnsi="Arial" w:eastAsia="Arial" w:cs="Arial"/>
          <w:b w:val="0"/>
          <w:bCs w:val="0"/>
          <w:i w:val="0"/>
          <w:iCs w:val="0"/>
          <w:caps w:val="0"/>
          <w:smallCaps w:val="0"/>
          <w:noProof w:val="0"/>
          <w:color w:val="000000" w:themeColor="text1" w:themeTint="FF" w:themeShade="FF"/>
          <w:sz w:val="22"/>
          <w:szCs w:val="22"/>
          <w:lang w:val="en-GB"/>
        </w:rPr>
        <w:t xml:space="preserve">Overall, the strategies used in the UK to measure the incidence of rotavirus are comprehensive and effective. The surveillance of hospital admissions and laboratory testing </w:t>
      </w:r>
      <w:r w:rsidRPr="2AD25726" w:rsidR="1D3AF5BB">
        <w:rPr>
          <w:rFonts w:ascii="Arial" w:hAnsi="Arial" w:eastAsia="Arial" w:cs="Arial"/>
          <w:b w:val="0"/>
          <w:bCs w:val="0"/>
          <w:i w:val="0"/>
          <w:iCs w:val="0"/>
          <w:caps w:val="0"/>
          <w:smallCaps w:val="0"/>
          <w:noProof w:val="0"/>
          <w:color w:val="000000" w:themeColor="text1" w:themeTint="FF" w:themeShade="FF"/>
          <w:sz w:val="22"/>
          <w:szCs w:val="22"/>
          <w:lang w:val="en-GB"/>
        </w:rPr>
        <w:t>provide</w:t>
      </w:r>
      <w:r w:rsidRPr="2AD25726" w:rsidR="1D3AF5B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AD25726" w:rsidR="1D3AF5BB">
        <w:rPr>
          <w:rFonts w:ascii="Arial" w:hAnsi="Arial" w:eastAsia="Arial" w:cs="Arial"/>
          <w:b w:val="0"/>
          <w:bCs w:val="0"/>
          <w:i w:val="0"/>
          <w:iCs w:val="0"/>
          <w:caps w:val="0"/>
          <w:smallCaps w:val="0"/>
          <w:noProof w:val="0"/>
          <w:color w:val="000000" w:themeColor="text1" w:themeTint="FF" w:themeShade="FF"/>
          <w:sz w:val="22"/>
          <w:szCs w:val="22"/>
          <w:lang w:val="en-GB"/>
        </w:rPr>
        <w:t>accurate</w:t>
      </w:r>
      <w:r w:rsidRPr="2AD25726" w:rsidR="1D3AF5BB">
        <w:rPr>
          <w:rFonts w:ascii="Arial" w:hAnsi="Arial" w:eastAsia="Arial" w:cs="Arial"/>
          <w:b w:val="0"/>
          <w:bCs w:val="0"/>
          <w:i w:val="0"/>
          <w:iCs w:val="0"/>
          <w:caps w:val="0"/>
          <w:smallCaps w:val="0"/>
          <w:noProof w:val="0"/>
          <w:color w:val="000000" w:themeColor="text1" w:themeTint="FF" w:themeShade="FF"/>
          <w:sz w:val="22"/>
          <w:szCs w:val="22"/>
          <w:lang w:val="en-GB"/>
        </w:rPr>
        <w:t xml:space="preserve"> data on the burden of disease and allow for the detection of outbreaks. The national immunization program has also been successful in reducing the incidence of rotavirus in the country.</w:t>
      </w:r>
    </w:p>
    <w:p w:rsidR="1D3AF5BB" w:rsidP="2AD25726" w:rsidRDefault="1D3AF5BB" w14:paraId="492C48CF" w14:textId="27F6F3CC">
      <w:pPr>
        <w:spacing w:line="360" w:lineRule="auto"/>
      </w:pPr>
      <w:r w:rsidRPr="2AD25726" w:rsidR="1D3AF5BB">
        <w:rPr>
          <w:rFonts w:ascii="Arial" w:hAnsi="Arial" w:eastAsia="Arial" w:cs="Arial"/>
          <w:b w:val="0"/>
          <w:bCs w:val="0"/>
          <w:i w:val="0"/>
          <w:iCs w:val="0"/>
          <w:caps w:val="0"/>
          <w:smallCaps w:val="0"/>
          <w:noProof w:val="0"/>
          <w:color w:val="000000" w:themeColor="text1" w:themeTint="FF" w:themeShade="FF"/>
          <w:sz w:val="22"/>
          <w:szCs w:val="22"/>
          <w:lang w:val="en-GB"/>
        </w:rPr>
        <w:t xml:space="preserve">However, there are some limitations to these strategies. For example, the surveillance of hospital admissions may not capture all cases of rotavirus, particularly milder cases that are treated in the community. Laboratory testing may also be limited by the availability of resources and </w:t>
      </w:r>
      <w:r w:rsidRPr="2AD25726" w:rsidR="1D3AF5BB">
        <w:rPr>
          <w:rFonts w:ascii="Arial" w:hAnsi="Arial" w:eastAsia="Arial" w:cs="Arial"/>
          <w:b w:val="0"/>
          <w:bCs w:val="0"/>
          <w:i w:val="0"/>
          <w:iCs w:val="0"/>
          <w:caps w:val="0"/>
          <w:smallCaps w:val="0"/>
          <w:noProof w:val="0"/>
          <w:color w:val="000000" w:themeColor="text1" w:themeTint="FF" w:themeShade="FF"/>
          <w:sz w:val="22"/>
          <w:szCs w:val="22"/>
          <w:lang w:val="en-GB"/>
        </w:rPr>
        <w:t>expertise</w:t>
      </w:r>
      <w:r w:rsidRPr="2AD25726" w:rsidR="1D3AF5BB">
        <w:rPr>
          <w:rFonts w:ascii="Arial" w:hAnsi="Arial" w:eastAsia="Arial" w:cs="Arial"/>
          <w:b w:val="0"/>
          <w:bCs w:val="0"/>
          <w:i w:val="0"/>
          <w:iCs w:val="0"/>
          <w:caps w:val="0"/>
          <w:smallCaps w:val="0"/>
          <w:noProof w:val="0"/>
          <w:color w:val="000000" w:themeColor="text1" w:themeTint="FF" w:themeShade="FF"/>
          <w:sz w:val="22"/>
          <w:szCs w:val="22"/>
          <w:lang w:val="en-GB"/>
        </w:rPr>
        <w:t>, particularly in more remote or rural areas. Finally, the success of the national immunization program depends on high uptake rates, which may be influenced by factors such as vaccine hesitancy or access to healthcare.</w:t>
      </w:r>
    </w:p>
    <w:p w:rsidR="1D3AF5BB" w:rsidP="2AD25726" w:rsidRDefault="1D3AF5BB" w14:paraId="0612C709" w14:textId="5BC93099">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AD25726" w:rsidR="1D3AF5BB">
        <w:rPr>
          <w:rFonts w:ascii="Arial" w:hAnsi="Arial" w:eastAsia="Arial" w:cs="Arial"/>
          <w:b w:val="0"/>
          <w:bCs w:val="0"/>
          <w:i w:val="0"/>
          <w:iCs w:val="0"/>
          <w:caps w:val="0"/>
          <w:smallCaps w:val="0"/>
          <w:noProof w:val="0"/>
          <w:color w:val="000000" w:themeColor="text1" w:themeTint="FF" w:themeShade="FF"/>
          <w:sz w:val="22"/>
          <w:szCs w:val="22"/>
          <w:lang w:val="en-GB"/>
        </w:rPr>
        <w:t xml:space="preserve">Continuous monitoring and evaluation of these strategies is necessary to ensure that they </w:t>
      </w:r>
      <w:r w:rsidRPr="2AD25726" w:rsidR="1D3AF5BB">
        <w:rPr>
          <w:rFonts w:ascii="Arial" w:hAnsi="Arial" w:eastAsia="Arial" w:cs="Arial"/>
          <w:b w:val="0"/>
          <w:bCs w:val="0"/>
          <w:i w:val="0"/>
          <w:iCs w:val="0"/>
          <w:caps w:val="0"/>
          <w:smallCaps w:val="0"/>
          <w:noProof w:val="0"/>
          <w:color w:val="000000" w:themeColor="text1" w:themeTint="FF" w:themeShade="FF"/>
          <w:sz w:val="22"/>
          <w:szCs w:val="22"/>
          <w:lang w:val="en-GB"/>
        </w:rPr>
        <w:t>remain</w:t>
      </w:r>
      <w:r w:rsidRPr="2AD25726" w:rsidR="1D3AF5BB">
        <w:rPr>
          <w:rFonts w:ascii="Arial" w:hAnsi="Arial" w:eastAsia="Arial" w:cs="Arial"/>
          <w:b w:val="0"/>
          <w:bCs w:val="0"/>
          <w:i w:val="0"/>
          <w:iCs w:val="0"/>
          <w:caps w:val="0"/>
          <w:smallCaps w:val="0"/>
          <w:noProof w:val="0"/>
          <w:color w:val="000000" w:themeColor="text1" w:themeTint="FF" w:themeShade="FF"/>
          <w:sz w:val="22"/>
          <w:szCs w:val="22"/>
          <w:lang w:val="en-GB"/>
        </w:rPr>
        <w:t xml:space="preserve"> effective in detecting and preventing rotavirus infections.</w:t>
      </w:r>
      <w:r w:rsidRPr="2AD25726" w:rsidR="05224F60">
        <w:rPr>
          <w:rFonts w:ascii="Arial" w:hAnsi="Arial" w:eastAsia="Arial" w:cs="Arial"/>
          <w:b w:val="0"/>
          <w:bCs w:val="0"/>
          <w:i w:val="0"/>
          <w:iCs w:val="0"/>
          <w:caps w:val="0"/>
          <w:smallCaps w:val="0"/>
          <w:noProof w:val="0"/>
          <w:color w:val="000000" w:themeColor="text1" w:themeTint="FF" w:themeShade="FF"/>
          <w:sz w:val="22"/>
          <w:szCs w:val="22"/>
          <w:lang w:val="en-GB"/>
        </w:rPr>
        <w:t xml:space="preserve"> The monitoring of hospital admissions is one of the primary methods </w:t>
      </w:r>
      <w:r w:rsidRPr="2AD25726" w:rsidR="05224F60">
        <w:rPr>
          <w:rFonts w:ascii="Arial" w:hAnsi="Arial" w:eastAsia="Arial" w:cs="Arial"/>
          <w:b w:val="0"/>
          <w:bCs w:val="0"/>
          <w:i w:val="0"/>
          <w:iCs w:val="0"/>
          <w:caps w:val="0"/>
          <w:smallCaps w:val="0"/>
          <w:noProof w:val="0"/>
          <w:color w:val="000000" w:themeColor="text1" w:themeTint="FF" w:themeShade="FF"/>
          <w:sz w:val="22"/>
          <w:szCs w:val="22"/>
          <w:lang w:val="en-GB"/>
        </w:rPr>
        <w:t>utilized</w:t>
      </w:r>
      <w:r w:rsidRPr="2AD25726" w:rsidR="05224F60">
        <w:rPr>
          <w:rFonts w:ascii="Arial" w:hAnsi="Arial" w:eastAsia="Arial" w:cs="Arial"/>
          <w:b w:val="0"/>
          <w:bCs w:val="0"/>
          <w:i w:val="0"/>
          <w:iCs w:val="0"/>
          <w:caps w:val="0"/>
          <w:smallCaps w:val="0"/>
          <w:noProof w:val="0"/>
          <w:color w:val="000000" w:themeColor="text1" w:themeTint="FF" w:themeShade="FF"/>
          <w:sz w:val="22"/>
          <w:szCs w:val="22"/>
          <w:lang w:val="en-GB"/>
        </w:rPr>
        <w:t xml:space="preserve"> in the UK to </w:t>
      </w:r>
      <w:r w:rsidRPr="2AD25726" w:rsidR="05224F60">
        <w:rPr>
          <w:rFonts w:ascii="Arial" w:hAnsi="Arial" w:eastAsia="Arial" w:cs="Arial"/>
          <w:b w:val="0"/>
          <w:bCs w:val="0"/>
          <w:i w:val="0"/>
          <w:iCs w:val="0"/>
          <w:caps w:val="0"/>
          <w:smallCaps w:val="0"/>
          <w:noProof w:val="0"/>
          <w:color w:val="000000" w:themeColor="text1" w:themeTint="FF" w:themeShade="FF"/>
          <w:sz w:val="22"/>
          <w:szCs w:val="22"/>
          <w:lang w:val="en-GB"/>
        </w:rPr>
        <w:t>determine</w:t>
      </w:r>
      <w:r w:rsidRPr="2AD25726" w:rsidR="05224F60">
        <w:rPr>
          <w:rFonts w:ascii="Arial" w:hAnsi="Arial" w:eastAsia="Arial" w:cs="Arial"/>
          <w:b w:val="0"/>
          <w:bCs w:val="0"/>
          <w:i w:val="0"/>
          <w:iCs w:val="0"/>
          <w:caps w:val="0"/>
          <w:smallCaps w:val="0"/>
          <w:noProof w:val="0"/>
          <w:color w:val="000000" w:themeColor="text1" w:themeTint="FF" w:themeShade="FF"/>
          <w:sz w:val="22"/>
          <w:szCs w:val="22"/>
          <w:lang w:val="en-GB"/>
        </w:rPr>
        <w:t xml:space="preserve"> the prevalence of rotavirus. </w:t>
      </w:r>
      <w:r w:rsidRPr="2AD25726" w:rsidR="05224F60">
        <w:rPr>
          <w:rFonts w:ascii="Arial" w:hAnsi="Arial" w:eastAsia="Arial" w:cs="Arial"/>
          <w:b w:val="0"/>
          <w:bCs w:val="0"/>
          <w:i w:val="0"/>
          <w:iCs w:val="0"/>
          <w:caps w:val="0"/>
          <w:smallCaps w:val="0"/>
          <w:noProof w:val="0"/>
          <w:color w:val="000000" w:themeColor="text1" w:themeTint="FF" w:themeShade="FF"/>
          <w:sz w:val="22"/>
          <w:szCs w:val="22"/>
          <w:lang w:val="en-GB"/>
        </w:rPr>
        <w:t>To</w:t>
      </w:r>
      <w:r w:rsidRPr="2AD25726" w:rsidR="05224F60">
        <w:rPr>
          <w:rFonts w:ascii="Arial" w:hAnsi="Arial" w:eastAsia="Arial" w:cs="Arial"/>
          <w:b w:val="0"/>
          <w:bCs w:val="0"/>
          <w:i w:val="0"/>
          <w:iCs w:val="0"/>
          <w:caps w:val="0"/>
          <w:smallCaps w:val="0"/>
          <w:noProof w:val="0"/>
          <w:color w:val="000000" w:themeColor="text1" w:themeTint="FF" w:themeShade="FF"/>
          <w:sz w:val="22"/>
          <w:szCs w:val="22"/>
          <w:lang w:val="en-GB"/>
        </w:rPr>
        <w:t xml:space="preserve"> keep track of the number of children who are admitted to hospitals with severe rotavirus diarrhoea, Public Health England (PHE) gathers information from hospitals all over the country. This information is </w:t>
      </w:r>
      <w:r w:rsidRPr="2AD25726" w:rsidR="05224F60">
        <w:rPr>
          <w:rFonts w:ascii="Arial" w:hAnsi="Arial" w:eastAsia="Arial" w:cs="Arial"/>
          <w:b w:val="0"/>
          <w:bCs w:val="0"/>
          <w:i w:val="0"/>
          <w:iCs w:val="0"/>
          <w:caps w:val="0"/>
          <w:smallCaps w:val="0"/>
          <w:noProof w:val="0"/>
          <w:color w:val="000000" w:themeColor="text1" w:themeTint="FF" w:themeShade="FF"/>
          <w:sz w:val="22"/>
          <w:szCs w:val="22"/>
          <w:lang w:val="en-GB"/>
        </w:rPr>
        <w:t>utilized</w:t>
      </w:r>
      <w:r w:rsidRPr="2AD25726" w:rsidR="05224F60">
        <w:rPr>
          <w:rFonts w:ascii="Arial" w:hAnsi="Arial" w:eastAsia="Arial" w:cs="Arial"/>
          <w:b w:val="0"/>
          <w:bCs w:val="0"/>
          <w:i w:val="0"/>
          <w:iCs w:val="0"/>
          <w:caps w:val="0"/>
          <w:smallCaps w:val="0"/>
          <w:noProof w:val="0"/>
          <w:color w:val="000000" w:themeColor="text1" w:themeTint="FF" w:themeShade="FF"/>
          <w:sz w:val="22"/>
          <w:szCs w:val="22"/>
          <w:lang w:val="en-GB"/>
        </w:rPr>
        <w:t xml:space="preserve"> to appraise the general weight of rotavirus illness in the UK and to recognize any patterns or episodes.</w:t>
      </w:r>
    </w:p>
    <w:p w:rsidR="409643AC" w:rsidP="2AD25726" w:rsidRDefault="409643AC" w14:paraId="71819F2B" w14:textId="62461090">
      <w:pPr>
        <w:pStyle w:val="Normal"/>
        <w:spacing w:line="360" w:lineRule="auto"/>
        <w:rPr>
          <w:rFonts w:ascii="Arial" w:hAnsi="Arial" w:eastAsia="Arial" w:cs="Arial"/>
          <w:noProof w:val="0"/>
          <w:sz w:val="22"/>
          <w:szCs w:val="22"/>
          <w:lang w:val="en-GB"/>
        </w:rPr>
      </w:pPr>
      <w:r w:rsidRPr="2AD25726" w:rsidR="409643AC">
        <w:rPr>
          <w:rFonts w:ascii="Arial" w:hAnsi="Arial" w:eastAsia="Arial" w:cs="Arial"/>
          <w:b w:val="0"/>
          <w:bCs w:val="0"/>
          <w:i w:val="0"/>
          <w:iCs w:val="0"/>
          <w:caps w:val="0"/>
          <w:smallCaps w:val="0"/>
          <w:noProof w:val="0"/>
          <w:color w:val="000000" w:themeColor="text1" w:themeTint="FF" w:themeShade="FF"/>
          <w:sz w:val="22"/>
          <w:szCs w:val="22"/>
          <w:lang w:val="en-GB"/>
        </w:rPr>
        <w:t>According to the centres for disease control and prevention</w:t>
      </w:r>
      <w:r w:rsidRPr="2AD25726" w:rsidR="1FE8B645">
        <w:rPr>
          <w:rFonts w:ascii="Arial" w:hAnsi="Arial" w:eastAsia="Arial" w:cs="Arial"/>
          <w:b w:val="0"/>
          <w:bCs w:val="0"/>
          <w:i w:val="0"/>
          <w:iCs w:val="0"/>
          <w:caps w:val="0"/>
          <w:smallCaps w:val="0"/>
          <w:noProof w:val="0"/>
          <w:color w:val="000000" w:themeColor="text1" w:themeTint="FF" w:themeShade="FF"/>
          <w:sz w:val="22"/>
          <w:szCs w:val="22"/>
          <w:lang w:val="en-GB"/>
        </w:rPr>
        <w:t xml:space="preserve"> (CDC), the basic or fundamental ways of monitoring </w:t>
      </w:r>
      <w:r w:rsidRPr="2AD25726" w:rsidR="05A1BF42">
        <w:rPr>
          <w:rFonts w:ascii="Arial" w:hAnsi="Arial" w:eastAsia="Arial" w:cs="Arial"/>
          <w:b w:val="0"/>
          <w:bCs w:val="0"/>
          <w:i w:val="0"/>
          <w:iCs w:val="0"/>
          <w:caps w:val="0"/>
          <w:smallCaps w:val="0"/>
          <w:noProof w:val="0"/>
          <w:color w:val="000000" w:themeColor="text1" w:themeTint="FF" w:themeShade="FF"/>
          <w:sz w:val="22"/>
          <w:szCs w:val="22"/>
          <w:lang w:val="en-GB"/>
        </w:rPr>
        <w:t>disease outbreak is hand hygiene</w:t>
      </w:r>
      <w:r w:rsidRPr="2AD25726" w:rsidR="7BED206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AD25726" w:rsidR="7BED2069">
        <w:rPr>
          <w:rFonts w:ascii="Arial" w:hAnsi="Arial" w:eastAsia="Arial" w:cs="Arial"/>
          <w:noProof w:val="0"/>
          <w:sz w:val="22"/>
          <w:szCs w:val="22"/>
          <w:lang w:val="en-GB"/>
        </w:rPr>
        <w:t>According to centres for disease control and prevention (CDC prevention)</w:t>
      </w:r>
    </w:p>
    <w:p w:rsidR="7BED2069" w:rsidP="2AD25726" w:rsidRDefault="7BED2069" w14:paraId="4C3C52A2" w14:textId="32E99758">
      <w:pPr>
        <w:pStyle w:val="Normal"/>
        <w:rPr>
          <w:rFonts w:ascii="Arial" w:hAnsi="Arial" w:eastAsia="Arial" w:cs="Arial"/>
          <w:noProof w:val="0"/>
          <w:sz w:val="22"/>
          <w:szCs w:val="22"/>
          <w:lang w:val="en-GB"/>
        </w:rPr>
      </w:pPr>
      <w:r w:rsidRPr="2AD25726" w:rsidR="7BED2069">
        <w:rPr>
          <w:rFonts w:ascii="Arial" w:hAnsi="Arial" w:eastAsia="Arial" w:cs="Arial"/>
          <w:noProof w:val="0"/>
          <w:sz w:val="22"/>
          <w:szCs w:val="22"/>
          <w:lang w:val="en-GB"/>
        </w:rPr>
        <w:t xml:space="preserve">There are several ways to </w:t>
      </w:r>
      <w:r w:rsidRPr="2AD25726" w:rsidR="7BED2069">
        <w:rPr>
          <w:rFonts w:ascii="Arial" w:hAnsi="Arial" w:eastAsia="Arial" w:cs="Arial"/>
          <w:noProof w:val="0"/>
          <w:sz w:val="22"/>
          <w:szCs w:val="22"/>
          <w:lang w:val="en-GB"/>
        </w:rPr>
        <w:t>monitor</w:t>
      </w:r>
      <w:r w:rsidRPr="2AD25726" w:rsidR="7BED2069">
        <w:rPr>
          <w:rFonts w:ascii="Arial" w:hAnsi="Arial" w:eastAsia="Arial" w:cs="Arial"/>
          <w:noProof w:val="0"/>
          <w:sz w:val="22"/>
          <w:szCs w:val="22"/>
          <w:lang w:val="en-GB"/>
        </w:rPr>
        <w:t xml:space="preserve"> and to control rotavirus, including:</w:t>
      </w:r>
      <w:r w:rsidRPr="2AD25726" w:rsidR="204490BD">
        <w:rPr>
          <w:rFonts w:ascii="Arial" w:hAnsi="Arial" w:eastAsia="Arial" w:cs="Arial"/>
          <w:b w:val="0"/>
          <w:bCs w:val="0"/>
          <w:i w:val="0"/>
          <w:iCs w:val="0"/>
          <w:caps w:val="0"/>
          <w:smallCaps w:val="0"/>
          <w:noProof w:val="0"/>
          <w:color w:val="374151"/>
          <w:sz w:val="24"/>
          <w:szCs w:val="24"/>
          <w:lang w:val="en-GB"/>
        </w:rPr>
        <w:t xml:space="preserve"> </w:t>
      </w:r>
      <w:r w:rsidRPr="2AD25726" w:rsidR="204490BD">
        <w:rPr>
          <w:rFonts w:ascii="Arial" w:hAnsi="Arial" w:eastAsia="Arial" w:cs="Arial"/>
          <w:b w:val="0"/>
          <w:bCs w:val="0"/>
          <w:i w:val="0"/>
          <w:iCs w:val="0"/>
          <w:caps w:val="0"/>
          <w:smallCaps w:val="0"/>
          <w:noProof w:val="0"/>
          <w:color w:val="374151"/>
          <w:sz w:val="22"/>
          <w:szCs w:val="22"/>
          <w:lang w:val="en-GB"/>
        </w:rPr>
        <w:t xml:space="preserve">However, there are some limitations to these strategies. For example, the surveillance of hospital admissions may not capture all cases of rotavirus, particularly milder cases that are treated in the community. </w:t>
      </w:r>
      <w:r w:rsidRPr="2AD25726" w:rsidR="44DA976D">
        <w:rPr>
          <w:rFonts w:ascii="Arial" w:hAnsi="Arial" w:eastAsia="Arial" w:cs="Arial"/>
          <w:noProof w:val="0"/>
          <w:sz w:val="22"/>
          <w:szCs w:val="22"/>
          <w:lang w:val="en-GB"/>
        </w:rPr>
        <w:t xml:space="preserve">Isolation: Infected individuals should be isolated from others to prevent the spread of the virus. This is especially important in childcare settings where the virus can. </w:t>
      </w:r>
    </w:p>
    <w:p w:rsidR="204490BD" w:rsidP="2AD25726" w:rsidRDefault="204490BD" w14:paraId="43977C0C" w14:textId="180E75F1">
      <w:pPr>
        <w:pStyle w:val="Normal"/>
        <w:spacing w:line="360" w:lineRule="auto"/>
        <w:rPr>
          <w:rFonts w:ascii="Arial" w:hAnsi="Arial" w:eastAsia="Arial" w:cs="Arial"/>
          <w:noProof w:val="0"/>
          <w:sz w:val="22"/>
          <w:szCs w:val="22"/>
          <w:lang w:val="en-GB"/>
        </w:rPr>
      </w:pPr>
      <w:r w:rsidRPr="2AD25726" w:rsidR="204490BD">
        <w:rPr>
          <w:rFonts w:ascii="Arial" w:hAnsi="Arial" w:eastAsia="Arial" w:cs="Arial"/>
          <w:b w:val="0"/>
          <w:bCs w:val="0"/>
          <w:i w:val="0"/>
          <w:iCs w:val="0"/>
          <w:caps w:val="0"/>
          <w:smallCaps w:val="0"/>
          <w:noProof w:val="0"/>
          <w:color w:val="374151"/>
          <w:sz w:val="22"/>
          <w:szCs w:val="22"/>
          <w:lang w:val="en-GB"/>
        </w:rPr>
        <w:t xml:space="preserve">Laboratory testing may also be limited by the availability of resources and </w:t>
      </w:r>
      <w:r w:rsidRPr="2AD25726" w:rsidR="204490BD">
        <w:rPr>
          <w:rFonts w:ascii="Arial" w:hAnsi="Arial" w:eastAsia="Arial" w:cs="Arial"/>
          <w:b w:val="0"/>
          <w:bCs w:val="0"/>
          <w:i w:val="0"/>
          <w:iCs w:val="0"/>
          <w:caps w:val="0"/>
          <w:smallCaps w:val="0"/>
          <w:noProof w:val="0"/>
          <w:color w:val="374151"/>
          <w:sz w:val="22"/>
          <w:szCs w:val="22"/>
          <w:lang w:val="en-GB"/>
        </w:rPr>
        <w:t>expertise</w:t>
      </w:r>
      <w:r w:rsidRPr="2AD25726" w:rsidR="204490BD">
        <w:rPr>
          <w:rFonts w:ascii="Arial" w:hAnsi="Arial" w:eastAsia="Arial" w:cs="Arial"/>
          <w:b w:val="0"/>
          <w:bCs w:val="0"/>
          <w:i w:val="0"/>
          <w:iCs w:val="0"/>
          <w:caps w:val="0"/>
          <w:smallCaps w:val="0"/>
          <w:noProof w:val="0"/>
          <w:color w:val="374151"/>
          <w:sz w:val="22"/>
          <w:szCs w:val="22"/>
          <w:lang w:val="en-GB"/>
        </w:rPr>
        <w:t xml:space="preserve">, particularly in more remote or rural areas. Finally, the success of the national immunization </w:t>
      </w:r>
      <w:r w:rsidRPr="2AD25726" w:rsidR="64CBDA30">
        <w:rPr>
          <w:rFonts w:ascii="Arial" w:hAnsi="Arial" w:eastAsia="Arial" w:cs="Arial"/>
          <w:b w:val="0"/>
          <w:bCs w:val="0"/>
          <w:i w:val="0"/>
          <w:iCs w:val="0"/>
          <w:caps w:val="0"/>
          <w:smallCaps w:val="0"/>
          <w:noProof w:val="0"/>
          <w:color w:val="374151"/>
          <w:sz w:val="22"/>
          <w:szCs w:val="22"/>
          <w:lang w:val="en-GB"/>
        </w:rPr>
        <w:t>program (</w:t>
      </w:r>
      <w:r w:rsidRPr="2AD25726" w:rsidR="64CBDA30">
        <w:rPr>
          <w:rFonts w:ascii="Arial" w:hAnsi="Arial" w:eastAsia="Arial" w:cs="Arial"/>
          <w:b w:val="0"/>
          <w:bCs w:val="0"/>
          <w:i w:val="0"/>
          <w:iCs w:val="0"/>
          <w:caps w:val="0"/>
          <w:smallCaps w:val="0"/>
          <w:noProof w:val="0"/>
          <w:color w:val="374151"/>
          <w:sz w:val="22"/>
          <w:szCs w:val="22"/>
          <w:lang w:val="en-GB"/>
        </w:rPr>
        <w:t xml:space="preserve">2013) </w:t>
      </w:r>
      <w:r w:rsidRPr="2AD25726" w:rsidR="204490BD">
        <w:rPr>
          <w:rFonts w:ascii="Arial" w:hAnsi="Arial" w:eastAsia="Arial" w:cs="Arial"/>
          <w:b w:val="0"/>
          <w:bCs w:val="0"/>
          <w:i w:val="0"/>
          <w:iCs w:val="0"/>
          <w:caps w:val="0"/>
          <w:smallCaps w:val="0"/>
          <w:noProof w:val="0"/>
          <w:color w:val="374151"/>
          <w:sz w:val="22"/>
          <w:szCs w:val="22"/>
          <w:lang w:val="en-GB"/>
        </w:rPr>
        <w:t>depends on high uptake rates, which may be influenced by factors such as vaccine hesitancy or access to healthcare</w:t>
      </w:r>
      <w:r w:rsidRPr="2AD25726" w:rsidR="204490BD">
        <w:rPr>
          <w:rFonts w:ascii="Arial" w:hAnsi="Arial" w:eastAsia="Arial" w:cs="Arial"/>
          <w:b w:val="0"/>
          <w:bCs w:val="0"/>
          <w:i w:val="0"/>
          <w:iCs w:val="0"/>
          <w:caps w:val="0"/>
          <w:smallCaps w:val="0"/>
          <w:noProof w:val="0"/>
          <w:color w:val="374151"/>
          <w:sz w:val="24"/>
          <w:szCs w:val="24"/>
          <w:lang w:val="en-GB"/>
        </w:rPr>
        <w:t>.</w:t>
      </w:r>
    </w:p>
    <w:p w:rsidR="7BED2069" w:rsidP="2AD25726" w:rsidRDefault="7BED2069" w14:paraId="59A82AC2" w14:textId="44B70C5C">
      <w:pPr>
        <w:pStyle w:val="Normal"/>
        <w:spacing w:line="360" w:lineRule="auto"/>
        <w:rPr>
          <w:rFonts w:ascii="Arial" w:hAnsi="Arial" w:eastAsia="Arial" w:cs="Arial"/>
          <w:noProof w:val="0"/>
          <w:sz w:val="22"/>
          <w:szCs w:val="22"/>
          <w:lang w:val="en-GB"/>
        </w:rPr>
      </w:pPr>
      <w:r w:rsidRPr="2AD25726" w:rsidR="7BED2069">
        <w:rPr>
          <w:rFonts w:ascii="Arial" w:hAnsi="Arial" w:eastAsia="Arial" w:cs="Arial"/>
          <w:noProof w:val="0"/>
          <w:sz w:val="22"/>
          <w:szCs w:val="22"/>
          <w:lang w:val="en-GB"/>
        </w:rPr>
        <w:t xml:space="preserve">Hand hygiene, washing yours </w:t>
      </w:r>
      <w:r w:rsidRPr="2AD25726" w:rsidR="7BED2069">
        <w:rPr>
          <w:rFonts w:ascii="Arial" w:hAnsi="Arial" w:eastAsia="Arial" w:cs="Arial"/>
          <w:noProof w:val="0"/>
          <w:sz w:val="22"/>
          <w:szCs w:val="22"/>
          <w:lang w:val="en-GB"/>
        </w:rPr>
        <w:t>frequently</w:t>
      </w:r>
      <w:r w:rsidRPr="2AD25726" w:rsidR="7BED2069">
        <w:rPr>
          <w:rFonts w:ascii="Arial" w:hAnsi="Arial" w:eastAsia="Arial" w:cs="Arial"/>
          <w:noProof w:val="0"/>
          <w:sz w:val="22"/>
          <w:szCs w:val="22"/>
          <w:lang w:val="en-GB"/>
        </w:rPr>
        <w:t xml:space="preserve"> under a running water, covering cough, </w:t>
      </w:r>
      <w:r w:rsidRPr="2AD25726" w:rsidR="76468256">
        <w:rPr>
          <w:rFonts w:ascii="Arial" w:hAnsi="Arial" w:eastAsia="Arial" w:cs="Arial"/>
          <w:noProof w:val="0"/>
          <w:sz w:val="22"/>
          <w:szCs w:val="22"/>
          <w:lang w:val="en-GB"/>
        </w:rPr>
        <w:t xml:space="preserve">frequent cleaning of object used by the kids </w:t>
      </w:r>
      <w:r w:rsidRPr="2AD25726" w:rsidR="1D8DA89D">
        <w:rPr>
          <w:rFonts w:ascii="Arial" w:hAnsi="Arial" w:eastAsia="Arial" w:cs="Arial"/>
          <w:noProof w:val="0"/>
          <w:sz w:val="22"/>
          <w:szCs w:val="22"/>
          <w:lang w:val="en-GB"/>
        </w:rPr>
        <w:t>and</w:t>
      </w:r>
      <w:r w:rsidRPr="2AD25726" w:rsidR="00B0AB1D">
        <w:rPr>
          <w:rFonts w:ascii="Arial" w:hAnsi="Arial" w:eastAsia="Arial" w:cs="Arial"/>
          <w:noProof w:val="0"/>
          <w:sz w:val="22"/>
          <w:szCs w:val="22"/>
          <w:lang w:val="en-GB"/>
        </w:rPr>
        <w:t xml:space="preserve"> frequent ventilating.</w:t>
      </w:r>
    </w:p>
    <w:p w:rsidR="78F17B93" w:rsidP="2AD25726" w:rsidRDefault="78F17B93" w14:paraId="351CB0DA" w14:textId="72A6F63D">
      <w:pPr>
        <w:pStyle w:val="Normal"/>
        <w:spacing w:line="360" w:lineRule="auto"/>
        <w:rPr>
          <w:rFonts w:ascii="Arial" w:hAnsi="Arial" w:eastAsia="Arial" w:cs="Arial"/>
          <w:noProof w:val="0"/>
          <w:sz w:val="22"/>
          <w:szCs w:val="22"/>
          <w:lang w:val="en-GB"/>
        </w:rPr>
      </w:pPr>
      <w:r w:rsidRPr="2AD25726" w:rsidR="78F17B93">
        <w:rPr>
          <w:rFonts w:ascii="Arial" w:hAnsi="Arial" w:eastAsia="Arial" w:cs="Arial"/>
          <w:noProof w:val="0"/>
          <w:sz w:val="22"/>
          <w:szCs w:val="22"/>
          <w:lang w:val="en-GB"/>
        </w:rPr>
        <w:t xml:space="preserve">In conclusion, </w:t>
      </w:r>
      <w:r w:rsidRPr="2AD25726" w:rsidR="49076844">
        <w:rPr>
          <w:rFonts w:ascii="Arial" w:hAnsi="Arial" w:eastAsia="Arial" w:cs="Arial"/>
          <w:noProof w:val="0"/>
          <w:sz w:val="22"/>
          <w:szCs w:val="22"/>
          <w:lang w:val="en-GB"/>
        </w:rPr>
        <w:t>Finally, the UK has implemented a national immunization program to help prevent rotavirus infections. Since 2013, the rotavirus vaccine has been offered to all infants in the UK as part of their routine immunization schedule. This has led to a significant reduction in the incidence of rotavirus in the country</w:t>
      </w:r>
      <w:r w:rsidRPr="2AD25726" w:rsidR="49076844">
        <w:rPr>
          <w:rFonts w:ascii="Arial" w:hAnsi="Arial" w:eastAsia="Arial" w:cs="Arial"/>
          <w:noProof w:val="0"/>
          <w:sz w:val="22"/>
          <w:szCs w:val="22"/>
          <w:lang w:val="en-GB"/>
        </w:rPr>
        <w:t xml:space="preserve">. </w:t>
      </w:r>
    </w:p>
    <w:p w:rsidR="78F17B93" w:rsidP="2AD25726" w:rsidRDefault="78F17B93" w14:paraId="741658E4" w14:textId="28B6B93F">
      <w:pPr>
        <w:pStyle w:val="Normal"/>
        <w:spacing w:line="360" w:lineRule="auto"/>
        <w:rPr>
          <w:rFonts w:ascii="Arial" w:hAnsi="Arial" w:eastAsia="Arial" w:cs="Arial"/>
          <w:noProof w:val="0"/>
          <w:sz w:val="22"/>
          <w:szCs w:val="22"/>
          <w:lang w:val="en-GB"/>
        </w:rPr>
      </w:pPr>
      <w:r w:rsidRPr="2AD25726" w:rsidR="78F17B93">
        <w:rPr>
          <w:rFonts w:ascii="Arial" w:hAnsi="Arial" w:eastAsia="Arial" w:cs="Arial"/>
          <w:noProof w:val="0"/>
          <w:sz w:val="22"/>
          <w:szCs w:val="22"/>
          <w:lang w:val="en-GB"/>
        </w:rPr>
        <w:t>there are issues with the methods employed in the UK to track the prevalence of rotavirus. Although sentinel monitoring and laboratory-based surveillance produce valuable data, they could not accurately reflect the real burden of disease in the population. Rotavirus incidence has been reduced through vaccination and infection prevention and control methods, although the availability and efficacy of these treatments varies among contexts and geographical areas. To ensure the most efficient interventions are deployed, there is a need for ongoing monitoring and assessment of the measures used to restrict the spread of rotavirus.</w:t>
      </w:r>
    </w:p>
    <w:p w:rsidR="3C01FB58" w:rsidP="2AD25726" w:rsidRDefault="3C01FB58" w14:paraId="27AEE3E6" w14:textId="4D4958ED">
      <w:pPr>
        <w:pStyle w:val="Normal"/>
        <w:spacing w:line="360" w:lineRule="auto"/>
        <w:rPr>
          <w:rFonts w:ascii="Arial" w:hAnsi="Arial" w:eastAsia="Arial" w:cs="Arial"/>
          <w:sz w:val="22"/>
          <w:szCs w:val="22"/>
        </w:rPr>
      </w:pPr>
      <w:r w:rsidRPr="2AD25726" w:rsidR="3C01FB58">
        <w:rPr>
          <w:rFonts w:ascii="Arial" w:hAnsi="Arial" w:eastAsia="Arial" w:cs="Arial"/>
          <w:noProof w:val="0"/>
          <w:sz w:val="22"/>
          <w:szCs w:val="22"/>
          <w:lang w:val="en-GB"/>
        </w:rPr>
        <w:t>E</w:t>
      </w:r>
      <w:r w:rsidRPr="2AD25726" w:rsidR="21617059">
        <w:rPr>
          <w:rFonts w:ascii="Arial" w:hAnsi="Arial" w:eastAsia="Arial" w:cs="Arial"/>
          <w:noProof w:val="0"/>
          <w:sz w:val="22"/>
          <w:szCs w:val="22"/>
          <w:lang w:val="en-GB"/>
        </w:rPr>
        <w:t xml:space="preserve">ven though the methods </w:t>
      </w:r>
      <w:r w:rsidRPr="2AD25726" w:rsidR="65ED19BA">
        <w:rPr>
          <w:rFonts w:ascii="Arial" w:hAnsi="Arial" w:eastAsia="Arial" w:cs="Arial"/>
          <w:noProof w:val="0"/>
          <w:sz w:val="22"/>
          <w:szCs w:val="22"/>
          <w:lang w:val="en-GB"/>
        </w:rPr>
        <w:t>used</w:t>
      </w:r>
      <w:r w:rsidRPr="2AD25726" w:rsidR="21617059">
        <w:rPr>
          <w:rFonts w:ascii="Arial" w:hAnsi="Arial" w:eastAsia="Arial" w:cs="Arial"/>
          <w:noProof w:val="0"/>
          <w:sz w:val="22"/>
          <w:szCs w:val="22"/>
          <w:lang w:val="en-GB"/>
        </w:rPr>
        <w:t xml:space="preserve"> in the United Kingdom to measure the prevalence of rotavirus are successful, there are some drawbacks to these methods. To ensure that these strategies continue to be effective in detecting and preventing rotavirus infections, they must be evaluated and </w:t>
      </w:r>
      <w:r w:rsidRPr="2AD25726" w:rsidR="21617059">
        <w:rPr>
          <w:rFonts w:ascii="Arial" w:hAnsi="Arial" w:eastAsia="Arial" w:cs="Arial"/>
          <w:noProof w:val="0"/>
          <w:sz w:val="22"/>
          <w:szCs w:val="22"/>
          <w:lang w:val="en-GB"/>
        </w:rPr>
        <w:t>monitored</w:t>
      </w:r>
      <w:r w:rsidRPr="2AD25726" w:rsidR="21617059">
        <w:rPr>
          <w:rFonts w:ascii="Arial" w:hAnsi="Arial" w:eastAsia="Arial" w:cs="Arial"/>
          <w:noProof w:val="0"/>
          <w:sz w:val="22"/>
          <w:szCs w:val="22"/>
          <w:lang w:val="en-GB"/>
        </w:rPr>
        <w:t xml:space="preserve"> on a regular basis.</w:t>
      </w:r>
      <w:r w:rsidRPr="2AD25726" w:rsidR="76468256">
        <w:rPr>
          <w:rFonts w:ascii="Arial" w:hAnsi="Arial" w:eastAsia="Arial" w:cs="Arial"/>
          <w:noProof w:val="0"/>
          <w:sz w:val="22"/>
          <w:szCs w:val="22"/>
          <w:lang w:val="en-GB"/>
        </w:rPr>
        <w:t xml:space="preserve"> </w:t>
      </w:r>
    </w:p>
    <w:p w:rsidR="55ABB281" w:rsidP="2AD25726" w:rsidRDefault="55ABB281" w14:paraId="35C32C58" w14:textId="3EF5B2E5">
      <w:pPr>
        <w:pStyle w:val="Normal"/>
        <w:spacing w:line="360" w:lineRule="auto"/>
        <w:rPr>
          <w:rFonts w:ascii="Arial" w:hAnsi="Arial" w:eastAsia="Arial" w:cs="Arial"/>
          <w:sz w:val="22"/>
          <w:szCs w:val="22"/>
        </w:rPr>
      </w:pPr>
      <w:r w:rsidRPr="2AD25726" w:rsidR="55ABB281">
        <w:rPr>
          <w:rFonts w:ascii="Arial" w:hAnsi="Arial" w:eastAsia="Arial" w:cs="Arial"/>
        </w:rPr>
        <w:t xml:space="preserve">Reference </w:t>
      </w:r>
    </w:p>
    <w:p w:rsidR="2AD25726" w:rsidP="2AD25726" w:rsidRDefault="2AD25726" w14:paraId="1560E587" w14:textId="69D0B2DF">
      <w:pPr>
        <w:rPr>
          <w:rFonts w:ascii="Arial" w:hAnsi="Arial" w:eastAsia="Arial" w:cs="Arial"/>
          <w:noProof w:val="0"/>
          <w:sz w:val="24"/>
          <w:szCs w:val="24"/>
          <w:lang w:val="en-GB"/>
        </w:rPr>
      </w:pPr>
    </w:p>
    <w:p w:rsidR="55ABB281" w:rsidRDefault="55ABB281" w14:paraId="6434F27F" w14:textId="46101875">
      <w:r w:rsidRPr="2AD25726" w:rsidR="55ABB281">
        <w:rPr>
          <w:rFonts w:ascii="Arial" w:hAnsi="Arial" w:eastAsia="Arial" w:cs="Arial"/>
          <w:noProof w:val="0"/>
          <w:sz w:val="24"/>
          <w:szCs w:val="24"/>
          <w:lang w:val="en-GB"/>
        </w:rPr>
        <w:t>Reference</w:t>
      </w:r>
    </w:p>
    <w:p w:rsidR="55ABB281" w:rsidP="2AD25726" w:rsidRDefault="55ABB281" w14:paraId="6C02D6A5" w14:textId="1B86E6D6">
      <w:pPr>
        <w:pStyle w:val="ListParagraph"/>
        <w:numPr>
          <w:ilvl w:val="0"/>
          <w:numId w:val="1"/>
        </w:numPr>
        <w:tabs>
          <w:tab w:val="left" w:leader="none" w:pos="0"/>
          <w:tab w:val="left" w:leader="none" w:pos="720"/>
        </w:tabs>
        <w:rPr>
          <w:rFonts w:ascii="Open Sans" w:hAnsi="Open Sans" w:eastAsia="Open Sans" w:cs="Open Sans"/>
          <w:noProof w:val="0"/>
          <w:color w:val="000000" w:themeColor="text1" w:themeTint="FF" w:themeShade="FF"/>
          <w:sz w:val="26"/>
          <w:szCs w:val="26"/>
          <w:lang w:val="en-GB"/>
        </w:rPr>
      </w:pPr>
      <w:r w:rsidRPr="2AD25726" w:rsidR="55ABB281">
        <w:rPr>
          <w:rFonts w:ascii="Open Sans" w:hAnsi="Open Sans" w:eastAsia="Open Sans" w:cs="Open Sans"/>
          <w:noProof w:val="0"/>
          <w:color w:val="000000" w:themeColor="text1" w:themeTint="FF" w:themeShade="FF"/>
          <w:sz w:val="26"/>
          <w:szCs w:val="26"/>
          <w:lang w:val="en-GB"/>
        </w:rPr>
        <w:t xml:space="preserve">Hallowell BD, Parashar UD, Curns A, DeGroote NP, Tate JE. </w:t>
      </w:r>
      <w:hyperlink r:id="R30f9fb2c19bb4c36">
        <w:r w:rsidRPr="2AD25726" w:rsidR="55ABB281">
          <w:rPr>
            <w:rStyle w:val="Hyperlink"/>
            <w:rFonts w:ascii="Open Sans" w:hAnsi="Open Sans" w:eastAsia="Open Sans" w:cs="Open Sans"/>
            <w:strike w:val="0"/>
            <w:dstrike w:val="0"/>
            <w:noProof w:val="0"/>
            <w:sz w:val="26"/>
            <w:szCs w:val="26"/>
            <w:lang w:val="en-GB"/>
          </w:rPr>
          <w:t>Trends in the Laboratory Detection of Rotavirus Before and After Implementation of Routine Rotavirus Vaccination — United States, 2000–2018</w:t>
        </w:r>
      </w:hyperlink>
      <w:r w:rsidRPr="2AD25726" w:rsidR="55ABB281">
        <w:rPr>
          <w:rFonts w:ascii="Open Sans" w:hAnsi="Open Sans" w:eastAsia="Open Sans" w:cs="Open Sans"/>
          <w:noProof w:val="0"/>
          <w:color w:val="000000" w:themeColor="text1" w:themeTint="FF" w:themeShade="FF"/>
          <w:sz w:val="26"/>
          <w:szCs w:val="26"/>
          <w:lang w:val="en-GB"/>
        </w:rPr>
        <w:t>. MMWR 2019;68(24);539–543</w:t>
      </w:r>
    </w:p>
    <w:p w:rsidR="55ABB281" w:rsidP="2AD25726" w:rsidRDefault="55ABB281" w14:paraId="104B14F4" w14:textId="7C9175E0">
      <w:pPr>
        <w:pStyle w:val="ListParagraph"/>
        <w:numPr>
          <w:ilvl w:val="0"/>
          <w:numId w:val="1"/>
        </w:numPr>
        <w:tabs>
          <w:tab w:val="left" w:leader="none" w:pos="0"/>
          <w:tab w:val="left" w:leader="none" w:pos="720"/>
        </w:tabs>
        <w:rPr>
          <w:rFonts w:ascii="Open Sans" w:hAnsi="Open Sans" w:eastAsia="Open Sans" w:cs="Open Sans"/>
          <w:noProof w:val="0"/>
          <w:color w:val="000000" w:themeColor="text1" w:themeTint="FF" w:themeShade="FF"/>
          <w:sz w:val="26"/>
          <w:szCs w:val="26"/>
          <w:lang w:val="en-GB"/>
        </w:rPr>
      </w:pPr>
      <w:r w:rsidRPr="2AD25726" w:rsidR="55ABB281">
        <w:rPr>
          <w:rFonts w:ascii="Open Sans" w:hAnsi="Open Sans" w:eastAsia="Open Sans" w:cs="Open Sans"/>
          <w:noProof w:val="0"/>
          <w:color w:val="000000" w:themeColor="text1" w:themeTint="FF" w:themeShade="FF"/>
          <w:sz w:val="26"/>
          <w:szCs w:val="26"/>
          <w:lang w:val="en-GB"/>
        </w:rPr>
        <w:t xml:space="preserve">Burke RM, Tate JE, Barin N, et al. </w:t>
      </w:r>
      <w:hyperlink r:id="R2ce69a3110a44b7d">
        <w:r w:rsidRPr="2AD25726" w:rsidR="55ABB281">
          <w:rPr>
            <w:rStyle w:val="Hyperlink"/>
            <w:rFonts w:ascii="Open Sans" w:hAnsi="Open Sans" w:eastAsia="Open Sans" w:cs="Open Sans"/>
            <w:strike w:val="0"/>
            <w:dstrike w:val="0"/>
            <w:noProof w:val="0"/>
            <w:sz w:val="26"/>
            <w:szCs w:val="26"/>
            <w:lang w:val="en-GB"/>
          </w:rPr>
          <w:t>Three Rotavirus Outbreaks in the Postvaccine Era — California, 2017</w:t>
        </w:r>
      </w:hyperlink>
      <w:r w:rsidRPr="2AD25726" w:rsidR="55ABB281">
        <w:rPr>
          <w:rFonts w:ascii="Open Sans" w:hAnsi="Open Sans" w:eastAsia="Open Sans" w:cs="Open Sans"/>
          <w:noProof w:val="0"/>
          <w:color w:val="000000" w:themeColor="text1" w:themeTint="FF" w:themeShade="FF"/>
          <w:sz w:val="26"/>
          <w:szCs w:val="26"/>
          <w:lang w:val="en-GB"/>
        </w:rPr>
        <w:t xml:space="preserve">. MMWR </w:t>
      </w:r>
      <w:r w:rsidRPr="2AD25726" w:rsidR="6520DBCC">
        <w:rPr>
          <w:rFonts w:ascii="Open Sans" w:hAnsi="Open Sans" w:eastAsia="Open Sans" w:cs="Open Sans"/>
          <w:noProof w:val="0"/>
          <w:color w:val="000000" w:themeColor="text1" w:themeTint="FF" w:themeShade="FF"/>
          <w:sz w:val="26"/>
          <w:szCs w:val="26"/>
          <w:lang w:val="en-GB"/>
        </w:rPr>
        <w:t>2018; 67:470</w:t>
      </w:r>
      <w:r w:rsidRPr="2AD25726" w:rsidR="55ABB281">
        <w:rPr>
          <w:rFonts w:ascii="Open Sans" w:hAnsi="Open Sans" w:eastAsia="Open Sans" w:cs="Open Sans"/>
          <w:noProof w:val="0"/>
          <w:color w:val="000000" w:themeColor="text1" w:themeTint="FF" w:themeShade="FF"/>
          <w:sz w:val="26"/>
          <w:szCs w:val="26"/>
          <w:lang w:val="en-GB"/>
        </w:rPr>
        <w:t>–472.</w:t>
      </w:r>
    </w:p>
    <w:p w:rsidR="55ABB281" w:rsidP="2AD25726" w:rsidRDefault="55ABB281" w14:paraId="6609C7A0" w14:textId="0CF07C9B">
      <w:pPr>
        <w:pStyle w:val="ListParagraph"/>
        <w:numPr>
          <w:ilvl w:val="0"/>
          <w:numId w:val="1"/>
        </w:numPr>
        <w:tabs>
          <w:tab w:val="left" w:leader="none" w:pos="0"/>
          <w:tab w:val="left" w:leader="none" w:pos="720"/>
        </w:tabs>
        <w:rPr>
          <w:rFonts w:ascii="Open Sans" w:hAnsi="Open Sans" w:eastAsia="Open Sans" w:cs="Open Sans"/>
          <w:noProof w:val="0"/>
          <w:color w:val="000000" w:themeColor="text1" w:themeTint="FF" w:themeShade="FF"/>
          <w:sz w:val="26"/>
          <w:szCs w:val="26"/>
          <w:lang w:val="en-GB"/>
        </w:rPr>
      </w:pPr>
      <w:r w:rsidRPr="2AD25726" w:rsidR="55ABB281">
        <w:rPr>
          <w:rFonts w:ascii="Open Sans" w:hAnsi="Open Sans" w:eastAsia="Open Sans" w:cs="Open Sans"/>
          <w:noProof w:val="0"/>
          <w:color w:val="000000" w:themeColor="text1" w:themeTint="FF" w:themeShade="FF"/>
          <w:sz w:val="26"/>
          <w:szCs w:val="26"/>
          <w:lang w:val="en-GB"/>
        </w:rPr>
        <w:t xml:space="preserve">Aliabadi, N., Tate, J. E., Haynes, A. K., &amp; Parashar, U. </w:t>
      </w:r>
      <w:r w:rsidRPr="2AD25726" w:rsidR="259ED9F8">
        <w:rPr>
          <w:rFonts w:ascii="Open Sans" w:hAnsi="Open Sans" w:eastAsia="Open Sans" w:cs="Open Sans"/>
          <w:noProof w:val="0"/>
          <w:color w:val="000000" w:themeColor="text1" w:themeTint="FF" w:themeShade="FF"/>
          <w:sz w:val="26"/>
          <w:szCs w:val="26"/>
          <w:lang w:val="en-GB"/>
        </w:rPr>
        <w:t>D.</w:t>
      </w:r>
      <w:r w:rsidRPr="2AD25726" w:rsidR="55ABB281">
        <w:rPr>
          <w:rFonts w:ascii="Open Sans" w:hAnsi="Open Sans" w:eastAsia="Open Sans" w:cs="Open Sans"/>
          <w:noProof w:val="0"/>
          <w:color w:val="000000" w:themeColor="text1" w:themeTint="FF" w:themeShade="FF"/>
          <w:sz w:val="26"/>
          <w:szCs w:val="26"/>
          <w:lang w:val="en-GB"/>
        </w:rPr>
        <w:t xml:space="preserve"> </w:t>
      </w:r>
      <w:hyperlink r:id="R91268119d4f646bc">
        <w:r w:rsidRPr="2AD25726" w:rsidR="55ABB281">
          <w:rPr>
            <w:rStyle w:val="Hyperlink"/>
            <w:rFonts w:ascii="Open Sans" w:hAnsi="Open Sans" w:eastAsia="Open Sans" w:cs="Open Sans"/>
            <w:strike w:val="0"/>
            <w:dstrike w:val="0"/>
            <w:noProof w:val="0"/>
            <w:sz w:val="26"/>
            <w:szCs w:val="26"/>
            <w:lang w:val="en-GB"/>
          </w:rPr>
          <w:t>Sustained decrease in laboratory detection of rotavirus after implementation of routine vaccination-United States, 2000-2014.external icon</w:t>
        </w:r>
      </w:hyperlink>
      <w:r w:rsidRPr="2AD25726" w:rsidR="55ABB281">
        <w:rPr>
          <w:rFonts w:ascii="Open Sans" w:hAnsi="Open Sans" w:eastAsia="Open Sans" w:cs="Open Sans"/>
          <w:noProof w:val="0"/>
          <w:color w:val="000000" w:themeColor="text1" w:themeTint="FF" w:themeShade="FF"/>
          <w:sz w:val="26"/>
          <w:szCs w:val="26"/>
          <w:lang w:val="en-GB"/>
        </w:rPr>
        <w:t xml:space="preserve"> </w:t>
      </w:r>
      <w:r w:rsidRPr="2AD25726" w:rsidR="55ABB281">
        <w:rPr>
          <w:rFonts w:ascii="Open Sans" w:hAnsi="Open Sans" w:eastAsia="Open Sans" w:cs="Open Sans"/>
          <w:i w:val="1"/>
          <w:iCs w:val="1"/>
          <w:noProof w:val="0"/>
          <w:color w:val="000000" w:themeColor="text1" w:themeTint="FF" w:themeShade="FF"/>
          <w:sz w:val="26"/>
          <w:szCs w:val="26"/>
          <w:lang w:val="en-GB"/>
        </w:rPr>
        <w:t xml:space="preserve">MMWR. </w:t>
      </w:r>
      <w:r w:rsidRPr="2AD25726" w:rsidR="55ABB281">
        <w:rPr>
          <w:rFonts w:ascii="Open Sans" w:hAnsi="Open Sans" w:eastAsia="Open Sans" w:cs="Open Sans"/>
          <w:noProof w:val="0"/>
          <w:color w:val="000000" w:themeColor="text1" w:themeTint="FF" w:themeShade="FF"/>
          <w:sz w:val="26"/>
          <w:szCs w:val="26"/>
          <w:lang w:val="en-GB"/>
        </w:rPr>
        <w:t>2015 Apr 10;64(13):337-42.</w:t>
      </w:r>
    </w:p>
    <w:p w:rsidR="55ABB281" w:rsidP="2AD25726" w:rsidRDefault="55ABB281" w14:paraId="73F58237" w14:textId="01331925">
      <w:pPr>
        <w:pStyle w:val="ListParagraph"/>
        <w:numPr>
          <w:ilvl w:val="0"/>
          <w:numId w:val="1"/>
        </w:numPr>
        <w:tabs>
          <w:tab w:val="left" w:leader="none" w:pos="0"/>
          <w:tab w:val="left" w:leader="none" w:pos="720"/>
        </w:tabs>
        <w:rPr>
          <w:rFonts w:ascii="Open Sans" w:hAnsi="Open Sans" w:eastAsia="Open Sans" w:cs="Open Sans"/>
          <w:noProof w:val="0"/>
          <w:color w:val="000000" w:themeColor="text1" w:themeTint="FF" w:themeShade="FF"/>
          <w:sz w:val="26"/>
          <w:szCs w:val="26"/>
          <w:lang w:val="en-GB"/>
        </w:rPr>
      </w:pPr>
      <w:hyperlink r:id="Rf519db0c02ce45e4">
        <w:r w:rsidRPr="2AD25726" w:rsidR="55ABB281">
          <w:rPr>
            <w:rStyle w:val="Hyperlink"/>
            <w:rFonts w:ascii="Open Sans" w:hAnsi="Open Sans" w:eastAsia="Open Sans" w:cs="Open Sans"/>
            <w:strike w:val="0"/>
            <w:dstrike w:val="0"/>
            <w:noProof w:val="0"/>
            <w:sz w:val="26"/>
            <w:szCs w:val="26"/>
            <w:lang w:val="en-GB"/>
          </w:rPr>
          <w:t>Rotavirus surveillance — Worldwide, 2009</w:t>
        </w:r>
      </w:hyperlink>
      <w:r w:rsidRPr="2AD25726" w:rsidR="55ABB281">
        <w:rPr>
          <w:rFonts w:ascii="Open Sans" w:hAnsi="Open Sans" w:eastAsia="Open Sans" w:cs="Open Sans"/>
          <w:noProof w:val="0"/>
          <w:color w:val="000000" w:themeColor="text1" w:themeTint="FF" w:themeShade="FF"/>
          <w:sz w:val="26"/>
          <w:szCs w:val="26"/>
          <w:lang w:val="en-GB"/>
        </w:rPr>
        <w:t xml:space="preserve">. </w:t>
      </w:r>
      <w:r w:rsidRPr="2AD25726" w:rsidR="55ABB281">
        <w:rPr>
          <w:rFonts w:ascii="Open Sans" w:hAnsi="Open Sans" w:eastAsia="Open Sans" w:cs="Open Sans"/>
          <w:i w:val="1"/>
          <w:iCs w:val="1"/>
          <w:noProof w:val="0"/>
          <w:color w:val="000000" w:themeColor="text1" w:themeTint="FF" w:themeShade="FF"/>
          <w:sz w:val="26"/>
          <w:szCs w:val="26"/>
          <w:lang w:val="en-GB"/>
        </w:rPr>
        <w:t>MMWR</w:t>
      </w:r>
      <w:r w:rsidRPr="2AD25726" w:rsidR="55ABB281">
        <w:rPr>
          <w:rFonts w:ascii="Open Sans" w:hAnsi="Open Sans" w:eastAsia="Open Sans" w:cs="Open Sans"/>
          <w:noProof w:val="0"/>
          <w:color w:val="000000" w:themeColor="text1" w:themeTint="FF" w:themeShade="FF"/>
          <w:sz w:val="26"/>
          <w:szCs w:val="26"/>
          <w:lang w:val="en-GB"/>
        </w:rPr>
        <w:t>. 2011; 60(16):514-6.</w:t>
      </w:r>
    </w:p>
    <w:p w:rsidR="37D81069" w:rsidP="2AD25726" w:rsidRDefault="37D81069" w14:paraId="5CE5CF78" w14:textId="4238BAB0">
      <w:pPr>
        <w:pStyle w:val="ListParagraph"/>
        <w:numPr>
          <w:ilvl w:val="0"/>
          <w:numId w:val="1"/>
        </w:numPr>
        <w:tabs>
          <w:tab w:val="left" w:leader="none" w:pos="0"/>
          <w:tab w:val="left" w:leader="none" w:pos="720"/>
        </w:tabs>
        <w:rPr>
          <w:rFonts w:ascii="Open Sans" w:hAnsi="Open Sans" w:eastAsia="Open Sans" w:cs="Open Sans"/>
          <w:noProof w:val="0"/>
          <w:color w:val="000000" w:themeColor="text1" w:themeTint="FF" w:themeShade="FF"/>
          <w:sz w:val="26"/>
          <w:szCs w:val="26"/>
          <w:lang w:val="en-GB"/>
        </w:rPr>
      </w:pPr>
      <w:r w:rsidRPr="2AD25726" w:rsidR="37D81069">
        <w:rPr>
          <w:rFonts w:ascii="Open Sans" w:hAnsi="Open Sans" w:eastAsia="Open Sans" w:cs="Open Sans"/>
          <w:noProof w:val="0"/>
          <w:color w:val="000000" w:themeColor="text1" w:themeTint="FF" w:themeShade="FF"/>
          <w:sz w:val="26"/>
          <w:szCs w:val="26"/>
          <w:lang w:val="en-GB"/>
        </w:rPr>
        <w:t>Corteze</w:t>
      </w:r>
      <w:r w:rsidRPr="2AD25726" w:rsidR="55ABB281">
        <w:rPr>
          <w:rFonts w:ascii="Open Sans" w:hAnsi="Open Sans" w:eastAsia="Open Sans" w:cs="Open Sans"/>
          <w:noProof w:val="0"/>
          <w:color w:val="000000" w:themeColor="text1" w:themeTint="FF" w:themeShade="FF"/>
          <w:sz w:val="26"/>
          <w:szCs w:val="26"/>
          <w:lang w:val="en-GB"/>
        </w:rPr>
        <w:t xml:space="preserve">, MM, Parashar U. </w:t>
      </w:r>
      <w:hyperlink r:id="R2fba6564848f4a2e">
        <w:r w:rsidRPr="2AD25726" w:rsidR="55ABB281">
          <w:rPr>
            <w:rStyle w:val="Hyperlink"/>
            <w:rFonts w:ascii="Open Sans" w:hAnsi="Open Sans" w:eastAsia="Open Sans" w:cs="Open Sans"/>
            <w:strike w:val="0"/>
            <w:dstrike w:val="0"/>
            <w:noProof w:val="0"/>
            <w:sz w:val="26"/>
            <w:szCs w:val="26"/>
            <w:lang w:val="en-GB"/>
          </w:rPr>
          <w:t>Prevention of Rotavirus Gastroenteritis Among Infants and Children: Recommendations of the Advisory Committee on Immunization Practices (ACIP)</w:t>
        </w:r>
      </w:hyperlink>
      <w:r w:rsidRPr="2AD25726" w:rsidR="55ABB281">
        <w:rPr>
          <w:rFonts w:ascii="Open Sans" w:hAnsi="Open Sans" w:eastAsia="Open Sans" w:cs="Open Sans"/>
          <w:noProof w:val="0"/>
          <w:color w:val="000000" w:themeColor="text1" w:themeTint="FF" w:themeShade="FF"/>
          <w:sz w:val="26"/>
          <w:szCs w:val="26"/>
          <w:lang w:val="en-GB"/>
        </w:rPr>
        <w:t xml:space="preserve">. </w:t>
      </w:r>
      <w:r w:rsidRPr="2AD25726" w:rsidR="55ABB281">
        <w:rPr>
          <w:rFonts w:ascii="Open Sans" w:hAnsi="Open Sans" w:eastAsia="Open Sans" w:cs="Open Sans"/>
          <w:i w:val="1"/>
          <w:iCs w:val="1"/>
          <w:noProof w:val="0"/>
          <w:color w:val="000000" w:themeColor="text1" w:themeTint="FF" w:themeShade="FF"/>
          <w:sz w:val="26"/>
          <w:szCs w:val="26"/>
          <w:lang w:val="en-GB"/>
        </w:rPr>
        <w:t>MMWR. 2009;</w:t>
      </w:r>
      <w:r w:rsidRPr="2AD25726" w:rsidR="55ABB281">
        <w:rPr>
          <w:rFonts w:ascii="Open Sans" w:hAnsi="Open Sans" w:eastAsia="Open Sans" w:cs="Open Sans"/>
          <w:noProof w:val="0"/>
          <w:color w:val="000000" w:themeColor="text1" w:themeTint="FF" w:themeShade="FF"/>
          <w:sz w:val="26"/>
          <w:szCs w:val="26"/>
          <w:lang w:val="en-GB"/>
        </w:rPr>
        <w:t>64(13), 337-342</w:t>
      </w:r>
    </w:p>
    <w:p w:rsidR="55ABB281" w:rsidP="2AD25726" w:rsidRDefault="55ABB281" w14:paraId="38AD69B4" w14:textId="62B858DC">
      <w:pPr>
        <w:pStyle w:val="Heading3"/>
      </w:pPr>
      <w:r w:rsidRPr="2AD25726" w:rsidR="55ABB281">
        <w:rPr>
          <w:rFonts w:ascii="Segoe UI" w:hAnsi="Segoe UI" w:eastAsia="Segoe UI" w:cs="Segoe UI"/>
          <w:b w:val="1"/>
          <w:bCs w:val="1"/>
          <w:noProof w:val="0"/>
          <w:color w:val="222222"/>
          <w:sz w:val="24"/>
          <w:szCs w:val="24"/>
          <w:lang w:val="en-GB"/>
        </w:rPr>
        <w:t>Vaccine Impact and Surveillance</w:t>
      </w:r>
    </w:p>
    <w:p w:rsidR="55ABB281" w:rsidP="2AD25726" w:rsidRDefault="55ABB281" w14:paraId="643F59DF" w14:textId="5B67BAA3">
      <w:pPr>
        <w:pStyle w:val="ListParagraph"/>
        <w:numPr>
          <w:ilvl w:val="0"/>
          <w:numId w:val="1"/>
        </w:numPr>
        <w:tabs>
          <w:tab w:val="left" w:leader="none" w:pos="0"/>
          <w:tab w:val="left" w:leader="none" w:pos="720"/>
        </w:tabs>
        <w:rPr>
          <w:rFonts w:ascii="Open Sans" w:hAnsi="Open Sans" w:eastAsia="Open Sans" w:cs="Open Sans"/>
          <w:noProof w:val="0"/>
          <w:color w:val="000000" w:themeColor="text1" w:themeTint="FF" w:themeShade="FF"/>
          <w:sz w:val="26"/>
          <w:szCs w:val="26"/>
          <w:lang w:val="en-GB"/>
        </w:rPr>
      </w:pPr>
      <w:r w:rsidRPr="2AD25726" w:rsidR="55ABB281">
        <w:rPr>
          <w:rFonts w:ascii="Open Sans" w:hAnsi="Open Sans" w:eastAsia="Open Sans" w:cs="Open Sans"/>
          <w:noProof w:val="0"/>
          <w:color w:val="000000" w:themeColor="text1" w:themeTint="FF" w:themeShade="FF"/>
          <w:sz w:val="26"/>
          <w:szCs w:val="26"/>
          <w:lang w:val="en-GB"/>
        </w:rPr>
        <w:t xml:space="preserve">Payne DC, Englund JA, Weinberg GA, et al. </w:t>
      </w:r>
      <w:hyperlink r:id="R7b02fa888e9c436c">
        <w:r w:rsidRPr="2AD25726" w:rsidR="55ABB281">
          <w:rPr>
            <w:rStyle w:val="Hyperlink"/>
            <w:rFonts w:ascii="Open Sans" w:hAnsi="Open Sans" w:eastAsia="Open Sans" w:cs="Open Sans"/>
            <w:strike w:val="0"/>
            <w:dstrike w:val="0"/>
            <w:noProof w:val="0"/>
            <w:sz w:val="26"/>
            <w:szCs w:val="26"/>
            <w:lang w:val="en-GB"/>
          </w:rPr>
          <w:t>Association of Rotavirus Vaccination With Inpatient and Emergency Department Visits Among Children Seeking Care for Acute Gastroenteritis, 2010-2016external icon</w:t>
        </w:r>
      </w:hyperlink>
      <w:r w:rsidRPr="2AD25726" w:rsidR="55ABB281">
        <w:rPr>
          <w:rFonts w:ascii="Open Sans" w:hAnsi="Open Sans" w:eastAsia="Open Sans" w:cs="Open Sans"/>
          <w:noProof w:val="0"/>
          <w:color w:val="000000" w:themeColor="text1" w:themeTint="FF" w:themeShade="FF"/>
          <w:sz w:val="26"/>
          <w:szCs w:val="26"/>
          <w:lang w:val="en-GB"/>
        </w:rPr>
        <w:t xml:space="preserve">. </w:t>
      </w:r>
      <w:r w:rsidRPr="2AD25726" w:rsidR="55ABB281">
        <w:rPr>
          <w:rFonts w:ascii="Open Sans" w:hAnsi="Open Sans" w:eastAsia="Open Sans" w:cs="Open Sans"/>
          <w:i w:val="1"/>
          <w:iCs w:val="1"/>
          <w:noProof w:val="0"/>
          <w:color w:val="000000" w:themeColor="text1" w:themeTint="FF" w:themeShade="FF"/>
          <w:sz w:val="26"/>
          <w:szCs w:val="26"/>
          <w:lang w:val="en-GB"/>
        </w:rPr>
        <w:t>JAMA</w:t>
      </w:r>
      <w:r w:rsidRPr="2AD25726" w:rsidR="55ABB281">
        <w:rPr>
          <w:rFonts w:ascii="Open Sans" w:hAnsi="Open Sans" w:eastAsia="Open Sans" w:cs="Open Sans"/>
          <w:noProof w:val="0"/>
          <w:color w:val="000000" w:themeColor="text1" w:themeTint="FF" w:themeShade="FF"/>
          <w:sz w:val="26"/>
          <w:szCs w:val="26"/>
          <w:lang w:val="en-GB"/>
        </w:rPr>
        <w:t>. 2019 Sept 27.</w:t>
      </w:r>
    </w:p>
    <w:p w:rsidR="55ABB281" w:rsidP="2AD25726" w:rsidRDefault="55ABB281" w14:paraId="1176C445" w14:textId="0261C669">
      <w:pPr>
        <w:pStyle w:val="ListParagraph"/>
        <w:numPr>
          <w:ilvl w:val="0"/>
          <w:numId w:val="1"/>
        </w:numPr>
        <w:tabs>
          <w:tab w:val="left" w:leader="none" w:pos="0"/>
          <w:tab w:val="left" w:leader="none" w:pos="720"/>
        </w:tabs>
        <w:rPr>
          <w:rFonts w:ascii="Open Sans" w:hAnsi="Open Sans" w:eastAsia="Open Sans" w:cs="Open Sans"/>
          <w:noProof w:val="0"/>
          <w:color w:val="000000" w:themeColor="text1" w:themeTint="FF" w:themeShade="FF"/>
          <w:sz w:val="26"/>
          <w:szCs w:val="26"/>
          <w:lang w:val="en-GB"/>
        </w:rPr>
      </w:pPr>
      <w:r w:rsidRPr="2AD25726" w:rsidR="55ABB281">
        <w:rPr>
          <w:rFonts w:ascii="Open Sans" w:hAnsi="Open Sans" w:eastAsia="Open Sans" w:cs="Open Sans"/>
          <w:noProof w:val="0"/>
          <w:color w:val="000000" w:themeColor="text1" w:themeTint="FF" w:themeShade="FF"/>
          <w:sz w:val="26"/>
          <w:szCs w:val="26"/>
          <w:lang w:val="en-GB"/>
        </w:rPr>
        <w:t xml:space="preserve">Leshem E, Tate JE, Steiner CA, Curns AT, </w:t>
      </w:r>
      <w:r w:rsidRPr="2AD25726" w:rsidR="39294821">
        <w:rPr>
          <w:rFonts w:ascii="Open Sans" w:hAnsi="Open Sans" w:eastAsia="Open Sans" w:cs="Open Sans"/>
          <w:noProof w:val="0"/>
          <w:color w:val="000000" w:themeColor="text1" w:themeTint="FF" w:themeShade="FF"/>
          <w:sz w:val="26"/>
          <w:szCs w:val="26"/>
          <w:lang w:val="en-GB"/>
        </w:rPr>
        <w:t>Lopeman</w:t>
      </w:r>
      <w:r w:rsidRPr="2AD25726" w:rsidR="55ABB281">
        <w:rPr>
          <w:rFonts w:ascii="Open Sans" w:hAnsi="Open Sans" w:eastAsia="Open Sans" w:cs="Open Sans"/>
          <w:noProof w:val="0"/>
          <w:color w:val="000000" w:themeColor="text1" w:themeTint="FF" w:themeShade="FF"/>
          <w:sz w:val="26"/>
          <w:szCs w:val="26"/>
          <w:lang w:val="en-GB"/>
        </w:rPr>
        <w:t xml:space="preserve"> BA, Parashar UD. </w:t>
      </w:r>
      <w:hyperlink r:id="R5781ae45e59f4643">
        <w:r w:rsidRPr="2AD25726" w:rsidR="55ABB281">
          <w:rPr>
            <w:rStyle w:val="Hyperlink"/>
            <w:rFonts w:ascii="Open Sans" w:hAnsi="Open Sans" w:eastAsia="Open Sans" w:cs="Open Sans"/>
            <w:strike w:val="0"/>
            <w:dstrike w:val="0"/>
            <w:noProof w:val="0"/>
            <w:sz w:val="26"/>
            <w:szCs w:val="26"/>
            <w:lang w:val="en-GB"/>
          </w:rPr>
          <w:t>National Estimates of Reductions in Acute Gastroenteritis-Related Hospitalizations and Associated Costs in US Children After Implementation of Rotavirus Vaccinesexternal icon</w:t>
        </w:r>
      </w:hyperlink>
      <w:r w:rsidRPr="2AD25726" w:rsidR="55ABB281">
        <w:rPr>
          <w:rFonts w:ascii="Open Sans" w:hAnsi="Open Sans" w:eastAsia="Open Sans" w:cs="Open Sans"/>
          <w:noProof w:val="0"/>
          <w:color w:val="000000" w:themeColor="text1" w:themeTint="FF" w:themeShade="FF"/>
          <w:sz w:val="26"/>
          <w:szCs w:val="26"/>
          <w:lang w:val="en-GB"/>
        </w:rPr>
        <w:t xml:space="preserve">. </w:t>
      </w:r>
      <w:r w:rsidRPr="2AD25726" w:rsidR="55ABB281">
        <w:rPr>
          <w:rFonts w:ascii="Open Sans" w:hAnsi="Open Sans" w:eastAsia="Open Sans" w:cs="Open Sans"/>
          <w:i w:val="1"/>
          <w:iCs w:val="1"/>
          <w:noProof w:val="0"/>
          <w:color w:val="000000" w:themeColor="text1" w:themeTint="FF" w:themeShade="FF"/>
          <w:sz w:val="26"/>
          <w:szCs w:val="26"/>
          <w:lang w:val="en-GB"/>
        </w:rPr>
        <w:t xml:space="preserve">J </w:t>
      </w:r>
      <w:r w:rsidRPr="2AD25726" w:rsidR="6278DF49">
        <w:rPr>
          <w:rFonts w:ascii="Open Sans" w:hAnsi="Open Sans" w:eastAsia="Open Sans" w:cs="Open Sans"/>
          <w:i w:val="1"/>
          <w:iCs w:val="1"/>
          <w:noProof w:val="0"/>
          <w:color w:val="000000" w:themeColor="text1" w:themeTint="FF" w:themeShade="FF"/>
          <w:sz w:val="26"/>
          <w:szCs w:val="26"/>
          <w:lang w:val="en-GB"/>
        </w:rPr>
        <w:t>Paediatric</w:t>
      </w:r>
      <w:r w:rsidRPr="2AD25726" w:rsidR="55ABB281">
        <w:rPr>
          <w:rFonts w:ascii="Open Sans" w:hAnsi="Open Sans" w:eastAsia="Open Sans" w:cs="Open Sans"/>
          <w:i w:val="1"/>
          <w:iCs w:val="1"/>
          <w:noProof w:val="0"/>
          <w:color w:val="000000" w:themeColor="text1" w:themeTint="FF" w:themeShade="FF"/>
          <w:sz w:val="26"/>
          <w:szCs w:val="26"/>
          <w:lang w:val="en-GB"/>
        </w:rPr>
        <w:t xml:space="preserve"> Infect Dis Soc</w:t>
      </w:r>
      <w:r w:rsidRPr="2AD25726" w:rsidR="55ABB281">
        <w:rPr>
          <w:rFonts w:ascii="Open Sans" w:hAnsi="Open Sans" w:eastAsia="Open Sans" w:cs="Open Sans"/>
          <w:noProof w:val="0"/>
          <w:color w:val="000000" w:themeColor="text1" w:themeTint="FF" w:themeShade="FF"/>
          <w:sz w:val="26"/>
          <w:szCs w:val="26"/>
          <w:lang w:val="en-GB"/>
        </w:rPr>
        <w:t>. 2017 Aug 10.</w:t>
      </w:r>
    </w:p>
    <w:p w:rsidR="55ABB281" w:rsidP="2AD25726" w:rsidRDefault="55ABB281" w14:paraId="13AE5FE9" w14:textId="279C1A74">
      <w:pPr>
        <w:pStyle w:val="ListParagraph"/>
        <w:numPr>
          <w:ilvl w:val="0"/>
          <w:numId w:val="1"/>
        </w:numPr>
        <w:tabs>
          <w:tab w:val="left" w:leader="none" w:pos="0"/>
          <w:tab w:val="left" w:leader="none" w:pos="720"/>
        </w:tabs>
        <w:rPr>
          <w:rFonts w:ascii="Open Sans" w:hAnsi="Open Sans" w:eastAsia="Open Sans" w:cs="Open Sans"/>
          <w:noProof w:val="0"/>
          <w:color w:val="000000" w:themeColor="text1" w:themeTint="FF" w:themeShade="FF"/>
          <w:sz w:val="26"/>
          <w:szCs w:val="26"/>
          <w:lang w:val="en-GB"/>
        </w:rPr>
      </w:pPr>
      <w:r w:rsidRPr="2AD25726" w:rsidR="55ABB281">
        <w:rPr>
          <w:rFonts w:ascii="Open Sans" w:hAnsi="Open Sans" w:eastAsia="Open Sans" w:cs="Open Sans"/>
          <w:noProof w:val="0"/>
          <w:color w:val="000000" w:themeColor="text1" w:themeTint="FF" w:themeShade="FF"/>
          <w:sz w:val="26"/>
          <w:szCs w:val="26"/>
          <w:lang w:val="en-GB"/>
        </w:rPr>
        <w:t xml:space="preserve">Shah MP, Tate JE, Steiner CA, Parashar UD. </w:t>
      </w:r>
      <w:hyperlink r:id="R60007bd307f648f6">
        <w:r w:rsidRPr="2AD25726" w:rsidR="55ABB281">
          <w:rPr>
            <w:rStyle w:val="Hyperlink"/>
            <w:rFonts w:ascii="Open Sans" w:hAnsi="Open Sans" w:eastAsia="Open Sans" w:cs="Open Sans"/>
            <w:strike w:val="0"/>
            <w:dstrike w:val="0"/>
            <w:noProof w:val="0"/>
            <w:sz w:val="26"/>
            <w:szCs w:val="26"/>
            <w:lang w:val="en-GB"/>
          </w:rPr>
          <w:t>Decline in Emergency Department Visits for Acute Gastroenteritis Among Children in 10 US States After Implementation of Rotavirus Vaccination, 2003 to 2013.external icon</w:t>
        </w:r>
      </w:hyperlink>
      <w:r w:rsidRPr="2AD25726" w:rsidR="55ABB281">
        <w:rPr>
          <w:rFonts w:ascii="Open Sans" w:hAnsi="Open Sans" w:eastAsia="Open Sans" w:cs="Open Sans"/>
          <w:noProof w:val="0"/>
          <w:color w:val="000000" w:themeColor="text1" w:themeTint="FF" w:themeShade="FF"/>
          <w:sz w:val="26"/>
          <w:szCs w:val="26"/>
          <w:lang w:val="en-GB"/>
        </w:rPr>
        <w:t xml:space="preserve"> </w:t>
      </w:r>
      <w:r w:rsidRPr="2AD25726" w:rsidR="715BBDA1">
        <w:rPr>
          <w:rFonts w:ascii="Open Sans" w:hAnsi="Open Sans" w:eastAsia="Open Sans" w:cs="Open Sans"/>
          <w:i w:val="1"/>
          <w:iCs w:val="1"/>
          <w:noProof w:val="0"/>
          <w:color w:val="000000" w:themeColor="text1" w:themeTint="FF" w:themeShade="FF"/>
          <w:sz w:val="26"/>
          <w:szCs w:val="26"/>
          <w:lang w:val="en-GB"/>
        </w:rPr>
        <w:t>Pedlar</w:t>
      </w:r>
      <w:r w:rsidRPr="2AD25726" w:rsidR="55ABB281">
        <w:rPr>
          <w:rFonts w:ascii="Open Sans" w:hAnsi="Open Sans" w:eastAsia="Open Sans" w:cs="Open Sans"/>
          <w:i w:val="1"/>
          <w:iCs w:val="1"/>
          <w:noProof w:val="0"/>
          <w:color w:val="000000" w:themeColor="text1" w:themeTint="FF" w:themeShade="FF"/>
          <w:sz w:val="26"/>
          <w:szCs w:val="26"/>
          <w:lang w:val="en-GB"/>
        </w:rPr>
        <w:t xml:space="preserve"> Infect Dis J</w:t>
      </w:r>
      <w:r w:rsidRPr="2AD25726" w:rsidR="55ABB281">
        <w:rPr>
          <w:rFonts w:ascii="Open Sans" w:hAnsi="Open Sans" w:eastAsia="Open Sans" w:cs="Open Sans"/>
          <w:noProof w:val="0"/>
          <w:color w:val="000000" w:themeColor="text1" w:themeTint="FF" w:themeShade="FF"/>
          <w:sz w:val="26"/>
          <w:szCs w:val="26"/>
          <w:lang w:val="en-GB"/>
        </w:rPr>
        <w:t>. 2016 Jul;35(7):782-6.</w:t>
      </w:r>
    </w:p>
    <w:p w:rsidR="1EC3500E" w:rsidP="2AD25726" w:rsidRDefault="1EC3500E" w14:paraId="517413D9" w14:textId="0F466442">
      <w:pPr>
        <w:pStyle w:val="ListParagraph"/>
        <w:numPr>
          <w:ilvl w:val="0"/>
          <w:numId w:val="1"/>
        </w:numPr>
        <w:tabs>
          <w:tab w:val="left" w:leader="none" w:pos="0"/>
          <w:tab w:val="left" w:leader="none" w:pos="720"/>
        </w:tabs>
        <w:rPr>
          <w:rFonts w:ascii="Open Sans" w:hAnsi="Open Sans" w:eastAsia="Open Sans" w:cs="Open Sans"/>
          <w:noProof w:val="0"/>
          <w:color w:val="000000" w:themeColor="text1" w:themeTint="FF" w:themeShade="FF"/>
          <w:sz w:val="26"/>
          <w:szCs w:val="26"/>
          <w:lang w:val="en-GB"/>
        </w:rPr>
      </w:pPr>
      <w:r w:rsidRPr="2AD25726" w:rsidR="1EC3500E">
        <w:rPr>
          <w:rFonts w:ascii="Open Sans" w:hAnsi="Open Sans" w:eastAsia="Open Sans" w:cs="Open Sans"/>
          <w:noProof w:val="0"/>
          <w:color w:val="000000" w:themeColor="text1" w:themeTint="FF" w:themeShade="FF"/>
          <w:sz w:val="26"/>
          <w:szCs w:val="26"/>
          <w:lang w:val="en-GB"/>
        </w:rPr>
        <w:t>Gastineau</w:t>
      </w:r>
      <w:r w:rsidRPr="2AD25726" w:rsidR="55ABB281">
        <w:rPr>
          <w:rFonts w:ascii="Open Sans" w:hAnsi="Open Sans" w:eastAsia="Open Sans" w:cs="Open Sans"/>
          <w:noProof w:val="0"/>
          <w:color w:val="000000" w:themeColor="text1" w:themeTint="FF" w:themeShade="FF"/>
          <w:sz w:val="26"/>
          <w:szCs w:val="26"/>
          <w:lang w:val="en-GB"/>
        </w:rPr>
        <w:t xml:space="preserve"> PA, Curns AT, Parashar UD, Lopeman BA. </w:t>
      </w:r>
      <w:hyperlink r:id="R9b9d04b4898947e2">
        <w:r w:rsidRPr="2AD25726" w:rsidR="55ABB281">
          <w:rPr>
            <w:rStyle w:val="Hyperlink"/>
            <w:rFonts w:ascii="Open Sans" w:hAnsi="Open Sans" w:eastAsia="Open Sans" w:cs="Open Sans"/>
            <w:strike w:val="0"/>
            <w:dstrike w:val="0"/>
            <w:noProof w:val="0"/>
            <w:sz w:val="26"/>
            <w:szCs w:val="26"/>
            <w:lang w:val="en-GB"/>
          </w:rPr>
          <w:t>Gastroenteritis hospitalizations in older children and adults in the United States before and after implementation of infant rotavirus vaccination.external icon</w:t>
        </w:r>
      </w:hyperlink>
      <w:r w:rsidRPr="2AD25726" w:rsidR="55ABB281">
        <w:rPr>
          <w:rFonts w:ascii="Open Sans" w:hAnsi="Open Sans" w:eastAsia="Open Sans" w:cs="Open Sans"/>
          <w:noProof w:val="0"/>
          <w:color w:val="000000" w:themeColor="text1" w:themeTint="FF" w:themeShade="FF"/>
          <w:sz w:val="26"/>
          <w:szCs w:val="26"/>
          <w:lang w:val="en-GB"/>
        </w:rPr>
        <w:t xml:space="preserve"> </w:t>
      </w:r>
      <w:r w:rsidRPr="2AD25726" w:rsidR="55ABB281">
        <w:rPr>
          <w:rFonts w:ascii="Open Sans" w:hAnsi="Open Sans" w:eastAsia="Open Sans" w:cs="Open Sans"/>
          <w:i w:val="1"/>
          <w:iCs w:val="1"/>
          <w:noProof w:val="0"/>
          <w:color w:val="000000" w:themeColor="text1" w:themeTint="FF" w:themeShade="FF"/>
          <w:sz w:val="26"/>
          <w:szCs w:val="26"/>
          <w:lang w:val="en-GB"/>
        </w:rPr>
        <w:t>JAMA</w:t>
      </w:r>
      <w:r w:rsidRPr="2AD25726" w:rsidR="55ABB281">
        <w:rPr>
          <w:rFonts w:ascii="Open Sans" w:hAnsi="Open Sans" w:eastAsia="Open Sans" w:cs="Open Sans"/>
          <w:noProof w:val="0"/>
          <w:color w:val="000000" w:themeColor="text1" w:themeTint="FF" w:themeShade="FF"/>
          <w:sz w:val="26"/>
          <w:szCs w:val="26"/>
          <w:lang w:val="en-GB"/>
        </w:rPr>
        <w:t>. 2013 Aug 28;310(8):851-3.</w:t>
      </w:r>
    </w:p>
    <w:p w:rsidR="55ABB281" w:rsidP="2AD25726" w:rsidRDefault="55ABB281" w14:paraId="7E228413" w14:textId="6659948C">
      <w:pPr>
        <w:pStyle w:val="ListParagraph"/>
        <w:numPr>
          <w:ilvl w:val="0"/>
          <w:numId w:val="1"/>
        </w:numPr>
        <w:tabs>
          <w:tab w:val="left" w:leader="none" w:pos="0"/>
          <w:tab w:val="left" w:leader="none" w:pos="720"/>
        </w:tabs>
        <w:rPr>
          <w:rFonts w:ascii="Open Sans" w:hAnsi="Open Sans" w:eastAsia="Open Sans" w:cs="Open Sans"/>
          <w:noProof w:val="0"/>
          <w:color w:val="000000" w:themeColor="text1" w:themeTint="FF" w:themeShade="FF"/>
          <w:sz w:val="26"/>
          <w:szCs w:val="26"/>
          <w:lang w:val="en-GB"/>
        </w:rPr>
      </w:pPr>
      <w:r w:rsidRPr="2AD25726" w:rsidR="55ABB281">
        <w:rPr>
          <w:rFonts w:ascii="Open Sans" w:hAnsi="Open Sans" w:eastAsia="Open Sans" w:cs="Open Sans"/>
          <w:noProof w:val="0"/>
          <w:color w:val="000000" w:themeColor="text1" w:themeTint="FF" w:themeShade="FF"/>
          <w:sz w:val="26"/>
          <w:szCs w:val="26"/>
          <w:lang w:val="en-GB"/>
        </w:rPr>
        <w:t xml:space="preserve">Tate JE, Haynes A, Payne DC, Cortese MM, </w:t>
      </w:r>
      <w:r w:rsidRPr="2AD25726" w:rsidR="55ABB281">
        <w:rPr>
          <w:rFonts w:ascii="Open Sans" w:hAnsi="Open Sans" w:eastAsia="Open Sans" w:cs="Open Sans"/>
          <w:noProof w:val="0"/>
          <w:color w:val="000000" w:themeColor="text1" w:themeTint="FF" w:themeShade="FF"/>
          <w:sz w:val="26"/>
          <w:szCs w:val="26"/>
          <w:lang w:val="en-GB"/>
        </w:rPr>
        <w:t>Lopeman</w:t>
      </w:r>
      <w:r w:rsidRPr="2AD25726" w:rsidR="55ABB281">
        <w:rPr>
          <w:rFonts w:ascii="Open Sans" w:hAnsi="Open Sans" w:eastAsia="Open Sans" w:cs="Open Sans"/>
          <w:noProof w:val="0"/>
          <w:color w:val="000000" w:themeColor="text1" w:themeTint="FF" w:themeShade="FF"/>
          <w:sz w:val="26"/>
          <w:szCs w:val="26"/>
          <w:lang w:val="en-GB"/>
        </w:rPr>
        <w:t xml:space="preserve"> BA, Patel MM, et al. </w:t>
      </w:r>
      <w:hyperlink r:id="R1e81193dd5544c70">
        <w:r w:rsidRPr="2AD25726" w:rsidR="55ABB281">
          <w:rPr>
            <w:rStyle w:val="Hyperlink"/>
            <w:rFonts w:ascii="Open Sans" w:hAnsi="Open Sans" w:eastAsia="Open Sans" w:cs="Open Sans"/>
            <w:strike w:val="0"/>
            <w:dstrike w:val="0"/>
            <w:noProof w:val="0"/>
            <w:sz w:val="26"/>
            <w:szCs w:val="26"/>
            <w:lang w:val="en-GB"/>
          </w:rPr>
          <w:t>Trends in national rotavirus activity before and after introduction of rotavirus vaccine into the national immunization program in the United States, 2000 to 2012external icon</w:t>
        </w:r>
      </w:hyperlink>
      <w:r w:rsidRPr="2AD25726" w:rsidR="55ABB281">
        <w:rPr>
          <w:rFonts w:ascii="Open Sans" w:hAnsi="Open Sans" w:eastAsia="Open Sans" w:cs="Open Sans"/>
          <w:noProof w:val="0"/>
          <w:color w:val="000000" w:themeColor="text1" w:themeTint="FF" w:themeShade="FF"/>
          <w:sz w:val="26"/>
          <w:szCs w:val="26"/>
          <w:lang w:val="en-GB"/>
        </w:rPr>
        <w:t xml:space="preserve">. </w:t>
      </w:r>
      <w:r w:rsidRPr="2AD25726" w:rsidR="55ABB281">
        <w:rPr>
          <w:rFonts w:ascii="Open Sans" w:hAnsi="Open Sans" w:eastAsia="Open Sans" w:cs="Open Sans"/>
          <w:i w:val="1"/>
          <w:iCs w:val="1"/>
          <w:noProof w:val="0"/>
          <w:color w:val="000000" w:themeColor="text1" w:themeTint="FF" w:themeShade="FF"/>
          <w:sz w:val="26"/>
          <w:szCs w:val="26"/>
          <w:lang w:val="en-GB"/>
        </w:rPr>
        <w:t>Pedlar Infect Dis J</w:t>
      </w:r>
      <w:r w:rsidRPr="2AD25726" w:rsidR="55ABB281">
        <w:rPr>
          <w:rFonts w:ascii="Open Sans" w:hAnsi="Open Sans" w:eastAsia="Open Sans" w:cs="Open Sans"/>
          <w:noProof w:val="0"/>
          <w:color w:val="000000" w:themeColor="text1" w:themeTint="FF" w:themeShade="FF"/>
          <w:sz w:val="26"/>
          <w:szCs w:val="26"/>
          <w:lang w:val="en-GB"/>
        </w:rPr>
        <w:t>. 2013;32(7):741-4.</w:t>
      </w:r>
    </w:p>
    <w:p w:rsidR="55ABB281" w:rsidP="2AD25726" w:rsidRDefault="55ABB281" w14:paraId="3ABF4721" w14:textId="442F7458">
      <w:pPr>
        <w:pStyle w:val="ListParagraph"/>
        <w:numPr>
          <w:ilvl w:val="0"/>
          <w:numId w:val="1"/>
        </w:numPr>
        <w:tabs>
          <w:tab w:val="left" w:leader="none" w:pos="0"/>
          <w:tab w:val="left" w:leader="none" w:pos="720"/>
        </w:tabs>
        <w:rPr>
          <w:rFonts w:ascii="Open Sans" w:hAnsi="Open Sans" w:eastAsia="Open Sans" w:cs="Open Sans"/>
          <w:noProof w:val="0"/>
          <w:color w:val="000000" w:themeColor="text1" w:themeTint="FF" w:themeShade="FF"/>
          <w:sz w:val="26"/>
          <w:szCs w:val="26"/>
          <w:lang w:val="en-GB"/>
        </w:rPr>
      </w:pPr>
      <w:r w:rsidRPr="2AD25726" w:rsidR="55ABB281">
        <w:rPr>
          <w:rFonts w:ascii="Open Sans" w:hAnsi="Open Sans" w:eastAsia="Open Sans" w:cs="Open Sans"/>
          <w:noProof w:val="0"/>
          <w:color w:val="000000" w:themeColor="text1" w:themeTint="FF" w:themeShade="FF"/>
          <w:sz w:val="26"/>
          <w:szCs w:val="26"/>
          <w:lang w:val="en-GB"/>
        </w:rPr>
        <w:t xml:space="preserve">Patel MM, Glass R, Desai R, Tate JE, Parashar UD. </w:t>
      </w:r>
      <w:hyperlink r:id="Re19f326138304739">
        <w:r w:rsidRPr="2AD25726" w:rsidR="55ABB281">
          <w:rPr>
            <w:rStyle w:val="Hyperlink"/>
            <w:rFonts w:ascii="Open Sans" w:hAnsi="Open Sans" w:eastAsia="Open Sans" w:cs="Open Sans"/>
            <w:strike w:val="0"/>
            <w:dstrike w:val="0"/>
            <w:noProof w:val="0"/>
            <w:sz w:val="26"/>
            <w:szCs w:val="26"/>
            <w:lang w:val="en-GB"/>
          </w:rPr>
          <w:t>Fulfilling the promise of rotavirus vaccines: how far have we come since licensure?Externalexternal icon</w:t>
        </w:r>
      </w:hyperlink>
      <w:r w:rsidRPr="2AD25726" w:rsidR="55ABB281">
        <w:rPr>
          <w:rFonts w:ascii="Open Sans" w:hAnsi="Open Sans" w:eastAsia="Open Sans" w:cs="Open Sans"/>
          <w:noProof w:val="0"/>
          <w:color w:val="000000" w:themeColor="text1" w:themeTint="FF" w:themeShade="FF"/>
          <w:sz w:val="26"/>
          <w:szCs w:val="26"/>
          <w:lang w:val="en-GB"/>
        </w:rPr>
        <w:t xml:space="preserve"> </w:t>
      </w:r>
      <w:r w:rsidRPr="2AD25726" w:rsidR="55ABB281">
        <w:rPr>
          <w:rFonts w:ascii="Open Sans" w:hAnsi="Open Sans" w:eastAsia="Open Sans" w:cs="Open Sans"/>
          <w:i w:val="1"/>
          <w:iCs w:val="1"/>
          <w:noProof w:val="0"/>
          <w:color w:val="000000" w:themeColor="text1" w:themeTint="FF" w:themeShade="FF"/>
          <w:sz w:val="26"/>
          <w:szCs w:val="26"/>
          <w:lang w:val="en-GB"/>
        </w:rPr>
        <w:t>The Lancet Infectious Diseases.</w:t>
      </w:r>
      <w:r w:rsidRPr="2AD25726" w:rsidR="55ABB281">
        <w:rPr>
          <w:rFonts w:ascii="Open Sans" w:hAnsi="Open Sans" w:eastAsia="Open Sans" w:cs="Open Sans"/>
          <w:noProof w:val="0"/>
          <w:color w:val="000000" w:themeColor="text1" w:themeTint="FF" w:themeShade="FF"/>
          <w:sz w:val="26"/>
          <w:szCs w:val="26"/>
          <w:lang w:val="en-GB"/>
        </w:rPr>
        <w:t xml:space="preserve"> 2012;12(7):561-570</w:t>
      </w:r>
    </w:p>
    <w:p w:rsidR="55ABB281" w:rsidP="2AD25726" w:rsidRDefault="55ABB281" w14:paraId="45ACF3DA" w14:textId="06F43CF9">
      <w:pPr>
        <w:pStyle w:val="ListParagraph"/>
        <w:numPr>
          <w:ilvl w:val="0"/>
          <w:numId w:val="1"/>
        </w:numPr>
        <w:tabs>
          <w:tab w:val="left" w:leader="none" w:pos="0"/>
          <w:tab w:val="left" w:leader="none" w:pos="720"/>
        </w:tabs>
        <w:rPr>
          <w:rFonts w:ascii="Open Sans" w:hAnsi="Open Sans" w:eastAsia="Open Sans" w:cs="Open Sans"/>
          <w:noProof w:val="0"/>
          <w:color w:val="000000" w:themeColor="text1" w:themeTint="FF" w:themeShade="FF"/>
          <w:sz w:val="26"/>
          <w:szCs w:val="26"/>
          <w:lang w:val="en-GB"/>
        </w:rPr>
      </w:pPr>
      <w:r w:rsidRPr="2AD25726" w:rsidR="55ABB281">
        <w:rPr>
          <w:rFonts w:ascii="Open Sans" w:hAnsi="Open Sans" w:eastAsia="Open Sans" w:cs="Open Sans"/>
          <w:noProof w:val="0"/>
          <w:color w:val="000000" w:themeColor="text1" w:themeTint="FF" w:themeShade="FF"/>
          <w:sz w:val="26"/>
          <w:szCs w:val="26"/>
          <w:lang w:val="en-GB"/>
        </w:rPr>
        <w:t xml:space="preserve">Cortes JE, Curns AT, Tate JE, Cortese MM, Patel MM, Zhou F, Parashar UD. </w:t>
      </w:r>
      <w:hyperlink r:id="R44731904328744d7">
        <w:r w:rsidRPr="2AD25726" w:rsidR="55ABB281">
          <w:rPr>
            <w:rStyle w:val="Hyperlink"/>
            <w:rFonts w:ascii="Open Sans" w:hAnsi="Open Sans" w:eastAsia="Open Sans" w:cs="Open Sans"/>
            <w:strike w:val="0"/>
            <w:dstrike w:val="0"/>
            <w:noProof w:val="0"/>
            <w:sz w:val="26"/>
            <w:szCs w:val="26"/>
            <w:lang w:val="en-GB"/>
          </w:rPr>
          <w:t>Rotavirus vaccine and health care utilization for diarrhea in U.S. childrenexternal icon</w:t>
        </w:r>
      </w:hyperlink>
      <w:r w:rsidRPr="2AD25726" w:rsidR="55ABB281">
        <w:rPr>
          <w:rFonts w:ascii="Open Sans" w:hAnsi="Open Sans" w:eastAsia="Open Sans" w:cs="Open Sans"/>
          <w:noProof w:val="0"/>
          <w:color w:val="000000" w:themeColor="text1" w:themeTint="FF" w:themeShade="FF"/>
          <w:sz w:val="26"/>
          <w:szCs w:val="26"/>
          <w:lang w:val="en-GB"/>
        </w:rPr>
        <w:t xml:space="preserve">. </w:t>
      </w:r>
      <w:r w:rsidRPr="2AD25726" w:rsidR="55ABB281">
        <w:rPr>
          <w:rFonts w:ascii="Open Sans" w:hAnsi="Open Sans" w:eastAsia="Open Sans" w:cs="Open Sans"/>
          <w:i w:val="1"/>
          <w:iCs w:val="1"/>
          <w:noProof w:val="0"/>
          <w:color w:val="000000" w:themeColor="text1" w:themeTint="FF" w:themeShade="FF"/>
          <w:sz w:val="26"/>
          <w:szCs w:val="26"/>
          <w:lang w:val="en-GB"/>
        </w:rPr>
        <w:t>N Engl J Med</w:t>
      </w:r>
      <w:r w:rsidRPr="2AD25726" w:rsidR="55ABB281">
        <w:rPr>
          <w:rFonts w:ascii="Open Sans" w:hAnsi="Open Sans" w:eastAsia="Open Sans" w:cs="Open Sans"/>
          <w:noProof w:val="0"/>
          <w:color w:val="000000" w:themeColor="text1" w:themeTint="FF" w:themeShade="FF"/>
          <w:sz w:val="26"/>
          <w:szCs w:val="26"/>
          <w:lang w:val="en-GB"/>
        </w:rPr>
        <w:t>. 2011;365(12):1108-17.</w:t>
      </w:r>
    </w:p>
    <w:p w:rsidR="55ABB281" w:rsidRDefault="55ABB281" w14:paraId="5C32A6A9" w14:textId="2C495560">
      <w:r w:rsidRPr="2AD25726" w:rsidR="55ABB281">
        <w:rPr>
          <w:rFonts w:ascii="Open Sans" w:hAnsi="Open Sans" w:eastAsia="Open Sans" w:cs="Open Sans"/>
          <w:noProof w:val="0"/>
          <w:color w:val="000000" w:themeColor="text1" w:themeTint="FF" w:themeShade="FF"/>
          <w:sz w:val="26"/>
          <w:szCs w:val="26"/>
          <w:lang w:val="en-GB"/>
        </w:rPr>
        <w:t xml:space="preserve"> </w:t>
      </w:r>
      <w:hyperlink r:id="R29c325a9d2274980">
        <w:r w:rsidRPr="2AD25726" w:rsidR="55ABB281">
          <w:rPr>
            <w:rStyle w:val="Hyperlink"/>
            <w:rFonts w:ascii="Open Sans" w:hAnsi="Open Sans" w:eastAsia="Open Sans" w:cs="Open Sans"/>
            <w:strike w:val="0"/>
            <w:dstrike w:val="0"/>
            <w:noProof w:val="0"/>
            <w:sz w:val="26"/>
            <w:szCs w:val="26"/>
            <w:lang w:val="en-GB"/>
          </w:rPr>
          <w:t>Top of Page</w:t>
        </w:r>
      </w:hyperlink>
    </w:p>
    <w:p w:rsidR="55ABB281" w:rsidP="2AD25726" w:rsidRDefault="55ABB281" w14:paraId="065C5920" w14:textId="576D6CE5">
      <w:pPr>
        <w:pStyle w:val="Heading3"/>
      </w:pPr>
      <w:r w:rsidRPr="2AD25726" w:rsidR="55ABB281">
        <w:rPr>
          <w:rFonts w:ascii="Segoe UI" w:hAnsi="Segoe UI" w:eastAsia="Segoe UI" w:cs="Segoe UI"/>
          <w:b w:val="1"/>
          <w:bCs w:val="1"/>
          <w:noProof w:val="0"/>
          <w:color w:val="222222"/>
          <w:sz w:val="24"/>
          <w:szCs w:val="24"/>
          <w:lang w:val="en-GB"/>
        </w:rPr>
        <w:t>Vaccine Efficacy and Effectiveness</w:t>
      </w:r>
    </w:p>
    <w:p w:rsidR="55ABB281" w:rsidP="2AD25726" w:rsidRDefault="55ABB281" w14:paraId="31A263A4" w14:textId="116DF43D">
      <w:pPr>
        <w:pStyle w:val="ListParagraph"/>
        <w:numPr>
          <w:ilvl w:val="0"/>
          <w:numId w:val="1"/>
        </w:numPr>
        <w:tabs>
          <w:tab w:val="left" w:leader="none" w:pos="0"/>
          <w:tab w:val="left" w:leader="none" w:pos="720"/>
        </w:tabs>
        <w:rPr>
          <w:rFonts w:ascii="Open Sans" w:hAnsi="Open Sans" w:eastAsia="Open Sans" w:cs="Open Sans"/>
          <w:noProof w:val="0"/>
          <w:color w:val="000000" w:themeColor="text1" w:themeTint="FF" w:themeShade="FF"/>
          <w:sz w:val="26"/>
          <w:szCs w:val="26"/>
          <w:lang w:val="en-GB"/>
        </w:rPr>
      </w:pPr>
      <w:r w:rsidRPr="2AD25726" w:rsidR="55ABB281">
        <w:rPr>
          <w:rFonts w:ascii="Open Sans" w:hAnsi="Open Sans" w:eastAsia="Open Sans" w:cs="Open Sans"/>
          <w:noProof w:val="0"/>
          <w:color w:val="000000" w:themeColor="text1" w:themeTint="FF" w:themeShade="FF"/>
          <w:sz w:val="26"/>
          <w:szCs w:val="26"/>
          <w:lang w:val="en-GB"/>
        </w:rPr>
        <w:t xml:space="preserve">Payne DC, Englund JA, Weinberg GA, </w:t>
      </w:r>
      <w:r w:rsidRPr="2AD25726" w:rsidR="55ABB281">
        <w:rPr>
          <w:rFonts w:ascii="Open Sans" w:hAnsi="Open Sans" w:eastAsia="Open Sans" w:cs="Open Sans"/>
          <w:noProof w:val="0"/>
          <w:color w:val="000000" w:themeColor="text1" w:themeTint="FF" w:themeShade="FF"/>
          <w:sz w:val="26"/>
          <w:szCs w:val="26"/>
          <w:lang w:val="en-GB"/>
        </w:rPr>
        <w:t>et al.</w:t>
      </w:r>
      <w:r w:rsidRPr="2AD25726" w:rsidR="55ABB281">
        <w:rPr>
          <w:rFonts w:ascii="Open Sans" w:hAnsi="Open Sans" w:eastAsia="Open Sans" w:cs="Open Sans"/>
          <w:noProof w:val="0"/>
          <w:color w:val="000000" w:themeColor="text1" w:themeTint="FF" w:themeShade="FF"/>
          <w:sz w:val="26"/>
          <w:szCs w:val="26"/>
          <w:lang w:val="en-GB"/>
        </w:rPr>
        <w:t xml:space="preserve"> </w:t>
      </w:r>
      <w:r w:rsidRPr="2AD25726" w:rsidR="55ABB281">
        <w:rPr>
          <w:rFonts w:ascii="Open Sans" w:hAnsi="Open Sans" w:eastAsia="Open Sans" w:cs="Open Sans"/>
          <w:i w:val="1"/>
          <w:iCs w:val="1"/>
          <w:noProof w:val="0"/>
          <w:color w:val="000000" w:themeColor="text1" w:themeTint="FF" w:themeShade="FF"/>
          <w:sz w:val="26"/>
          <w:szCs w:val="26"/>
          <w:lang w:val="en-GB"/>
        </w:rPr>
        <w:t>JAMA</w:t>
      </w:r>
      <w:r w:rsidRPr="2AD25726" w:rsidR="55ABB281">
        <w:rPr>
          <w:rFonts w:ascii="Open Sans" w:hAnsi="Open Sans" w:eastAsia="Open Sans" w:cs="Open Sans"/>
          <w:noProof w:val="0"/>
          <w:color w:val="000000" w:themeColor="text1" w:themeTint="FF" w:themeShade="FF"/>
          <w:sz w:val="26"/>
          <w:szCs w:val="26"/>
          <w:lang w:val="en-GB"/>
        </w:rPr>
        <w:t xml:space="preserve">. 2019 Sept 27. </w:t>
      </w:r>
      <w:hyperlink r:id="R9270db1ec2924c95">
        <w:r w:rsidRPr="2AD25726" w:rsidR="55ABB281">
          <w:rPr>
            <w:rStyle w:val="Hyperlink"/>
            <w:rFonts w:ascii="Open Sans" w:hAnsi="Open Sans" w:eastAsia="Open Sans" w:cs="Open Sans"/>
            <w:strike w:val="0"/>
            <w:dstrike w:val="0"/>
            <w:noProof w:val="0"/>
            <w:sz w:val="26"/>
            <w:szCs w:val="26"/>
            <w:lang w:val="en-GB"/>
          </w:rPr>
          <w:t>Association of Rotavirus Vaccination With Inpatient and Emergency Department Visits Among Children Seeking Care for Acute Gastroenteritis, 2010-2016external icon</w:t>
        </w:r>
      </w:hyperlink>
      <w:r w:rsidRPr="2AD25726" w:rsidR="55ABB281">
        <w:rPr>
          <w:rFonts w:ascii="Open Sans" w:hAnsi="Open Sans" w:eastAsia="Open Sans" w:cs="Open Sans"/>
          <w:noProof w:val="0"/>
          <w:color w:val="000000" w:themeColor="text1" w:themeTint="FF" w:themeShade="FF"/>
          <w:sz w:val="26"/>
          <w:szCs w:val="26"/>
          <w:lang w:val="en-GB"/>
        </w:rPr>
        <w:t xml:space="preserve">. </w:t>
      </w:r>
      <w:r w:rsidRPr="2AD25726" w:rsidR="55ABB281">
        <w:rPr>
          <w:rFonts w:ascii="Open Sans" w:hAnsi="Open Sans" w:eastAsia="Open Sans" w:cs="Open Sans"/>
          <w:i w:val="1"/>
          <w:iCs w:val="1"/>
          <w:noProof w:val="0"/>
          <w:color w:val="000000" w:themeColor="text1" w:themeTint="FF" w:themeShade="FF"/>
          <w:sz w:val="26"/>
          <w:szCs w:val="26"/>
          <w:lang w:val="en-GB"/>
        </w:rPr>
        <w:t>JAMA</w:t>
      </w:r>
      <w:r w:rsidRPr="2AD25726" w:rsidR="55ABB281">
        <w:rPr>
          <w:rFonts w:ascii="Open Sans" w:hAnsi="Open Sans" w:eastAsia="Open Sans" w:cs="Open Sans"/>
          <w:noProof w:val="0"/>
          <w:color w:val="000000" w:themeColor="text1" w:themeTint="FF" w:themeShade="FF"/>
          <w:sz w:val="26"/>
          <w:szCs w:val="26"/>
          <w:lang w:val="en-GB"/>
        </w:rPr>
        <w:t>. 2019 Sept 27.</w:t>
      </w:r>
    </w:p>
    <w:p w:rsidR="2AD25726" w:rsidP="2AD25726" w:rsidRDefault="2AD25726" w14:paraId="6E6E52DA" w14:textId="42701249">
      <w:pPr>
        <w:rPr>
          <w:rFonts w:ascii="Arial" w:hAnsi="Arial" w:eastAsia="Arial" w:cs="Arial"/>
          <w:noProof w:val="0"/>
          <w:sz w:val="24"/>
          <w:szCs w:val="24"/>
          <w:lang w:val="en-GB"/>
        </w:rPr>
      </w:pPr>
    </w:p>
    <w:p w:rsidR="1D3AF5BB" w:rsidP="2AD25726" w:rsidRDefault="1D3AF5BB" w14:paraId="19E8BFD0" w14:textId="1B855E5E">
      <w:pPr>
        <w:pStyle w:val="Normal"/>
        <w:spacing w:line="360" w:lineRule="auto"/>
        <w:rPr>
          <w:rFonts w:ascii="Arial" w:hAnsi="Arial" w:eastAsia="Arial" w:cs="Arial"/>
          <w:sz w:val="22"/>
          <w:szCs w:val="22"/>
        </w:rPr>
      </w:pPr>
      <w:r>
        <w:br/>
      </w:r>
    </w:p>
    <w:p w:rsidR="2AD25726" w:rsidP="2AD25726" w:rsidRDefault="2AD25726" w14:paraId="014B4C1D" w14:textId="36D978DA">
      <w:pPr>
        <w:pStyle w:val="Normal"/>
        <w:spacing w:line="360" w:lineRule="auto"/>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bookmark int2:bookmarkName="_Int_rgOQnqUX" int2:invalidationBookmarkName="" int2:hashCode="0b9+qEstZjFYiJ" int2:id="1v8Hr3uY">
      <int2:state int2:type="WordDesignerPullQuotesAnnotation" int2:value="Reviewed"/>
    </int2:bookmark>
    <int2:entireDocument int2:id="FELe6ZGq">
      <int2:extLst>
        <oel:ext uri="E302BA01-7950-474C-9AD3-286E660C40A8">
          <int2:similaritySummary int2:version="1" int2:runId="1678012701726" int2:tilesCheckedInThisRun="34" int2:totalNumOfTiles="34" int2:similarityAnnotationCount="0" int2:numWords="1010" int2:numFlaggedWords="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55DF8EE5-662A6DC0 4CE97C27-47606DAF 05980495-1436AA68 3D48A883-4360851D 2D5B087F-70F191A5 4A2B0D94-0A5EA230 001E1828-5905C309 70FBB732-401F1926 72053975-31F8B4A5 3C3FEB3C-7FF974B6 6E94CA19-2E413C28 4A53027E-45085D2C 01D7D491-6C262A63 3BB5BBAE-11960064 0107EDAF-7710793D 506FB8EE-3C1862ED 773808C1-3A943FF2 207A635D-3DE89525 5D53B68D-2BCC7F44 62E7DC35-3620C0C4 4042E0FB-7462B714 7652956B-0C057920 5E5787A5-5A6BE66E 6BAE41D9-75D0CAAA 11E16F8E-1EF8D3D4 1C05666D-3B0AC749 698C95A6-298B3D04 4FF3DCB0-64A7D4F9 2B679ED9-76BF109A 4474C576-07D2D5C9 32851D14-43241466 15E2CBC0-247F6710 3905FCE1-6B4F0EB2 1B907A0D-103F7194 0EED6E28-7FBC0ED6 492C48CF-27F6F3CC 0612C709-5BC93099 71819F2B-62461090 4C3C52A2-32E99758 43977C0C-180E75F1 59A82AC2-44B70C5C 351CB0DA-72A6F63D 741658E4-28B6B93F 5F82EED2-02619ED4 19E8BFD0-00CD72C9 014B4C1D-36D978DA"/>
  </int2:onDemandWorkflows>
</int2:intelligence>
</file>

<file path=word/numbering.xml><?xml version="1.0" encoding="utf-8"?>
<w:numbering xmlns:w="http://schemas.openxmlformats.org/wordprocessingml/2006/main">
  <w:abstractNum xmlns:w="http://schemas.openxmlformats.org/wordprocessingml/2006/main" w:abstractNumId="1">
    <w:nsid w:val="7aca0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EF563B"/>
    <w:rsid w:val="002BE25A"/>
    <w:rsid w:val="00B0AB1D"/>
    <w:rsid w:val="00CBD839"/>
    <w:rsid w:val="01C7B2BB"/>
    <w:rsid w:val="03F79AF9"/>
    <w:rsid w:val="05224F60"/>
    <w:rsid w:val="05A1BF42"/>
    <w:rsid w:val="0C258AF9"/>
    <w:rsid w:val="0E4358E7"/>
    <w:rsid w:val="0F5D2BBB"/>
    <w:rsid w:val="10F8FC1C"/>
    <w:rsid w:val="12018D88"/>
    <w:rsid w:val="1289A299"/>
    <w:rsid w:val="12A933F1"/>
    <w:rsid w:val="14B7E0BB"/>
    <w:rsid w:val="18728DA7"/>
    <w:rsid w:val="1B1DA63D"/>
    <w:rsid w:val="1B2854ED"/>
    <w:rsid w:val="1D3AF5BB"/>
    <w:rsid w:val="1D8DA89D"/>
    <w:rsid w:val="1EC3500E"/>
    <w:rsid w:val="1FE8B645"/>
    <w:rsid w:val="204490BD"/>
    <w:rsid w:val="209353D0"/>
    <w:rsid w:val="21617059"/>
    <w:rsid w:val="21990AF9"/>
    <w:rsid w:val="23AE27A9"/>
    <w:rsid w:val="259ED9F8"/>
    <w:rsid w:val="266C7C1C"/>
    <w:rsid w:val="26BD2B9F"/>
    <w:rsid w:val="27881C2A"/>
    <w:rsid w:val="28084C7D"/>
    <w:rsid w:val="288EE05C"/>
    <w:rsid w:val="2918F843"/>
    <w:rsid w:val="2A336791"/>
    <w:rsid w:val="2AD25726"/>
    <w:rsid w:val="2BCF37F2"/>
    <w:rsid w:val="2BEF563B"/>
    <w:rsid w:val="2C110555"/>
    <w:rsid w:val="2DACD5B6"/>
    <w:rsid w:val="2EAD4CEF"/>
    <w:rsid w:val="326FD550"/>
    <w:rsid w:val="33112686"/>
    <w:rsid w:val="3341546B"/>
    <w:rsid w:val="3380BE12"/>
    <w:rsid w:val="3380BE12"/>
    <w:rsid w:val="33A6B7C8"/>
    <w:rsid w:val="351C8E73"/>
    <w:rsid w:val="35225642"/>
    <w:rsid w:val="37D81069"/>
    <w:rsid w:val="38542F35"/>
    <w:rsid w:val="38A9B3AF"/>
    <w:rsid w:val="39294821"/>
    <w:rsid w:val="396B96C6"/>
    <w:rsid w:val="3987143B"/>
    <w:rsid w:val="3C01FB58"/>
    <w:rsid w:val="3DCC7C00"/>
    <w:rsid w:val="409643AC"/>
    <w:rsid w:val="40DC7448"/>
    <w:rsid w:val="4125AE06"/>
    <w:rsid w:val="43303C2F"/>
    <w:rsid w:val="435FCF8B"/>
    <w:rsid w:val="448AA4CF"/>
    <w:rsid w:val="44DA976D"/>
    <w:rsid w:val="44FB9FEC"/>
    <w:rsid w:val="4619F2C0"/>
    <w:rsid w:val="4697704D"/>
    <w:rsid w:val="49076844"/>
    <w:rsid w:val="49978121"/>
    <w:rsid w:val="4AC40A51"/>
    <w:rsid w:val="4D0775F6"/>
    <w:rsid w:val="4D38674D"/>
    <w:rsid w:val="4D8446DB"/>
    <w:rsid w:val="4EA34657"/>
    <w:rsid w:val="4F66B1C9"/>
    <w:rsid w:val="4F96E046"/>
    <w:rsid w:val="4F9AD7B1"/>
    <w:rsid w:val="5070080F"/>
    <w:rsid w:val="5136A812"/>
    <w:rsid w:val="519062E2"/>
    <w:rsid w:val="53D99E81"/>
    <w:rsid w:val="546E48D4"/>
    <w:rsid w:val="55ABB281"/>
    <w:rsid w:val="571200C4"/>
    <w:rsid w:val="57321ACE"/>
    <w:rsid w:val="59DB7338"/>
    <w:rsid w:val="5DF70661"/>
    <w:rsid w:val="6278DF49"/>
    <w:rsid w:val="6348765E"/>
    <w:rsid w:val="63B57A6E"/>
    <w:rsid w:val="648B8FDB"/>
    <w:rsid w:val="64CBDA30"/>
    <w:rsid w:val="6520DBCC"/>
    <w:rsid w:val="656253D0"/>
    <w:rsid w:val="65ED19BA"/>
    <w:rsid w:val="6643E81B"/>
    <w:rsid w:val="67C3FAE6"/>
    <w:rsid w:val="68A37CEE"/>
    <w:rsid w:val="6C4A1DC4"/>
    <w:rsid w:val="6D76EE11"/>
    <w:rsid w:val="6DE5EE25"/>
    <w:rsid w:val="6ECC23E5"/>
    <w:rsid w:val="715BBDA1"/>
    <w:rsid w:val="74226A3B"/>
    <w:rsid w:val="751E218C"/>
    <w:rsid w:val="75D27569"/>
    <w:rsid w:val="76468256"/>
    <w:rsid w:val="76839201"/>
    <w:rsid w:val="7732404D"/>
    <w:rsid w:val="788EA707"/>
    <w:rsid w:val="78CEA5C8"/>
    <w:rsid w:val="78F17B93"/>
    <w:rsid w:val="79244274"/>
    <w:rsid w:val="7A6A7629"/>
    <w:rsid w:val="7BED2069"/>
    <w:rsid w:val="7C2BAB26"/>
    <w:rsid w:val="7DDAED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F563B"/>
  <w15:chartTrackingRefBased/>
  <w15:docId w15:val="{7D104BE4-D5F9-4E40-85DD-76E1733AF5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dc.gov/mmwr/volumes/68/wr/mm6824a2.htm" TargetMode="External" Id="R30f9fb2c19bb4c36" /><Relationship Type="http://schemas.openxmlformats.org/officeDocument/2006/relationships/hyperlink" Target="https://www.cdc.gov/mmwr/volumes/67/wr/mm6716a3.htm" TargetMode="External" Id="R2ce69a3110a44b7d" /><Relationship Type="http://schemas.openxmlformats.org/officeDocument/2006/relationships/hyperlink" Target="https://www.ncbi.nlm.nih.gov/pubmed/25856253" TargetMode="External" Id="R91268119d4f646bc" /><Relationship Type="http://schemas.openxmlformats.org/officeDocument/2006/relationships/hyperlink" Target="https://www.cdc.gov/mmwr/preview/mmwrhtml/mm6016a5.htm" TargetMode="External" Id="Rf519db0c02ce45e4" /><Relationship Type="http://schemas.openxmlformats.org/officeDocument/2006/relationships/hyperlink" Target="https://www.cdc.gov/mmwr/preview/mmwrhtml/rr5802a1.htm" TargetMode="External" Id="R2fba6564848f4a2e" /><Relationship Type="http://schemas.openxmlformats.org/officeDocument/2006/relationships/hyperlink" Target="https://jamanetwork.com/journals/jamanetworkopen/fullarticle/2752101" TargetMode="External" Id="R7b02fa888e9c436c" /><Relationship Type="http://schemas.openxmlformats.org/officeDocument/2006/relationships/hyperlink" Target="https://academic.oup.com/jpids/article/7/3/257/4063213" TargetMode="External" Id="R5781ae45e59f4643" /><Relationship Type="http://schemas.openxmlformats.org/officeDocument/2006/relationships/hyperlink" Target="https://www.ncbi.nlm.nih.gov/pubmed/27088585" TargetMode="External" Id="R60007bd307f648f6" /><Relationship Type="http://schemas.openxmlformats.org/officeDocument/2006/relationships/hyperlink" Target="https://www.ncbi.nlm.nih.gov/pubmed/23982372" TargetMode="External" Id="R9b9d04b4898947e2" /><Relationship Type="http://schemas.openxmlformats.org/officeDocument/2006/relationships/hyperlink" Target="https://www.ncbi.nlm.nih.gov/pubmed/23426425" TargetMode="External" Id="R1e81193dd5544c70" /><Relationship Type="http://schemas.openxmlformats.org/officeDocument/2006/relationships/hyperlink" Target="http://www.sciencedirect.com/science/article/pii/S1473309912700294" TargetMode="External" Id="Re19f326138304739" /><Relationship Type="http://schemas.openxmlformats.org/officeDocument/2006/relationships/hyperlink" Target="http://www.nejm.org/doi/full/10.1056/NEJMoa1000446" TargetMode="External" Id="R44731904328744d7" /><Relationship Type="http://schemas.openxmlformats.org/officeDocument/2006/relationships/hyperlink" Target="https://www.cdc.gov/rotavirus/textbks-pubs.html" TargetMode="External" Id="R29c325a9d2274980" /><Relationship Type="http://schemas.openxmlformats.org/officeDocument/2006/relationships/hyperlink" Target="https://jamanetwork.com/journals/jamanetworkopen/fullarticle/2752101" TargetMode="External" Id="R9270db1ec2924c95" /><Relationship Type="http://schemas.microsoft.com/office/2020/10/relationships/intelligence" Target="/word/intelligence2.xml" Id="R0b677927e652425d" /><Relationship Type="http://schemas.openxmlformats.org/officeDocument/2006/relationships/numbering" Target="/word/numbering.xml" Id="R372ecc87f9184da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Godfred Yankey (2212092)</dc:creator>
  <keywords/>
  <dc:description/>
  <lastModifiedBy>Godfred Yankey (2212092)</lastModifiedBy>
  <revision>2</revision>
  <dcterms:created xsi:type="dcterms:W3CDTF">2023-03-04T01:53:52.4796478Z</dcterms:created>
  <dcterms:modified xsi:type="dcterms:W3CDTF">2023-03-05T10:47:59.7413234Z</dcterms:modified>
</coreProperties>
</file>