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EFF84" w14:textId="77777777" w:rsidR="007E0D47" w:rsidRPr="006D1F74" w:rsidRDefault="007E0D47" w:rsidP="007E0D47">
      <w:pPr>
        <w:pStyle w:val="Title"/>
        <w:spacing w:line="360" w:lineRule="auto"/>
        <w:rPr>
          <w:rFonts w:ascii="Arial" w:eastAsia="Times New Roman" w:hAnsi="Arial" w:cs="Arial"/>
          <w:sz w:val="24"/>
          <w:szCs w:val="24"/>
          <w:lang w:eastAsia="en-GB"/>
        </w:rPr>
      </w:pPr>
      <w:r w:rsidRPr="006D1F74">
        <w:rPr>
          <w:rFonts w:ascii="Arial" w:eastAsia="Times New Roman" w:hAnsi="Arial" w:cs="Arial"/>
          <w:sz w:val="24"/>
          <w:szCs w:val="24"/>
          <w:lang w:eastAsia="en-GB"/>
        </w:rPr>
        <w:t>Angharad Evans</w:t>
      </w:r>
    </w:p>
    <w:p w14:paraId="244D22C7" w14:textId="77777777" w:rsidR="007E0D47" w:rsidRPr="006D1F74" w:rsidRDefault="007E0D47" w:rsidP="007E0D47">
      <w:pPr>
        <w:spacing w:line="360" w:lineRule="auto"/>
        <w:rPr>
          <w:rFonts w:ascii="Arial" w:hAnsi="Arial" w:cs="Arial"/>
          <w:lang w:eastAsia="en-GB"/>
        </w:rPr>
      </w:pPr>
      <w:r w:rsidRPr="006D1F74">
        <w:rPr>
          <w:rFonts w:ascii="Arial" w:hAnsi="Arial" w:cs="Arial"/>
          <w:lang w:eastAsia="en-GB"/>
        </w:rPr>
        <w:t>2204700</w:t>
      </w:r>
    </w:p>
    <w:p w14:paraId="3E3BEC22" w14:textId="77777777" w:rsidR="007E0D47" w:rsidRPr="006D1F74" w:rsidRDefault="007E0D47" w:rsidP="007E0D47">
      <w:pPr>
        <w:spacing w:line="360" w:lineRule="auto"/>
        <w:rPr>
          <w:rFonts w:ascii="Arial" w:hAnsi="Arial" w:cs="Arial"/>
          <w:lang w:eastAsia="en-GB"/>
        </w:rPr>
      </w:pPr>
    </w:p>
    <w:p w14:paraId="1BDEA4E7" w14:textId="77777777" w:rsidR="007E0D47" w:rsidRDefault="007E0D47" w:rsidP="007E0D47">
      <w:pPr>
        <w:pStyle w:val="Title"/>
        <w:spacing w:line="360" w:lineRule="auto"/>
        <w:rPr>
          <w:rFonts w:ascii="Arial" w:eastAsia="Times New Roman" w:hAnsi="Arial" w:cs="Arial"/>
          <w:b/>
          <w:bCs/>
          <w:sz w:val="44"/>
          <w:szCs w:val="44"/>
          <w:lang w:eastAsia="en-GB"/>
        </w:rPr>
      </w:pPr>
      <w:r w:rsidRPr="00BC2813">
        <w:rPr>
          <w:rFonts w:ascii="Arial" w:eastAsia="Times New Roman" w:hAnsi="Arial" w:cs="Arial"/>
          <w:b/>
          <w:bCs/>
          <w:sz w:val="44"/>
          <w:szCs w:val="44"/>
          <w:lang w:eastAsia="en-GB"/>
        </w:rPr>
        <w:t>Distribution of health and disease in the UK</w:t>
      </w:r>
    </w:p>
    <w:p w14:paraId="4768EF82" w14:textId="77777777" w:rsidR="007E0D47" w:rsidRDefault="007E0D47" w:rsidP="007E0D47">
      <w:pPr>
        <w:spacing w:line="360" w:lineRule="auto"/>
        <w:rPr>
          <w:rFonts w:ascii="Arial" w:hAnsi="Arial" w:cs="Arial"/>
          <w:lang w:eastAsia="en-GB"/>
        </w:rPr>
      </w:pPr>
      <w:r w:rsidRPr="006D1F74">
        <w:rPr>
          <w:rFonts w:ascii="Arial" w:hAnsi="Arial" w:cs="Arial"/>
          <w:lang w:eastAsia="en-GB"/>
        </w:rPr>
        <w:t xml:space="preserve">In this essay, we will be discussing the concept of health-related fitness, the most important measures of the UK’s population health, </w:t>
      </w:r>
      <w:r>
        <w:rPr>
          <w:rFonts w:ascii="Arial" w:hAnsi="Arial" w:cs="Arial"/>
          <w:lang w:eastAsia="en-GB"/>
        </w:rPr>
        <w:t>and</w:t>
      </w:r>
      <w:r w:rsidRPr="006D1F74">
        <w:rPr>
          <w:rFonts w:ascii="Arial" w:hAnsi="Arial" w:cs="Arial"/>
          <w:lang w:eastAsia="en-GB"/>
        </w:rPr>
        <w:t xml:space="preserve"> some </w:t>
      </w:r>
      <w:r>
        <w:rPr>
          <w:rFonts w:ascii="Arial" w:hAnsi="Arial" w:cs="Arial"/>
          <w:lang w:eastAsia="en-GB"/>
        </w:rPr>
        <w:t xml:space="preserve">that are </w:t>
      </w:r>
      <w:r w:rsidRPr="006D1F74">
        <w:rPr>
          <w:rFonts w:ascii="Arial" w:hAnsi="Arial" w:cs="Arial"/>
          <w:lang w:eastAsia="en-GB"/>
        </w:rPr>
        <w:t>specific to the Welsh population. These things include disease prevalence such as diabetes, heart disease, kidney disease</w:t>
      </w:r>
      <w:r>
        <w:rPr>
          <w:rFonts w:ascii="Arial" w:hAnsi="Arial" w:cs="Arial"/>
          <w:lang w:eastAsia="en-GB"/>
        </w:rPr>
        <w:t xml:space="preserve">, stroke, </w:t>
      </w:r>
      <w:r w:rsidRPr="006D1F74">
        <w:rPr>
          <w:rFonts w:ascii="Arial" w:hAnsi="Arial" w:cs="Arial"/>
          <w:lang w:eastAsia="en-GB"/>
        </w:rPr>
        <w:t>and how these things can relate to a socio-economic status.</w:t>
      </w:r>
    </w:p>
    <w:p w14:paraId="1FB933E8" w14:textId="77777777" w:rsidR="007E0D47" w:rsidRPr="006D1F74" w:rsidRDefault="007E0D47" w:rsidP="007E0D47">
      <w:pPr>
        <w:spacing w:line="360" w:lineRule="auto"/>
        <w:rPr>
          <w:rFonts w:ascii="Arial" w:hAnsi="Arial" w:cs="Arial"/>
          <w:lang w:eastAsia="en-GB"/>
        </w:rPr>
      </w:pPr>
    </w:p>
    <w:p w14:paraId="1F09116B" w14:textId="77777777" w:rsidR="007E0D47" w:rsidRDefault="007E0D47" w:rsidP="007E0D47">
      <w:pPr>
        <w:spacing w:after="100" w:afterAutospacing="1" w:line="360" w:lineRule="auto"/>
        <w:jc w:val="both"/>
        <w:rPr>
          <w:rFonts w:ascii="Arial" w:eastAsia="Times New Roman" w:hAnsi="Arial" w:cs="Arial"/>
          <w:color w:val="373A3C"/>
          <w:lang w:eastAsia="en-GB"/>
        </w:rPr>
      </w:pPr>
      <w:r>
        <w:rPr>
          <w:rFonts w:ascii="Arial" w:eastAsia="Times New Roman" w:hAnsi="Arial" w:cs="Arial"/>
          <w:color w:val="373A3C"/>
          <w:lang w:eastAsia="en-GB"/>
        </w:rPr>
        <w:t xml:space="preserve">Beginning with the concept of health and health-related fitness, it includes such things like flexibility, body composition, muscular strength, cardiovascular endurance and muscular endurance. All these concepts are important when talking about fitness. So, to begin with, what is physical fitness? Physical fitness consists of components that are connected to skills, health and fitness. Health-related fitness elements have to do with how well the body’s systems work. Fitness products that are skill-related are focused on sporting performance. Health-related fitness is defined as “a multidimensional construct made up of the elements flexibility, body composition, muscular strength and muscular endurance” (Britton, et al., 2020). Fitness is seen as a crucial component of sustaining a healthy lifestyle by maintaining an adequate level of health-related components. A definition for the component flexibility is the range of movement possible at various joints. With something like cardiovascular endurance, it has to do with the body’s capacity to provide muscles with the essential oxygen and fuel when engaging in physical activity through the heart, blood vessels, and respiratory system. When we discover things like the important measures of the UK, or some specific Welsh population health measures, we can discuss things like life expectancy and disease prevalence. Starting with life expectancy: life expectancy is defined as the number of years a person is or can be expected to live. It’s all based on an estimate of the average age that people of a particular population group, for example, the UK, will be when they die. Some economic or health-related facts may play a role in it. Some examples of these things include poverty, lifestyle, where they live, living circumstances, health status and so forth. According to the Office for National Statistics, the life expectancy at birth in the United Kingdom between the </w:t>
      </w:r>
      <w:r>
        <w:rPr>
          <w:rFonts w:ascii="Arial" w:eastAsia="Times New Roman" w:hAnsi="Arial" w:cs="Arial"/>
          <w:color w:val="373A3C"/>
          <w:lang w:eastAsia="en-GB"/>
        </w:rPr>
        <w:lastRenderedPageBreak/>
        <w:t xml:space="preserve">years 2018 and 2020 was 79 years for males and 82.9 for females. For individuals of the age group 65 years+, the life expectancy for males was 18.5 years and 21.0 years for females. If we discuss the overall life expectancy for the whole of the United Kingdom, the statistics are like this: between 2018 and 2020, life expectancy for males was 79.3 and was 83.1 for females. These statistics are for England. For Scotland it shows it’s 76.8 for males and 81 for females. it’s 78.3 for males and 82.1 for females in Wales, and lastly, 78.7 for males and 82.4 for females in Northern Ireland. All these statistics are from 2018 to 2020 (Buxton, J, 2021). All these statistics were recorded during the covid-19 pandemic period. </w:t>
      </w:r>
      <w:r>
        <w:rPr>
          <w:rFonts w:ascii="Arial" w:eastAsia="Times New Roman" w:hAnsi="Arial" w:cs="Arial"/>
          <w:i/>
          <w:iCs/>
          <w:color w:val="373A3C"/>
          <w:lang w:eastAsia="en-GB"/>
        </w:rPr>
        <w:t>“Life expectancy has increased in the UK over the last 40 years, albeit at a slower pace in the last decade” (</w:t>
      </w:r>
      <w:r>
        <w:rPr>
          <w:rFonts w:ascii="Arial" w:eastAsia="Times New Roman" w:hAnsi="Arial" w:cs="Arial"/>
          <w:color w:val="373A3C"/>
          <w:lang w:eastAsia="en-GB"/>
        </w:rPr>
        <w:t xml:space="preserve">Cobb, P, 2021). To compare statistics, life expectancy in 1980- 1982 for males was 70.80 and 76.81 for females. According to the National Institute for Health and Care Research (NIHR), long-term illnesses can reduce life expectancy, although regular exercise and a healthy diet can assist. According to a significant recent study, adopting a healthy lifestyle can add 6-7 years to the life expectancy of middle-aged persons with numerous chronic diseases, also known as multimorbidity. Moving onto disease prevalence, this includes things like cardiovascular </w:t>
      </w:r>
      <w:proofErr w:type="gramStart"/>
      <w:r>
        <w:rPr>
          <w:rFonts w:ascii="Arial" w:eastAsia="Times New Roman" w:hAnsi="Arial" w:cs="Arial"/>
          <w:color w:val="373A3C"/>
          <w:lang w:eastAsia="en-GB"/>
        </w:rPr>
        <w:t>disease  (</w:t>
      </w:r>
      <w:proofErr w:type="gramEnd"/>
      <w:r>
        <w:rPr>
          <w:rFonts w:ascii="Arial" w:eastAsia="Times New Roman" w:hAnsi="Arial" w:cs="Arial"/>
          <w:color w:val="373A3C"/>
          <w:lang w:eastAsia="en-GB"/>
        </w:rPr>
        <w:t xml:space="preserve">CVD), hypertension, diabetes, obesity, dyslipidaemia, chronic kidney disease (CKD), strokes. To state, the most common cause of death in Wales (June 2022) was ischaemic heart diseases, which was 10.7% of all deaths. Some risk factors that associate with cardiovascular disease are age, gender, ethnicity, smoking, diabetes, obesity, atrial fibrillation, family history, hypertension, inflammatory markers, chronic renal insufficiency. All these factors can increase the likelihood of someone having CVD. These can also decrease someone’s life expectancy. Saying this, if someone doesn’t have a healthy diet and isn’t doing any kind of physical activity, it can also lead to them having, or having the likelihood of having cardiovascular disease. Based on income, education, and employment, socioeconomic status is a gauge of a person’s or family’s economic and social standing in comparison to others. No studies have, so far, contrasted the effects of low socioeconomic status with other significant risk factors on health. When projecting health outcomes, health programmes sometimes neglect to consider risk factors like poverty and a lack of education. When predicting health consequences, socioeconomic status factors are crucial, such as poverty and inadequate education. In fact, some studies demonstrated that having a low socioeconomic status is equally as significant as using cigarettes, eating poorly, being inactive, and abusing alcohol. </w:t>
      </w:r>
      <w:r>
        <w:rPr>
          <w:rFonts w:ascii="Arial" w:eastAsia="Times New Roman" w:hAnsi="Arial" w:cs="Arial"/>
          <w:color w:val="373A3C"/>
          <w:lang w:eastAsia="en-GB"/>
        </w:rPr>
        <w:lastRenderedPageBreak/>
        <w:t>So, how exactly do both disease prevalence and life expectancy relate to socio-economic status? According to School of Public Health (2019), in a community with universal healthcare, a study of 6 million individuals discovered a significant correlation between socioeconomic level and life expectancy. The life expectancy of men and women in the lowest socioeconomic status group at the same age was 12 and 9 years, respectively, less than that of those in the highest socioeconomic status group (School of Public Health, 2019). “</w:t>
      </w:r>
      <w:r>
        <w:rPr>
          <w:rFonts w:ascii="Arial" w:eastAsia="Times New Roman" w:hAnsi="Arial" w:cs="Arial"/>
          <w:i/>
          <w:iCs/>
          <w:color w:val="373A3C"/>
          <w:lang w:eastAsia="en-GB"/>
        </w:rPr>
        <w:t xml:space="preserve">Scientists found that poverty and poor education are linked to ill health and early death and should be considered risk factors for these outcomes” </w:t>
      </w:r>
      <w:r>
        <w:rPr>
          <w:rFonts w:ascii="Arial" w:eastAsia="Times New Roman" w:hAnsi="Arial" w:cs="Arial"/>
          <w:color w:val="373A3C"/>
          <w:lang w:eastAsia="en-GB"/>
        </w:rPr>
        <w:t xml:space="preserve">says Imperial College London (2017). This article revealed that having a low socioeconomic status had a similar negative impact on health as smoking or leading a sedentary lifestyle and was linked to a 2.1-year reduction in life expectancy (2.4 years). According to the results of the study, people with a low socioeconomic status were 46% more likely to die young than their wealthier relatives. Now with the cost-of-living crisis going on, life expectancies of the different population groups may decrease due to lack of money to be able to buy food, heating, afford house bills to simply have a home. These things are the </w:t>
      </w:r>
      <w:proofErr w:type="gramStart"/>
      <w:r>
        <w:rPr>
          <w:rFonts w:ascii="Arial" w:eastAsia="Times New Roman" w:hAnsi="Arial" w:cs="Arial"/>
          <w:color w:val="373A3C"/>
          <w:lang w:eastAsia="en-GB"/>
        </w:rPr>
        <w:t>basic necessities</w:t>
      </w:r>
      <w:proofErr w:type="gramEnd"/>
      <w:r>
        <w:rPr>
          <w:rFonts w:ascii="Arial" w:eastAsia="Times New Roman" w:hAnsi="Arial" w:cs="Arial"/>
          <w:color w:val="373A3C"/>
          <w:lang w:eastAsia="en-GB"/>
        </w:rPr>
        <w:t xml:space="preserve"> of life. Everyone acquires these for survival. </w:t>
      </w:r>
    </w:p>
    <w:p w14:paraId="39EDE9F2" w14:textId="77777777" w:rsidR="007E0D47" w:rsidRPr="006D1F74" w:rsidRDefault="007E0D47" w:rsidP="007E0D47">
      <w:pPr>
        <w:spacing w:line="360" w:lineRule="auto"/>
        <w:rPr>
          <w:rFonts w:ascii="Arial" w:hAnsi="Arial" w:cs="Arial"/>
        </w:rPr>
      </w:pPr>
      <w:r>
        <w:rPr>
          <w:rFonts w:ascii="Arial" w:eastAsia="Times New Roman" w:hAnsi="Arial" w:cs="Arial"/>
          <w:color w:val="373A3C"/>
          <w:lang w:eastAsia="en-GB"/>
        </w:rPr>
        <w:t xml:space="preserve">In this section of the essay, we will discuss the association between socioeconomic status and physical activity. In order to maintain a healthy lifestyle, physical activity is needed to be done. Physical activity decreases the likelihood of type 2 diabetes, heart disease, strokes and many other common or uncommon diseases. So, how do they correlate to each other.  A key technique for good ageing is regular physical activity. A significant predictor of physical activity was found to be socioeconomic status, however there is little data to support correlations between socioeconomic status and physical activity in older people. By using both self-reported and objectively evaluated physical activity data, the study from BMC Geriatrics (2022) aimed to further knowledge about the relationships between older individuals’ socioeconomic status and physical activity. Additionally, they looked at the activities independently in order to more thoroughly investigate the self-reported physical activity data. From the study, the regular physical activity is a crucial strategy ageing. Socioeconomic status was found to be a major predictor of physical activity, however there is minimal evidence that physical activity in older people is correlated with socioeconomic position. The study sought to advance understanding of the </w:t>
      </w:r>
      <w:r>
        <w:rPr>
          <w:rFonts w:ascii="Arial" w:eastAsia="Times New Roman" w:hAnsi="Arial" w:cs="Arial"/>
          <w:color w:val="373A3C"/>
          <w:lang w:eastAsia="en-GB"/>
        </w:rPr>
        <w:lastRenderedPageBreak/>
        <w:t xml:space="preserve">connections between older people’s socioeconomic status and PA by utilising both self-reported and objectively evaluated physical activity data. In order to more fully examine the self-reported physical activity, they also looked at the activities separately. The results for this study </w:t>
      </w:r>
      <w:proofErr w:type="gramStart"/>
      <w:r>
        <w:rPr>
          <w:rFonts w:ascii="Arial" w:eastAsia="Times New Roman" w:hAnsi="Arial" w:cs="Arial"/>
          <w:color w:val="373A3C"/>
          <w:lang w:eastAsia="en-GB"/>
        </w:rPr>
        <w:t>was</w:t>
      </w:r>
      <w:proofErr w:type="gramEnd"/>
      <w:r>
        <w:rPr>
          <w:rFonts w:ascii="Arial" w:eastAsia="Times New Roman" w:hAnsi="Arial" w:cs="Arial"/>
          <w:color w:val="373A3C"/>
          <w:lang w:eastAsia="en-GB"/>
        </w:rPr>
        <w:t xml:space="preserve">: for both male and females, self-reported physical activity had a clear inverse relationships with socioeconomic level. Statistically significant in males but not in women, objectively assessed physical activity was positively correlated with socioeconomic level. When physical activities were looked at independently, time spent on things like gardening, walking, bicycling, and housekeeping dropped as socioeconomic level rose. Males and females in the third and fourth socioeconomic status quintiles reported exercising the most hours per week, while women in the first and fifth socioeconomic quintiles reported exercising the least. It has been long considered that socioeconomic status and physical activity are related, with high socioeconomic status being associated with greater levels of physical activity. This imbalance between socioeconomic categories has been cited as a reason for health-related disparities and used to support the implementation of programmed aimed at rising physical activity levels in lower socioeconomic groups. </w:t>
      </w:r>
      <w:r w:rsidRPr="006D1F74">
        <w:rPr>
          <w:rFonts w:ascii="Arial" w:hAnsi="Arial" w:cs="Arial"/>
        </w:rPr>
        <w:t xml:space="preserve">An example of how socioeconomic status can relate to physical activity, is: if someone lives in a busy city, maybe going out for runs will put them off. There’ll be a lot of people around no matter the time of day. They’ll think about it and keep putting it off. But, if there’s a gym few buildings away, and it’s a type of gym people go to for professional weightlifting and they don’t like that kind of vibe, then that may put them off as well. These two things may correlate with how they think about physical activity due to these; they may say they’ll try again in a few weeks but never do. This then could out rule the entirety of the idea of the gym and physical activity completely. </w:t>
      </w:r>
      <w:r>
        <w:rPr>
          <w:rFonts w:ascii="Arial" w:hAnsi="Arial" w:cs="Arial"/>
        </w:rPr>
        <w:t xml:space="preserve">According to the World Health organization (2022), individuals living with chronic conditions such as stroke, type 2 diabetes, cancer survivors and HIV, should engage in 150-300 minutes of aerobic exercise at a moderate intensity or at least 75-150 minutes of vigorous-intensity aerobic physical activity: or an equal combination of both moderate and vigorous activity each day of the week. Examples of moderate intensity physical activity include riding a bike on a level ground, walking fast and water aerobics. Examples of vigorous intensity physical activity include swimming laps, jogging and sprinting. Another intensity of physical activity is the sedentary one. Sedentary is activities including sitting or lying down; like having a job that includes sitting behind a desk all day. Some examples of </w:t>
      </w:r>
      <w:r>
        <w:rPr>
          <w:rFonts w:ascii="Arial" w:hAnsi="Arial" w:cs="Arial"/>
        </w:rPr>
        <w:lastRenderedPageBreak/>
        <w:t xml:space="preserve">sedentary-intensity physical activity include playing on a computer, travelling via car or bus when it could be a walking distance to their destination. Sedentary behaviour basically requires no energy. </w:t>
      </w:r>
    </w:p>
    <w:p w14:paraId="7734CBF7" w14:textId="77777777" w:rsidR="007E0D47" w:rsidRDefault="007E0D47" w:rsidP="007E0D47">
      <w:pPr>
        <w:spacing w:after="100" w:afterAutospacing="1" w:line="360" w:lineRule="auto"/>
        <w:jc w:val="both"/>
        <w:rPr>
          <w:rFonts w:ascii="Arial" w:eastAsia="Times New Roman" w:hAnsi="Arial" w:cs="Arial"/>
          <w:color w:val="373A3C"/>
          <w:lang w:eastAsia="en-GB"/>
        </w:rPr>
      </w:pPr>
    </w:p>
    <w:p w14:paraId="70DDD408" w14:textId="3821BA44" w:rsidR="007E0D47" w:rsidRDefault="007E0D47" w:rsidP="007E0D47">
      <w:pPr>
        <w:spacing w:after="100" w:afterAutospacing="1" w:line="360" w:lineRule="auto"/>
        <w:jc w:val="both"/>
        <w:rPr>
          <w:rFonts w:ascii="Arial" w:eastAsia="Times New Roman" w:hAnsi="Arial" w:cs="Arial"/>
          <w:color w:val="373A3C"/>
          <w:lang w:eastAsia="en-GB"/>
        </w:rPr>
      </w:pPr>
      <w:r>
        <w:rPr>
          <w:rFonts w:ascii="Arial" w:eastAsia="Times New Roman" w:hAnsi="Arial" w:cs="Arial"/>
          <w:color w:val="373A3C"/>
          <w:lang w:eastAsia="en-GB"/>
        </w:rPr>
        <w:t xml:space="preserve">From all the evidence gathered, it’s clear to state that physical activity can have an impact on someone’s lifestyle. Where someone lives can also influence their lifestyle. we discovered the meaning of physical activity, and its definition from different professionals and articles. We discovered the different intensities of physical activity; moderate and vigorous in this essay; and according to the World Health Organization (WHO); it’s important that people who are living with chronic conditions. To come to </w:t>
      </w:r>
      <w:proofErr w:type="gramStart"/>
      <w:r>
        <w:rPr>
          <w:rFonts w:ascii="Arial" w:eastAsia="Times New Roman" w:hAnsi="Arial" w:cs="Arial"/>
          <w:color w:val="373A3C"/>
          <w:lang w:eastAsia="en-GB"/>
        </w:rPr>
        <w:t>a final conclusion</w:t>
      </w:r>
      <w:proofErr w:type="gramEnd"/>
      <w:r>
        <w:rPr>
          <w:rFonts w:ascii="Arial" w:eastAsia="Times New Roman" w:hAnsi="Arial" w:cs="Arial"/>
          <w:color w:val="373A3C"/>
          <w:lang w:eastAsia="en-GB"/>
        </w:rPr>
        <w:t>, socioeconomic status is a crucial part of physical activity in individuals’ lives.</w:t>
      </w:r>
    </w:p>
    <w:p w14:paraId="091C3A2F" w14:textId="77777777" w:rsidR="007E0D47" w:rsidRDefault="007E0D47" w:rsidP="007E0D47">
      <w:pPr>
        <w:spacing w:after="100" w:afterAutospacing="1" w:line="360" w:lineRule="auto"/>
        <w:jc w:val="both"/>
        <w:rPr>
          <w:rFonts w:ascii="Arial" w:eastAsia="Times New Roman" w:hAnsi="Arial" w:cs="Arial"/>
          <w:color w:val="373A3C"/>
          <w:lang w:eastAsia="en-GB"/>
        </w:rPr>
      </w:pPr>
      <w:r>
        <w:rPr>
          <w:rFonts w:ascii="Arial" w:eastAsia="Times New Roman" w:hAnsi="Arial" w:cs="Arial"/>
          <w:color w:val="373A3C"/>
          <w:lang w:eastAsia="en-GB"/>
        </w:rPr>
        <w:t>Word count: 1762.</w:t>
      </w:r>
    </w:p>
    <w:p w14:paraId="1AF0D98B" w14:textId="77777777" w:rsidR="007E0D47" w:rsidRDefault="007E0D47" w:rsidP="007E0D47">
      <w:pPr>
        <w:rPr>
          <w:rFonts w:ascii="Arial" w:eastAsia="Times New Roman" w:hAnsi="Arial" w:cs="Arial"/>
          <w:color w:val="373A3C"/>
          <w:lang w:eastAsia="en-GB"/>
        </w:rPr>
      </w:pPr>
    </w:p>
    <w:p w14:paraId="24D67361" w14:textId="77777777" w:rsidR="007E0D47" w:rsidRDefault="007E0D47" w:rsidP="007E0D47">
      <w:pPr>
        <w:rPr>
          <w:rFonts w:ascii="Arial" w:eastAsia="Times New Roman" w:hAnsi="Arial" w:cs="Arial"/>
          <w:color w:val="373A3C"/>
          <w:lang w:eastAsia="en-GB"/>
        </w:rPr>
      </w:pPr>
    </w:p>
    <w:p w14:paraId="52150776" w14:textId="77777777" w:rsidR="007E0D47" w:rsidRDefault="007E0D47" w:rsidP="007E0D47">
      <w:pPr>
        <w:rPr>
          <w:rFonts w:ascii="Arial" w:eastAsia="Times New Roman" w:hAnsi="Arial" w:cs="Arial"/>
          <w:color w:val="373A3C"/>
          <w:lang w:eastAsia="en-GB"/>
        </w:rPr>
      </w:pPr>
    </w:p>
    <w:p w14:paraId="0BCC0EB1" w14:textId="77777777" w:rsidR="007E0D47" w:rsidRDefault="007E0D47" w:rsidP="007E0D47">
      <w:pPr>
        <w:rPr>
          <w:rFonts w:ascii="Arial" w:eastAsia="Times New Roman" w:hAnsi="Arial" w:cs="Arial"/>
          <w:color w:val="373A3C"/>
          <w:lang w:eastAsia="en-GB"/>
        </w:rPr>
      </w:pPr>
    </w:p>
    <w:p w14:paraId="2E5C4118" w14:textId="77777777" w:rsidR="007E0D47" w:rsidRDefault="007E0D47" w:rsidP="007E0D47">
      <w:pPr>
        <w:rPr>
          <w:rFonts w:ascii="Arial" w:eastAsia="Times New Roman" w:hAnsi="Arial" w:cs="Arial"/>
          <w:color w:val="373A3C"/>
          <w:lang w:eastAsia="en-GB"/>
        </w:rPr>
      </w:pPr>
    </w:p>
    <w:p w14:paraId="2439F051" w14:textId="77777777" w:rsidR="007E0D47" w:rsidRDefault="007E0D47" w:rsidP="007E0D47">
      <w:pPr>
        <w:rPr>
          <w:rFonts w:ascii="Arial" w:eastAsia="Times New Roman" w:hAnsi="Arial" w:cs="Arial"/>
          <w:color w:val="373A3C"/>
          <w:lang w:eastAsia="en-GB"/>
        </w:rPr>
      </w:pPr>
    </w:p>
    <w:p w14:paraId="5DC5088C" w14:textId="77777777" w:rsidR="007E0D47" w:rsidRDefault="007E0D47" w:rsidP="007E0D47">
      <w:pPr>
        <w:rPr>
          <w:rFonts w:ascii="Arial" w:eastAsia="Times New Roman" w:hAnsi="Arial" w:cs="Arial"/>
          <w:color w:val="373A3C"/>
          <w:lang w:eastAsia="en-GB"/>
        </w:rPr>
      </w:pPr>
    </w:p>
    <w:p w14:paraId="6AE5DABE" w14:textId="77777777" w:rsidR="007E0D47" w:rsidRDefault="007E0D47" w:rsidP="007E0D47">
      <w:pPr>
        <w:rPr>
          <w:rFonts w:ascii="Arial" w:eastAsia="Times New Roman" w:hAnsi="Arial" w:cs="Arial"/>
          <w:color w:val="373A3C"/>
          <w:lang w:eastAsia="en-GB"/>
        </w:rPr>
      </w:pPr>
    </w:p>
    <w:p w14:paraId="0F059CD8" w14:textId="77777777" w:rsidR="007E0D47" w:rsidRDefault="007E0D47" w:rsidP="007E0D47">
      <w:pPr>
        <w:rPr>
          <w:rFonts w:ascii="Arial" w:eastAsia="Times New Roman" w:hAnsi="Arial" w:cs="Arial"/>
          <w:color w:val="373A3C"/>
          <w:lang w:eastAsia="en-GB"/>
        </w:rPr>
      </w:pPr>
    </w:p>
    <w:p w14:paraId="655EBAA5" w14:textId="77777777" w:rsidR="007E0D47" w:rsidRDefault="007E0D47" w:rsidP="007E0D47">
      <w:pPr>
        <w:rPr>
          <w:rFonts w:ascii="Arial" w:eastAsia="Times New Roman" w:hAnsi="Arial" w:cs="Arial"/>
          <w:color w:val="373A3C"/>
          <w:lang w:eastAsia="en-GB"/>
        </w:rPr>
      </w:pPr>
    </w:p>
    <w:p w14:paraId="7E2B4446" w14:textId="77777777" w:rsidR="007E0D47" w:rsidRDefault="007E0D47" w:rsidP="007E0D47">
      <w:pPr>
        <w:rPr>
          <w:rFonts w:ascii="Arial" w:eastAsia="Times New Roman" w:hAnsi="Arial" w:cs="Arial"/>
          <w:color w:val="373A3C"/>
          <w:lang w:eastAsia="en-GB"/>
        </w:rPr>
      </w:pPr>
    </w:p>
    <w:p w14:paraId="5CE726B1" w14:textId="77777777" w:rsidR="007E0D47" w:rsidRDefault="007E0D47" w:rsidP="007E0D47">
      <w:pPr>
        <w:rPr>
          <w:rFonts w:ascii="Arial" w:eastAsia="Times New Roman" w:hAnsi="Arial" w:cs="Arial"/>
          <w:color w:val="373A3C"/>
          <w:lang w:eastAsia="en-GB"/>
        </w:rPr>
      </w:pPr>
    </w:p>
    <w:p w14:paraId="2AC4387B" w14:textId="77777777" w:rsidR="007E0D47" w:rsidRDefault="007E0D47" w:rsidP="007E0D47">
      <w:pPr>
        <w:rPr>
          <w:rFonts w:ascii="Arial" w:eastAsia="Times New Roman" w:hAnsi="Arial" w:cs="Arial"/>
          <w:color w:val="373A3C"/>
          <w:lang w:eastAsia="en-GB"/>
        </w:rPr>
      </w:pPr>
    </w:p>
    <w:p w14:paraId="44B79AE7" w14:textId="77777777" w:rsidR="007E0D47" w:rsidRDefault="007E0D47" w:rsidP="007E0D47">
      <w:pPr>
        <w:rPr>
          <w:rFonts w:ascii="Arial" w:eastAsia="Times New Roman" w:hAnsi="Arial" w:cs="Arial"/>
          <w:color w:val="373A3C"/>
          <w:lang w:eastAsia="en-GB"/>
        </w:rPr>
      </w:pPr>
    </w:p>
    <w:p w14:paraId="52BE700D" w14:textId="77777777" w:rsidR="007E0D47" w:rsidRDefault="007E0D47" w:rsidP="007E0D47">
      <w:pPr>
        <w:rPr>
          <w:rFonts w:ascii="Arial" w:eastAsia="Times New Roman" w:hAnsi="Arial" w:cs="Arial"/>
          <w:color w:val="373A3C"/>
          <w:lang w:eastAsia="en-GB"/>
        </w:rPr>
      </w:pPr>
    </w:p>
    <w:p w14:paraId="6EDD7E48" w14:textId="77777777" w:rsidR="007E0D47" w:rsidRDefault="007E0D47" w:rsidP="007E0D47">
      <w:pPr>
        <w:rPr>
          <w:rFonts w:ascii="Arial" w:eastAsia="Times New Roman" w:hAnsi="Arial" w:cs="Arial"/>
          <w:color w:val="373A3C"/>
          <w:lang w:eastAsia="en-GB"/>
        </w:rPr>
      </w:pPr>
    </w:p>
    <w:p w14:paraId="42428F03" w14:textId="77777777" w:rsidR="007E0D47" w:rsidRDefault="007E0D47" w:rsidP="007E0D47">
      <w:pPr>
        <w:rPr>
          <w:rFonts w:ascii="Arial" w:eastAsia="Times New Roman" w:hAnsi="Arial" w:cs="Arial"/>
          <w:color w:val="373A3C"/>
          <w:lang w:eastAsia="en-GB"/>
        </w:rPr>
      </w:pPr>
    </w:p>
    <w:p w14:paraId="0E752D80" w14:textId="77777777" w:rsidR="007E0D47" w:rsidRDefault="007E0D47" w:rsidP="007E0D47">
      <w:pPr>
        <w:rPr>
          <w:rFonts w:ascii="Arial" w:eastAsia="Times New Roman" w:hAnsi="Arial" w:cs="Arial"/>
          <w:color w:val="373A3C"/>
          <w:lang w:eastAsia="en-GB"/>
        </w:rPr>
      </w:pPr>
    </w:p>
    <w:p w14:paraId="405F3EF2" w14:textId="77777777" w:rsidR="007E0D47" w:rsidRPr="006D1F74" w:rsidRDefault="007E0D47" w:rsidP="007E0D47">
      <w:pPr>
        <w:rPr>
          <w:rFonts w:ascii="Arial" w:eastAsia="Times New Roman" w:hAnsi="Arial" w:cs="Arial"/>
          <w:color w:val="373A3C"/>
          <w:lang w:eastAsia="en-GB"/>
        </w:rPr>
      </w:pPr>
    </w:p>
    <w:p w14:paraId="20FEB3A4" w14:textId="77777777" w:rsidR="007E0D47" w:rsidRDefault="007E0D47" w:rsidP="007E0D47">
      <w:pPr>
        <w:rPr>
          <w:rFonts w:ascii="Arial" w:hAnsi="Arial" w:cs="Arial"/>
          <w:b/>
          <w:bCs/>
          <w:sz w:val="36"/>
          <w:szCs w:val="36"/>
        </w:rPr>
      </w:pPr>
    </w:p>
    <w:p w14:paraId="663E595E" w14:textId="77777777" w:rsidR="007E0D47" w:rsidRDefault="007E0D47" w:rsidP="007E0D47">
      <w:pPr>
        <w:rPr>
          <w:rFonts w:ascii="Arial" w:hAnsi="Arial" w:cs="Arial"/>
          <w:b/>
          <w:bCs/>
          <w:sz w:val="36"/>
          <w:szCs w:val="36"/>
        </w:rPr>
      </w:pPr>
    </w:p>
    <w:p w14:paraId="00F74D3C" w14:textId="77777777" w:rsidR="007E0D47" w:rsidRDefault="007E0D47" w:rsidP="007E0D47">
      <w:pPr>
        <w:rPr>
          <w:rFonts w:ascii="Arial" w:hAnsi="Arial" w:cs="Arial"/>
          <w:b/>
          <w:bCs/>
          <w:sz w:val="36"/>
          <w:szCs w:val="36"/>
        </w:rPr>
      </w:pPr>
    </w:p>
    <w:p w14:paraId="2A5AA15C" w14:textId="77777777" w:rsidR="007E0D47" w:rsidRDefault="007E0D47" w:rsidP="007E0D47">
      <w:pPr>
        <w:rPr>
          <w:rFonts w:ascii="Arial" w:hAnsi="Arial" w:cs="Arial"/>
          <w:b/>
          <w:bCs/>
          <w:sz w:val="36"/>
          <w:szCs w:val="36"/>
        </w:rPr>
      </w:pPr>
    </w:p>
    <w:p w14:paraId="71ED007D" w14:textId="77777777" w:rsidR="007E0D47" w:rsidRDefault="007E0D47" w:rsidP="007E0D47">
      <w:pPr>
        <w:rPr>
          <w:rFonts w:ascii="Arial" w:hAnsi="Arial" w:cs="Arial"/>
          <w:b/>
          <w:bCs/>
          <w:sz w:val="36"/>
          <w:szCs w:val="36"/>
        </w:rPr>
      </w:pPr>
    </w:p>
    <w:p w14:paraId="2C38BE59" w14:textId="77777777" w:rsidR="007E0D47" w:rsidRDefault="007E0D47" w:rsidP="007E0D47">
      <w:pPr>
        <w:rPr>
          <w:rFonts w:ascii="Arial" w:hAnsi="Arial" w:cs="Arial"/>
          <w:b/>
          <w:bCs/>
          <w:sz w:val="36"/>
          <w:szCs w:val="36"/>
        </w:rPr>
      </w:pPr>
    </w:p>
    <w:p w14:paraId="17EB3307" w14:textId="77777777" w:rsidR="007E0D47" w:rsidRDefault="007E0D47" w:rsidP="007E0D47">
      <w:pPr>
        <w:rPr>
          <w:rFonts w:ascii="Arial" w:hAnsi="Arial" w:cs="Arial"/>
          <w:b/>
          <w:bCs/>
          <w:sz w:val="36"/>
          <w:szCs w:val="36"/>
        </w:rPr>
      </w:pPr>
    </w:p>
    <w:p w14:paraId="35114D17" w14:textId="77777777" w:rsidR="007E0D47" w:rsidRDefault="007E0D47" w:rsidP="007E0D47">
      <w:pPr>
        <w:rPr>
          <w:rFonts w:ascii="Arial" w:hAnsi="Arial" w:cs="Arial"/>
          <w:b/>
          <w:bCs/>
          <w:sz w:val="36"/>
          <w:szCs w:val="36"/>
        </w:rPr>
      </w:pPr>
      <w:r>
        <w:rPr>
          <w:rFonts w:ascii="Arial" w:hAnsi="Arial" w:cs="Arial"/>
          <w:b/>
          <w:bCs/>
          <w:sz w:val="36"/>
          <w:szCs w:val="36"/>
        </w:rPr>
        <w:t>References</w:t>
      </w:r>
    </w:p>
    <w:p w14:paraId="73C73203" w14:textId="77777777" w:rsidR="007E0D47" w:rsidRDefault="007E0D47" w:rsidP="007E0D47">
      <w:pPr>
        <w:rPr>
          <w:rFonts w:ascii="Arial" w:hAnsi="Arial" w:cs="Arial"/>
          <w:b/>
          <w:bCs/>
          <w:sz w:val="36"/>
          <w:szCs w:val="36"/>
        </w:rPr>
      </w:pPr>
    </w:p>
    <w:p w14:paraId="3BD681F2" w14:textId="77777777" w:rsidR="007E0D47" w:rsidRDefault="007E0D47" w:rsidP="007E0D47">
      <w:pPr>
        <w:pStyle w:val="NormalWeb"/>
        <w:ind w:left="567" w:hanging="567"/>
        <w:rPr>
          <w:rStyle w:val="apple-converted-space"/>
          <w:rFonts w:ascii="Arial" w:hAnsi="Arial" w:cs="Arial"/>
          <w:color w:val="000000" w:themeColor="text1"/>
        </w:rPr>
      </w:pPr>
      <w:r w:rsidRPr="006D1F74">
        <w:rPr>
          <w:rFonts w:ascii="Arial" w:hAnsi="Arial" w:cs="Arial"/>
          <w:color w:val="000000" w:themeColor="text1"/>
        </w:rPr>
        <w:t>Britton, Ú.</w:t>
      </w:r>
      <w:r w:rsidRPr="006D1F74">
        <w:rPr>
          <w:rStyle w:val="apple-converted-space"/>
          <w:rFonts w:ascii="Arial" w:hAnsi="Arial" w:cs="Arial"/>
          <w:color w:val="000000" w:themeColor="text1"/>
        </w:rPr>
        <w:t> </w:t>
      </w:r>
      <w:r w:rsidRPr="006D1F74">
        <w:rPr>
          <w:rFonts w:ascii="Arial" w:hAnsi="Arial" w:cs="Arial"/>
          <w:i/>
          <w:iCs/>
          <w:color w:val="000000" w:themeColor="text1"/>
        </w:rPr>
        <w:t>et al.</w:t>
      </w:r>
      <w:r w:rsidRPr="006D1F74">
        <w:rPr>
          <w:rStyle w:val="apple-converted-space"/>
          <w:rFonts w:ascii="Arial" w:hAnsi="Arial" w:cs="Arial"/>
          <w:color w:val="000000" w:themeColor="text1"/>
        </w:rPr>
        <w:t> </w:t>
      </w:r>
      <w:r w:rsidRPr="006D1F74">
        <w:rPr>
          <w:rFonts w:ascii="Arial" w:hAnsi="Arial" w:cs="Arial"/>
          <w:color w:val="000000" w:themeColor="text1"/>
        </w:rPr>
        <w:t>(2020)</w:t>
      </w:r>
      <w:r w:rsidRPr="006D1F74">
        <w:rPr>
          <w:rStyle w:val="apple-converted-space"/>
          <w:rFonts w:ascii="Arial" w:hAnsi="Arial" w:cs="Arial"/>
          <w:color w:val="000000" w:themeColor="text1"/>
        </w:rPr>
        <w:t> </w:t>
      </w:r>
      <w:r w:rsidRPr="006D1F74">
        <w:rPr>
          <w:rFonts w:ascii="Arial" w:hAnsi="Arial" w:cs="Arial"/>
          <w:i/>
          <w:iCs/>
          <w:color w:val="000000" w:themeColor="text1"/>
        </w:rPr>
        <w:t>What is health-related fitness? investigating the underlying factor structure of fitness in youth.</w:t>
      </w:r>
      <w:r w:rsidRPr="006D1F74">
        <w:rPr>
          <w:rFonts w:ascii="Arial" w:hAnsi="Arial" w:cs="Arial"/>
          <w:color w:val="000000" w:themeColor="text1"/>
        </w:rPr>
        <w:t>,</w:t>
      </w:r>
      <w:r w:rsidRPr="006D1F74">
        <w:rPr>
          <w:rStyle w:val="apple-converted-space"/>
          <w:rFonts w:ascii="Arial" w:hAnsi="Arial" w:cs="Arial"/>
          <w:color w:val="000000" w:themeColor="text1"/>
        </w:rPr>
        <w:t> </w:t>
      </w:r>
      <w:r w:rsidRPr="006D1F74">
        <w:rPr>
          <w:rFonts w:ascii="Arial" w:hAnsi="Arial" w:cs="Arial"/>
          <w:i/>
          <w:iCs/>
          <w:color w:val="000000" w:themeColor="text1"/>
        </w:rPr>
        <w:t>European Physical Education Review</w:t>
      </w:r>
      <w:r w:rsidRPr="006D1F74">
        <w:rPr>
          <w:rFonts w:ascii="Arial" w:hAnsi="Arial" w:cs="Arial"/>
          <w:color w:val="000000" w:themeColor="text1"/>
        </w:rPr>
        <w:t>. SAGE Publications. Available at: https://eric.ed.gov/?id=EJ1267698 (Accessed: December 5, 2022).</w:t>
      </w:r>
      <w:r w:rsidRPr="006D1F74">
        <w:rPr>
          <w:rStyle w:val="apple-converted-space"/>
          <w:rFonts w:ascii="Arial" w:hAnsi="Arial" w:cs="Arial"/>
          <w:color w:val="000000" w:themeColor="text1"/>
        </w:rPr>
        <w:t> </w:t>
      </w:r>
    </w:p>
    <w:p w14:paraId="2F43E746" w14:textId="77777777" w:rsidR="007E0D47" w:rsidRPr="006D1F74" w:rsidRDefault="007E0D47" w:rsidP="007E0D47">
      <w:pPr>
        <w:pStyle w:val="NormalWeb"/>
        <w:ind w:left="567" w:hanging="567"/>
        <w:rPr>
          <w:rFonts w:ascii="Arial" w:hAnsi="Arial" w:cs="Arial"/>
          <w:color w:val="000000"/>
        </w:rPr>
      </w:pPr>
      <w:r w:rsidRPr="006D1F74">
        <w:rPr>
          <w:rFonts w:ascii="Arial" w:hAnsi="Arial" w:cs="Arial"/>
          <w:color w:val="000000"/>
        </w:rPr>
        <w:t>Brogan, C. (2017)</w:t>
      </w:r>
      <w:r w:rsidRPr="006D1F74">
        <w:rPr>
          <w:rStyle w:val="apple-converted-space"/>
          <w:rFonts w:ascii="Arial" w:hAnsi="Arial" w:cs="Arial"/>
          <w:color w:val="000000"/>
        </w:rPr>
        <w:t> </w:t>
      </w:r>
      <w:r w:rsidRPr="006D1F74">
        <w:rPr>
          <w:rFonts w:ascii="Arial" w:hAnsi="Arial" w:cs="Arial"/>
          <w:i/>
          <w:iCs/>
          <w:color w:val="000000"/>
        </w:rPr>
        <w:t>Early death and ill health linked to low socioeconomic status: Imperial News: Imperial College London</w:t>
      </w:r>
      <w:r w:rsidRPr="006D1F74">
        <w:rPr>
          <w:rFonts w:ascii="Arial" w:hAnsi="Arial" w:cs="Arial"/>
          <w:color w:val="000000"/>
        </w:rPr>
        <w:t>,</w:t>
      </w:r>
      <w:r w:rsidRPr="006D1F74">
        <w:rPr>
          <w:rStyle w:val="apple-converted-space"/>
          <w:rFonts w:ascii="Arial" w:hAnsi="Arial" w:cs="Arial"/>
          <w:color w:val="000000"/>
        </w:rPr>
        <w:t> </w:t>
      </w:r>
      <w:r w:rsidRPr="006D1F74">
        <w:rPr>
          <w:rFonts w:ascii="Arial" w:hAnsi="Arial" w:cs="Arial"/>
          <w:i/>
          <w:iCs/>
          <w:color w:val="000000"/>
        </w:rPr>
        <w:t>Imperial News</w:t>
      </w:r>
      <w:r w:rsidRPr="006D1F74">
        <w:rPr>
          <w:rFonts w:ascii="Arial" w:hAnsi="Arial" w:cs="Arial"/>
          <w:color w:val="000000"/>
        </w:rPr>
        <w:t xml:space="preserve">. Imperial College London. Available at: https://www.imperial.ac.uk/news/177249/early-death-health-linked-socioeconomic-status/ (Accessed: December </w:t>
      </w:r>
      <w:r>
        <w:rPr>
          <w:rFonts w:ascii="Arial" w:hAnsi="Arial" w:cs="Arial"/>
          <w:color w:val="000000"/>
        </w:rPr>
        <w:t>8</w:t>
      </w:r>
      <w:r w:rsidRPr="006D1F74">
        <w:rPr>
          <w:rFonts w:ascii="Arial" w:hAnsi="Arial" w:cs="Arial"/>
          <w:color w:val="000000"/>
        </w:rPr>
        <w:t>, 2022).</w:t>
      </w:r>
      <w:r w:rsidRPr="006D1F74">
        <w:rPr>
          <w:rStyle w:val="apple-converted-space"/>
          <w:rFonts w:ascii="Arial" w:hAnsi="Arial" w:cs="Arial"/>
          <w:color w:val="000000"/>
        </w:rPr>
        <w:t> </w:t>
      </w:r>
    </w:p>
    <w:p w14:paraId="5B0C3169" w14:textId="77777777" w:rsidR="007E0D47" w:rsidRDefault="007E0D47" w:rsidP="007E0D47">
      <w:pPr>
        <w:rPr>
          <w:rFonts w:ascii="Arial" w:hAnsi="Arial" w:cs="Arial"/>
          <w:color w:val="000000" w:themeColor="text1"/>
          <w:shd w:val="clear" w:color="auto" w:fill="FFFFFF"/>
        </w:rPr>
      </w:pPr>
      <w:r w:rsidRPr="006D1F74">
        <w:rPr>
          <w:rFonts w:ascii="Arial" w:hAnsi="Arial" w:cs="Arial"/>
          <w:color w:val="000000" w:themeColor="text1"/>
          <w:shd w:val="clear" w:color="auto" w:fill="FFFFFF"/>
        </w:rPr>
        <w:t>Buxton, J. (2021)</w:t>
      </w:r>
      <w:r w:rsidRPr="006D1F74">
        <w:rPr>
          <w:rStyle w:val="apple-converted-space"/>
          <w:rFonts w:ascii="Arial" w:hAnsi="Arial" w:cs="Arial"/>
          <w:color w:val="000000" w:themeColor="text1"/>
          <w:shd w:val="clear" w:color="auto" w:fill="FFFFFF"/>
        </w:rPr>
        <w:t> </w:t>
      </w:r>
      <w:r w:rsidRPr="006D1F74">
        <w:rPr>
          <w:rFonts w:ascii="Arial" w:hAnsi="Arial" w:cs="Arial"/>
          <w:i/>
          <w:iCs/>
          <w:color w:val="000000" w:themeColor="text1"/>
          <w:bdr w:val="single" w:sz="2" w:space="0" w:color="ECEDEE" w:frame="1"/>
        </w:rPr>
        <w:t>National life expectancy in the UK - Office for National Statistics</w:t>
      </w:r>
      <w:r w:rsidRPr="006D1F74">
        <w:rPr>
          <w:rFonts w:ascii="Arial" w:hAnsi="Arial" w:cs="Arial"/>
          <w:color w:val="000000" w:themeColor="text1"/>
          <w:shd w:val="clear" w:color="auto" w:fill="FFFFFF"/>
        </w:rPr>
        <w:t>.</w:t>
      </w:r>
    </w:p>
    <w:p w14:paraId="7DD05FD5" w14:textId="77777777" w:rsidR="007E0D47" w:rsidRDefault="007E0D47" w:rsidP="007E0D47">
      <w:pPr>
        <w:rPr>
          <w:rFonts w:ascii="Arial" w:hAnsi="Arial" w:cs="Arial"/>
          <w:color w:val="000000" w:themeColor="text1"/>
          <w:shd w:val="clear" w:color="auto" w:fill="FFFFFF"/>
        </w:rPr>
      </w:pPr>
      <w:r w:rsidRPr="006D1F74">
        <w:rPr>
          <w:rFonts w:ascii="Arial" w:hAnsi="Arial" w:cs="Arial"/>
          <w:color w:val="000000" w:themeColor="text1"/>
          <w:shd w:val="clear" w:color="auto" w:fill="FFFFFF"/>
        </w:rPr>
        <w:t>Available</w:t>
      </w:r>
      <w:r>
        <w:rPr>
          <w:rFonts w:ascii="Arial" w:hAnsi="Arial" w:cs="Arial"/>
          <w:color w:val="000000" w:themeColor="text1"/>
          <w:shd w:val="clear" w:color="auto" w:fill="FFFFFF"/>
        </w:rPr>
        <w:t xml:space="preserve"> </w:t>
      </w:r>
      <w:r w:rsidRPr="006D1F74">
        <w:rPr>
          <w:rFonts w:ascii="Arial" w:hAnsi="Arial" w:cs="Arial"/>
          <w:color w:val="000000" w:themeColor="text1"/>
          <w:shd w:val="clear" w:color="auto" w:fill="FFFFFF"/>
        </w:rPr>
        <w:t>at:</w:t>
      </w:r>
      <w:r>
        <w:rPr>
          <w:rFonts w:ascii="Arial" w:hAnsi="Arial" w:cs="Arial"/>
          <w:color w:val="000000" w:themeColor="text1"/>
          <w:shd w:val="clear" w:color="auto" w:fill="FFFFFF"/>
        </w:rPr>
        <w:t xml:space="preserve"> https://www.ons.gov.uk/peoplepopulationandcommunit/birthsdeathandmarriages/lifeexpectancies/bulletins/nationallifetablesunitedkingdom/2018to2020 (Accessed: December 7, 2022).</w:t>
      </w:r>
    </w:p>
    <w:p w14:paraId="3DF974A7" w14:textId="77777777" w:rsidR="007E0D47" w:rsidRPr="006D1F74" w:rsidRDefault="007E0D47" w:rsidP="007E0D47">
      <w:pPr>
        <w:pStyle w:val="NormalWeb"/>
        <w:ind w:left="567" w:hanging="567"/>
        <w:rPr>
          <w:rFonts w:ascii="Arial" w:hAnsi="Arial" w:cs="Arial"/>
          <w:color w:val="000000"/>
        </w:rPr>
      </w:pPr>
      <w:proofErr w:type="spellStart"/>
      <w:r w:rsidRPr="006D1F74">
        <w:rPr>
          <w:rFonts w:ascii="Arial" w:hAnsi="Arial" w:cs="Arial"/>
          <w:color w:val="000000"/>
        </w:rPr>
        <w:t>Deria</w:t>
      </w:r>
      <w:proofErr w:type="spellEnd"/>
      <w:r w:rsidRPr="006D1F74">
        <w:rPr>
          <w:rFonts w:ascii="Arial" w:hAnsi="Arial" w:cs="Arial"/>
          <w:color w:val="000000"/>
        </w:rPr>
        <w:t>, S. (2022)</w:t>
      </w:r>
      <w:r w:rsidRPr="006D1F74">
        <w:rPr>
          <w:rStyle w:val="apple-converted-space"/>
          <w:rFonts w:ascii="Arial" w:hAnsi="Arial" w:cs="Arial"/>
          <w:color w:val="000000"/>
        </w:rPr>
        <w:t> </w:t>
      </w:r>
      <w:r w:rsidRPr="006D1F74">
        <w:rPr>
          <w:rFonts w:ascii="Arial" w:hAnsi="Arial" w:cs="Arial"/>
          <w:i/>
          <w:iCs/>
          <w:color w:val="000000"/>
        </w:rPr>
        <w:t>Healthy-lifestyles-increase-life-expectancy-in-multimorbidity-NIHR-evidence</w:t>
      </w:r>
      <w:r w:rsidRPr="006D1F74">
        <w:rPr>
          <w:rFonts w:ascii="Arial" w:hAnsi="Arial" w:cs="Arial"/>
          <w:color w:val="000000"/>
        </w:rPr>
        <w:t>,</w:t>
      </w:r>
      <w:r w:rsidRPr="006D1F74">
        <w:rPr>
          <w:rStyle w:val="apple-converted-space"/>
          <w:rFonts w:ascii="Arial" w:hAnsi="Arial" w:cs="Arial"/>
          <w:color w:val="000000"/>
        </w:rPr>
        <w:t> </w:t>
      </w:r>
      <w:r w:rsidRPr="006D1F74">
        <w:rPr>
          <w:rFonts w:ascii="Arial" w:hAnsi="Arial" w:cs="Arial"/>
          <w:i/>
          <w:iCs/>
          <w:color w:val="000000"/>
        </w:rPr>
        <w:t>NIHR Evidence</w:t>
      </w:r>
      <w:r w:rsidRPr="006D1F74">
        <w:rPr>
          <w:rFonts w:ascii="Arial" w:hAnsi="Arial" w:cs="Arial"/>
          <w:color w:val="000000"/>
        </w:rPr>
        <w:t>. Public Health. Available at: https://evidence.nihr.ac.uk/alert/healthy-lifestyles-increase-life-expectancy-in-people-with-multiple-conditions-multimorbidity-by-as-much-as-in-other-groups/</w:t>
      </w:r>
      <w:r>
        <w:rPr>
          <w:rFonts w:ascii="Arial" w:hAnsi="Arial" w:cs="Arial"/>
          <w:color w:val="000000"/>
        </w:rPr>
        <w:t xml:space="preserve"> </w:t>
      </w:r>
      <w:r w:rsidRPr="006D1F74">
        <w:rPr>
          <w:rFonts w:ascii="Arial" w:hAnsi="Arial" w:cs="Arial"/>
          <w:color w:val="000000"/>
        </w:rPr>
        <w:t>(Accessed: December 7, 2022).</w:t>
      </w:r>
      <w:r w:rsidRPr="006D1F74">
        <w:rPr>
          <w:rStyle w:val="apple-converted-space"/>
          <w:rFonts w:ascii="Arial" w:hAnsi="Arial" w:cs="Arial"/>
          <w:color w:val="000000"/>
        </w:rPr>
        <w:t> </w:t>
      </w:r>
    </w:p>
    <w:p w14:paraId="25FCF154" w14:textId="77777777" w:rsidR="007E0D47" w:rsidRDefault="007E0D47" w:rsidP="007E0D47">
      <w:pPr>
        <w:pStyle w:val="NormalWeb"/>
        <w:ind w:left="567" w:hanging="567"/>
        <w:rPr>
          <w:rStyle w:val="apple-converted-space"/>
          <w:rFonts w:ascii="Arial" w:hAnsi="Arial" w:cs="Arial"/>
          <w:color w:val="000000"/>
        </w:rPr>
      </w:pPr>
      <w:r w:rsidRPr="006D1F74">
        <w:rPr>
          <w:rFonts w:ascii="Arial" w:hAnsi="Arial" w:cs="Arial"/>
          <w:i/>
          <w:iCs/>
          <w:color w:val="000000"/>
        </w:rPr>
        <w:t>Life expectancy may be linked to socioeconomic status even with Universal Healthcare</w:t>
      </w:r>
      <w:r w:rsidRPr="006D1F74">
        <w:rPr>
          <w:rStyle w:val="apple-converted-space"/>
          <w:rFonts w:ascii="Arial" w:hAnsi="Arial" w:cs="Arial"/>
          <w:color w:val="000000"/>
        </w:rPr>
        <w:t> </w:t>
      </w:r>
      <w:r w:rsidRPr="006D1F74">
        <w:rPr>
          <w:rFonts w:ascii="Arial" w:hAnsi="Arial" w:cs="Arial"/>
          <w:color w:val="000000"/>
        </w:rPr>
        <w:t>(2019)</w:t>
      </w:r>
      <w:r w:rsidRPr="006D1F74">
        <w:rPr>
          <w:rStyle w:val="apple-converted-space"/>
          <w:rFonts w:ascii="Arial" w:hAnsi="Arial" w:cs="Arial"/>
          <w:color w:val="000000"/>
        </w:rPr>
        <w:t> </w:t>
      </w:r>
      <w:r w:rsidRPr="006D1F74">
        <w:rPr>
          <w:rFonts w:ascii="Arial" w:hAnsi="Arial" w:cs="Arial"/>
          <w:i/>
          <w:iCs/>
          <w:color w:val="000000"/>
        </w:rPr>
        <w:t>Drexel University Dornsife School of Public Health</w:t>
      </w:r>
      <w:r w:rsidRPr="006D1F74">
        <w:rPr>
          <w:rFonts w:ascii="Arial" w:hAnsi="Arial" w:cs="Arial"/>
          <w:color w:val="000000"/>
        </w:rPr>
        <w:t xml:space="preserve">. Preventive medicine. Available at: https://drexel.edu/dornsife/news/latest-news/2019/March/Life-Expectancy-may-be-Linked-to-Socioeconomic-Status/ (Accessed: December </w:t>
      </w:r>
      <w:r>
        <w:rPr>
          <w:rFonts w:ascii="Arial" w:hAnsi="Arial" w:cs="Arial"/>
          <w:color w:val="000000"/>
        </w:rPr>
        <w:t>7</w:t>
      </w:r>
      <w:r w:rsidRPr="006D1F74">
        <w:rPr>
          <w:rFonts w:ascii="Arial" w:hAnsi="Arial" w:cs="Arial"/>
          <w:color w:val="000000"/>
        </w:rPr>
        <w:t>, 2022).</w:t>
      </w:r>
      <w:r w:rsidRPr="006D1F74">
        <w:rPr>
          <w:rStyle w:val="apple-converted-space"/>
          <w:rFonts w:ascii="Arial" w:hAnsi="Arial" w:cs="Arial"/>
          <w:color w:val="000000"/>
        </w:rPr>
        <w:t> </w:t>
      </w:r>
    </w:p>
    <w:p w14:paraId="73C2E201" w14:textId="77777777" w:rsidR="007E0D47" w:rsidRPr="006D1F74" w:rsidRDefault="007E0D47" w:rsidP="007E0D47">
      <w:pPr>
        <w:pStyle w:val="NormalWeb"/>
        <w:ind w:left="567" w:hanging="567"/>
        <w:rPr>
          <w:rFonts w:ascii="Arial" w:hAnsi="Arial" w:cs="Arial"/>
          <w:color w:val="000000"/>
        </w:rPr>
      </w:pPr>
      <w:r w:rsidRPr="006D1F74">
        <w:rPr>
          <w:rFonts w:ascii="Arial" w:hAnsi="Arial" w:cs="Arial"/>
          <w:i/>
          <w:iCs/>
          <w:color w:val="000000"/>
        </w:rPr>
        <w:t>Physical activity</w:t>
      </w:r>
      <w:r w:rsidRPr="006D1F74">
        <w:rPr>
          <w:rStyle w:val="apple-converted-space"/>
          <w:rFonts w:ascii="Arial" w:hAnsi="Arial" w:cs="Arial"/>
          <w:color w:val="000000"/>
        </w:rPr>
        <w:t> </w:t>
      </w:r>
      <w:r w:rsidRPr="006D1F74">
        <w:rPr>
          <w:rFonts w:ascii="Arial" w:hAnsi="Arial" w:cs="Arial"/>
          <w:color w:val="000000"/>
        </w:rPr>
        <w:t>(2022)</w:t>
      </w:r>
      <w:r w:rsidRPr="006D1F74">
        <w:rPr>
          <w:rStyle w:val="apple-converted-space"/>
          <w:rFonts w:ascii="Arial" w:hAnsi="Arial" w:cs="Arial"/>
          <w:color w:val="000000"/>
        </w:rPr>
        <w:t> </w:t>
      </w:r>
      <w:r w:rsidRPr="006D1F74">
        <w:rPr>
          <w:rFonts w:ascii="Arial" w:hAnsi="Arial" w:cs="Arial"/>
          <w:i/>
          <w:iCs/>
          <w:color w:val="000000"/>
        </w:rPr>
        <w:t>World Health Organization</w:t>
      </w:r>
      <w:r w:rsidRPr="006D1F74">
        <w:rPr>
          <w:rFonts w:ascii="Arial" w:hAnsi="Arial" w:cs="Arial"/>
          <w:color w:val="000000"/>
        </w:rPr>
        <w:t>. World Health Organization. Available at: https://www.who.int/news-room/fact-sheets/detail/physical-activity (Accessed: December 8, 2022).</w:t>
      </w:r>
      <w:r w:rsidRPr="006D1F74">
        <w:rPr>
          <w:rStyle w:val="apple-converted-space"/>
          <w:rFonts w:ascii="Arial" w:hAnsi="Arial" w:cs="Arial"/>
          <w:color w:val="000000"/>
        </w:rPr>
        <w:t> </w:t>
      </w:r>
    </w:p>
    <w:p w14:paraId="16652CF0" w14:textId="77777777" w:rsidR="007E0D47" w:rsidRDefault="007E0D47" w:rsidP="007E0D47">
      <w:pPr>
        <w:pStyle w:val="NormalWeb"/>
        <w:ind w:left="567" w:hanging="567"/>
        <w:rPr>
          <w:rStyle w:val="apple-converted-space"/>
          <w:rFonts w:ascii="Arial" w:hAnsi="Arial" w:cs="Arial"/>
          <w:color w:val="000000"/>
        </w:rPr>
      </w:pPr>
      <w:r w:rsidRPr="006D1F74">
        <w:rPr>
          <w:rFonts w:ascii="Arial" w:hAnsi="Arial" w:cs="Arial"/>
          <w:color w:val="000000"/>
        </w:rPr>
        <w:t>Stalling, I.</w:t>
      </w:r>
      <w:r w:rsidRPr="006D1F74">
        <w:rPr>
          <w:rStyle w:val="apple-converted-space"/>
          <w:rFonts w:ascii="Arial" w:hAnsi="Arial" w:cs="Arial"/>
          <w:color w:val="000000"/>
        </w:rPr>
        <w:t> </w:t>
      </w:r>
      <w:r w:rsidRPr="006D1F74">
        <w:rPr>
          <w:rFonts w:ascii="Arial" w:hAnsi="Arial" w:cs="Arial"/>
          <w:i/>
          <w:iCs/>
          <w:color w:val="000000"/>
        </w:rPr>
        <w:t>et al.</w:t>
      </w:r>
      <w:r w:rsidRPr="006D1F74">
        <w:rPr>
          <w:rStyle w:val="apple-converted-space"/>
          <w:rFonts w:ascii="Arial" w:hAnsi="Arial" w:cs="Arial"/>
          <w:color w:val="000000"/>
        </w:rPr>
        <w:t> </w:t>
      </w:r>
      <w:r w:rsidRPr="006D1F74">
        <w:rPr>
          <w:rFonts w:ascii="Arial" w:hAnsi="Arial" w:cs="Arial"/>
          <w:color w:val="000000"/>
        </w:rPr>
        <w:t>(2022)</w:t>
      </w:r>
      <w:r w:rsidRPr="006D1F74">
        <w:rPr>
          <w:rStyle w:val="apple-converted-space"/>
          <w:rFonts w:ascii="Arial" w:hAnsi="Arial" w:cs="Arial"/>
          <w:color w:val="000000"/>
        </w:rPr>
        <w:t> </w:t>
      </w:r>
      <w:r w:rsidRPr="006D1F74">
        <w:rPr>
          <w:rFonts w:ascii="Arial" w:hAnsi="Arial" w:cs="Arial"/>
          <w:i/>
          <w:iCs/>
          <w:color w:val="000000"/>
        </w:rPr>
        <w:t>Associations between socioeconomic status and physical activity among older adults: Cross-sectional results from the outdoor active study - BMC GERIATRICS</w:t>
      </w:r>
      <w:r w:rsidRPr="006D1F74">
        <w:rPr>
          <w:rFonts w:ascii="Arial" w:hAnsi="Arial" w:cs="Arial"/>
          <w:color w:val="000000"/>
        </w:rPr>
        <w:t>,</w:t>
      </w:r>
      <w:r w:rsidRPr="006D1F74">
        <w:rPr>
          <w:rStyle w:val="apple-converted-space"/>
          <w:rFonts w:ascii="Arial" w:hAnsi="Arial" w:cs="Arial"/>
          <w:color w:val="000000"/>
        </w:rPr>
        <w:t> </w:t>
      </w:r>
      <w:r w:rsidRPr="006D1F74">
        <w:rPr>
          <w:rFonts w:ascii="Arial" w:hAnsi="Arial" w:cs="Arial"/>
          <w:i/>
          <w:iCs/>
          <w:color w:val="000000"/>
        </w:rPr>
        <w:t>BioMed Central</w:t>
      </w:r>
      <w:r w:rsidRPr="006D1F74">
        <w:rPr>
          <w:rFonts w:ascii="Arial" w:hAnsi="Arial" w:cs="Arial"/>
          <w:color w:val="000000"/>
        </w:rPr>
        <w:t xml:space="preserve">. BioMed Central. Available at: </w:t>
      </w:r>
      <w:hyperlink r:id="rId5" w:history="1">
        <w:r w:rsidRPr="00B939C5">
          <w:rPr>
            <w:rStyle w:val="Hyperlink"/>
            <w:rFonts w:ascii="Arial" w:hAnsi="Arial" w:cs="Arial"/>
          </w:rPr>
          <w:t>https://bmcgeriatr.biomedcentral.com/a</w:t>
        </w:r>
        <w:r w:rsidRPr="00B939C5">
          <w:rPr>
            <w:rStyle w:val="Hyperlink"/>
            <w:rFonts w:ascii="Arial" w:hAnsi="Arial" w:cs="Arial"/>
          </w:rPr>
          <w:t>r</w:t>
        </w:r>
        <w:r w:rsidRPr="00B939C5">
          <w:rPr>
            <w:rStyle w:val="Hyperlink"/>
            <w:rFonts w:ascii="Arial" w:hAnsi="Arial" w:cs="Arial"/>
          </w:rPr>
          <w:t>ticles/10.1186/s12877-022</w:t>
        </w:r>
        <w:r w:rsidRPr="00B939C5">
          <w:rPr>
            <w:rStyle w:val="Hyperlink"/>
            <w:rFonts w:ascii="Arial" w:hAnsi="Arial" w:cs="Arial"/>
          </w:rPr>
          <w:t>-</w:t>
        </w:r>
        <w:r w:rsidRPr="00B939C5">
          <w:rPr>
            <w:rStyle w:val="Hyperlink"/>
            <w:rFonts w:ascii="Arial" w:hAnsi="Arial" w:cs="Arial"/>
          </w:rPr>
          <w:t>03075-</w:t>
        </w:r>
        <w:r w:rsidRPr="00B939C5">
          <w:rPr>
            <w:rStyle w:val="Hyperlink"/>
            <w:rFonts w:ascii="Arial" w:hAnsi="Arial" w:cs="Arial"/>
          </w:rPr>
          <w:t>7</w:t>
        </w:r>
      </w:hyperlink>
      <w:r w:rsidRPr="006D1F74">
        <w:rPr>
          <w:rFonts w:ascii="Arial" w:hAnsi="Arial" w:cs="Arial"/>
          <w:color w:val="000000"/>
        </w:rPr>
        <w:t>(Accessed: December 8, 2022).</w:t>
      </w:r>
      <w:r w:rsidRPr="006D1F74">
        <w:rPr>
          <w:rStyle w:val="apple-converted-space"/>
          <w:rFonts w:ascii="Arial" w:hAnsi="Arial" w:cs="Arial"/>
          <w:color w:val="000000"/>
        </w:rPr>
        <w:t> </w:t>
      </w:r>
    </w:p>
    <w:p w14:paraId="4279AE4E" w14:textId="77777777" w:rsidR="007E0D47" w:rsidRPr="006D1F74" w:rsidRDefault="007E0D47" w:rsidP="007E0D47">
      <w:pPr>
        <w:pStyle w:val="NormalWeb"/>
        <w:ind w:left="567" w:hanging="567"/>
        <w:rPr>
          <w:rFonts w:ascii="Arial" w:hAnsi="Arial" w:cs="Arial"/>
          <w:color w:val="000000"/>
        </w:rPr>
      </w:pPr>
      <w:r w:rsidRPr="006D1F74">
        <w:rPr>
          <w:rFonts w:ascii="Arial" w:hAnsi="Arial" w:cs="Arial"/>
          <w:color w:val="000000"/>
        </w:rPr>
        <w:t>Stalsberg, R. and Pedersen, A.V. (2018)</w:t>
      </w:r>
      <w:r w:rsidRPr="006D1F74">
        <w:rPr>
          <w:rStyle w:val="apple-converted-space"/>
          <w:rFonts w:ascii="Arial" w:hAnsi="Arial" w:cs="Arial"/>
          <w:color w:val="000000"/>
        </w:rPr>
        <w:t> </w:t>
      </w:r>
      <w:r w:rsidRPr="006D1F74">
        <w:rPr>
          <w:rFonts w:ascii="Arial" w:hAnsi="Arial" w:cs="Arial"/>
          <w:i/>
          <w:iCs/>
          <w:color w:val="000000"/>
        </w:rPr>
        <w:t xml:space="preserve">Are differences in physical activity across socioeconomic groups associated with choice of physical activity variables to </w:t>
      </w:r>
      <w:proofErr w:type="gramStart"/>
      <w:r w:rsidRPr="006D1F74">
        <w:rPr>
          <w:rFonts w:ascii="Arial" w:hAnsi="Arial" w:cs="Arial"/>
          <w:i/>
          <w:iCs/>
          <w:color w:val="000000"/>
        </w:rPr>
        <w:t>report?</w:t>
      </w:r>
      <w:r w:rsidRPr="006D1F74">
        <w:rPr>
          <w:rFonts w:ascii="Arial" w:hAnsi="Arial" w:cs="Arial"/>
          <w:color w:val="000000"/>
        </w:rPr>
        <w:t>,</w:t>
      </w:r>
      <w:proofErr w:type="gramEnd"/>
      <w:r w:rsidRPr="006D1F74">
        <w:rPr>
          <w:rStyle w:val="apple-converted-space"/>
          <w:rFonts w:ascii="Arial" w:hAnsi="Arial" w:cs="Arial"/>
          <w:color w:val="000000"/>
        </w:rPr>
        <w:t> </w:t>
      </w:r>
      <w:r w:rsidRPr="006D1F74">
        <w:rPr>
          <w:rFonts w:ascii="Arial" w:hAnsi="Arial" w:cs="Arial"/>
          <w:i/>
          <w:iCs/>
          <w:color w:val="000000"/>
        </w:rPr>
        <w:t>International journal of environmental research and public health</w:t>
      </w:r>
      <w:r w:rsidRPr="006D1F74">
        <w:rPr>
          <w:rFonts w:ascii="Arial" w:hAnsi="Arial" w:cs="Arial"/>
          <w:color w:val="000000"/>
        </w:rPr>
        <w:t>. U.S. National Library of Medicine. Available at: https://www.ncbi.nlm.nih.gov/pmc/articles/PMC5981961/ (Accessed: December 8, 2022).</w:t>
      </w:r>
      <w:r w:rsidRPr="006D1F74">
        <w:rPr>
          <w:rStyle w:val="apple-converted-space"/>
          <w:rFonts w:ascii="Arial" w:hAnsi="Arial" w:cs="Arial"/>
          <w:color w:val="000000"/>
        </w:rPr>
        <w:t> </w:t>
      </w:r>
    </w:p>
    <w:p w14:paraId="0AD09AB7" w14:textId="77777777" w:rsidR="00104989" w:rsidRDefault="00104989"/>
    <w:sectPr w:rsidR="00104989">
      <w:footerReference w:type="even" r:id="rId6"/>
      <w:footerReference w:type="default" r:id="rI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57651695"/>
      <w:docPartObj>
        <w:docPartGallery w:val="Page Numbers (Bottom of Page)"/>
        <w:docPartUnique/>
      </w:docPartObj>
    </w:sdtPr>
    <w:sdtEndPr>
      <w:rPr>
        <w:rStyle w:val="PageNumber"/>
      </w:rPr>
    </w:sdtEndPr>
    <w:sdtContent>
      <w:p w14:paraId="5120CC3D" w14:textId="77777777" w:rsidR="006D1F74" w:rsidRDefault="00000000" w:rsidP="00B939C5">
        <w:pPr>
          <w:pStyle w:val="Footer"/>
          <w:framePr w:wrap="none" w:vAnchor="text" w:hAnchor="margin" w:xAlign="right" w:y="1"/>
          <w:rPr>
            <w:rStyle w:val="PageNumber"/>
          </w:rPr>
        </w:pPr>
        <w:r>
          <w:rPr>
            <w:rStyle w:val="PageNumber"/>
          </w:rPr>
          <w:fldChar w:fldCharType="begin"/>
        </w:r>
        <w:r>
          <w:rPr>
            <w:rStyle w:val="PageNumber"/>
          </w:rPr>
          <w:instrText xml:space="preserve"> </w:instrText>
        </w:r>
        <w:r>
          <w:rPr>
            <w:rStyle w:val="PageNumber"/>
          </w:rPr>
          <w:instrText>PAGE</w:instrText>
        </w:r>
        <w:r>
          <w:rPr>
            <w:rStyle w:val="PageNumber"/>
          </w:rPr>
          <w:instrText xml:space="preserve"> </w:instrText>
        </w:r>
        <w:r>
          <w:rPr>
            <w:rStyle w:val="PageNumber"/>
          </w:rPr>
          <w:fldChar w:fldCharType="end"/>
        </w:r>
      </w:p>
    </w:sdtContent>
  </w:sdt>
  <w:p w14:paraId="72481B32" w14:textId="77777777" w:rsidR="006D1F74" w:rsidRDefault="00000000" w:rsidP="006D1F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9442413"/>
      <w:docPartObj>
        <w:docPartGallery w:val="Page Numbers (Bottom of Page)"/>
        <w:docPartUnique/>
      </w:docPartObj>
    </w:sdtPr>
    <w:sdtEndPr>
      <w:rPr>
        <w:rStyle w:val="PageNumber"/>
      </w:rPr>
    </w:sdtEndPr>
    <w:sdtContent>
      <w:p w14:paraId="16099547" w14:textId="77777777" w:rsidR="006D1F74" w:rsidRDefault="00000000" w:rsidP="00B939C5">
        <w:pPr>
          <w:pStyle w:val="Footer"/>
          <w:framePr w:wrap="none" w:vAnchor="text" w:hAnchor="margin" w:xAlign="right" w:y="1"/>
          <w:rPr>
            <w:rStyle w:val="PageNumber"/>
          </w:rPr>
        </w:pPr>
        <w:r>
          <w:rPr>
            <w:rStyle w:val="PageNumber"/>
          </w:rPr>
          <w:fldChar w:fldCharType="begin"/>
        </w:r>
        <w:r>
          <w:rPr>
            <w:rStyle w:val="PageNumber"/>
          </w:rPr>
          <w:instrText xml:space="preserve"> </w:instrText>
        </w:r>
        <w:r>
          <w:rPr>
            <w:rStyle w:val="PageNumber"/>
          </w:rPr>
          <w:instrText>PAGE</w:instrText>
        </w:r>
        <w:r>
          <w:rPr>
            <w:rStyle w:val="PageNumber"/>
          </w:rPr>
          <w:instrText xml:space="preserve"> </w:instrText>
        </w:r>
        <w:r>
          <w:rPr>
            <w:rStyle w:val="PageNumber"/>
          </w:rPr>
          <w:fldChar w:fldCharType="separate"/>
        </w:r>
        <w:r>
          <w:rPr>
            <w:rStyle w:val="PageNumber"/>
            <w:noProof/>
          </w:rPr>
          <w:t>1</w:t>
        </w:r>
        <w:r>
          <w:rPr>
            <w:rStyle w:val="PageNumber"/>
          </w:rPr>
          <w:fldChar w:fldCharType="end"/>
        </w:r>
      </w:p>
    </w:sdtContent>
  </w:sdt>
  <w:p w14:paraId="08B08097" w14:textId="77777777" w:rsidR="006D1F74" w:rsidRDefault="00000000" w:rsidP="006D1F74">
    <w:pPr>
      <w:pStyle w:val="Footer"/>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A205E7"/>
    <w:multiLevelType w:val="multilevel"/>
    <w:tmpl w:val="4B66D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8063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EF6"/>
    <w:rsid w:val="00104989"/>
    <w:rsid w:val="00153AAB"/>
    <w:rsid w:val="004F12E4"/>
    <w:rsid w:val="00741EF6"/>
    <w:rsid w:val="007E0D47"/>
    <w:rsid w:val="00AE243B"/>
    <w:rsid w:val="00D95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785118"/>
  <w15:chartTrackingRefBased/>
  <w15:docId w15:val="{0E891F14-5300-AA45-8F0A-6A11D56F1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D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1EF6"/>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741EF6"/>
    <w:rPr>
      <w:b/>
      <w:bCs/>
    </w:rPr>
  </w:style>
  <w:style w:type="character" w:customStyle="1" w:styleId="apple-converted-space">
    <w:name w:val="apple-converted-space"/>
    <w:basedOn w:val="DefaultParagraphFont"/>
    <w:rsid w:val="00741EF6"/>
  </w:style>
  <w:style w:type="paragraph" w:styleId="Title">
    <w:name w:val="Title"/>
    <w:basedOn w:val="Normal"/>
    <w:next w:val="Normal"/>
    <w:link w:val="TitleChar"/>
    <w:uiPriority w:val="10"/>
    <w:qFormat/>
    <w:rsid w:val="007E0D4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0D47"/>
    <w:rPr>
      <w:rFonts w:asciiTheme="majorHAnsi" w:eastAsiaTheme="majorEastAsia" w:hAnsiTheme="majorHAnsi" w:cstheme="majorBidi"/>
      <w:spacing w:val="-10"/>
      <w:kern w:val="28"/>
      <w:sz w:val="56"/>
      <w:szCs w:val="56"/>
    </w:rPr>
  </w:style>
  <w:style w:type="paragraph" w:styleId="Footer">
    <w:name w:val="footer"/>
    <w:basedOn w:val="Normal"/>
    <w:link w:val="FooterChar"/>
    <w:uiPriority w:val="99"/>
    <w:unhideWhenUsed/>
    <w:rsid w:val="007E0D47"/>
    <w:pPr>
      <w:tabs>
        <w:tab w:val="center" w:pos="4513"/>
        <w:tab w:val="right" w:pos="9026"/>
      </w:tabs>
    </w:pPr>
  </w:style>
  <w:style w:type="character" w:customStyle="1" w:styleId="FooterChar">
    <w:name w:val="Footer Char"/>
    <w:basedOn w:val="DefaultParagraphFont"/>
    <w:link w:val="Footer"/>
    <w:uiPriority w:val="99"/>
    <w:rsid w:val="007E0D47"/>
  </w:style>
  <w:style w:type="character" w:styleId="PageNumber">
    <w:name w:val="page number"/>
    <w:basedOn w:val="DefaultParagraphFont"/>
    <w:uiPriority w:val="99"/>
    <w:semiHidden/>
    <w:unhideWhenUsed/>
    <w:rsid w:val="007E0D47"/>
  </w:style>
  <w:style w:type="character" w:styleId="Hyperlink">
    <w:name w:val="Hyperlink"/>
    <w:basedOn w:val="DefaultParagraphFont"/>
    <w:uiPriority w:val="99"/>
    <w:unhideWhenUsed/>
    <w:rsid w:val="007E0D47"/>
    <w:rPr>
      <w:color w:val="0563C1" w:themeColor="hyperlink"/>
      <w:u w:val="single"/>
    </w:rPr>
  </w:style>
  <w:style w:type="character" w:styleId="FollowedHyperlink">
    <w:name w:val="FollowedHyperlink"/>
    <w:basedOn w:val="DefaultParagraphFont"/>
    <w:uiPriority w:val="99"/>
    <w:semiHidden/>
    <w:unhideWhenUsed/>
    <w:rsid w:val="007E0D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63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https://bmcgeriatr.biomedcentral.com/articles/10.1186/s12877-022-03075-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7</Pages>
  <Words>2012</Words>
  <Characters>12073</Characters>
  <Application>Microsoft Office Word</Application>
  <DocSecurity>0</DocSecurity>
  <Lines>219</Lines>
  <Paragraphs>20</Paragraphs>
  <ScaleCrop>false</ScaleCrop>
  <Company/>
  <LinksUpToDate>false</LinksUpToDate>
  <CharactersWithSpaces>14065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Evans (2204700)</dc:creator>
  <cp:keywords/>
  <dc:description/>
  <cp:lastModifiedBy>Angharad Evans (2204700)</cp:lastModifiedBy>
  <cp:revision>4</cp:revision>
  <dcterms:created xsi:type="dcterms:W3CDTF">2022-12-05T12:04:00Z</dcterms:created>
  <dcterms:modified xsi:type="dcterms:W3CDTF">2022-12-09T12:50:00Z</dcterms:modified>
</cp:coreProperties>
</file>