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FC654" w14:textId="098B62B5" w:rsidR="00B151A8" w:rsidRPr="004E09FC" w:rsidRDefault="004E09FC" w:rsidP="004E09FC">
      <w:pPr>
        <w:spacing w:line="360" w:lineRule="auto"/>
        <w:rPr>
          <w:rFonts w:ascii="Arial" w:hAnsi="Arial" w:cs="Arial"/>
          <w:b/>
          <w:bCs/>
          <w:sz w:val="28"/>
          <w:szCs w:val="28"/>
        </w:rPr>
      </w:pPr>
      <w:r w:rsidRPr="004E09FC">
        <w:rPr>
          <w:rFonts w:ascii="Arial" w:hAnsi="Arial" w:cs="Arial"/>
          <w:b/>
          <w:bCs/>
          <w:sz w:val="28"/>
          <w:szCs w:val="28"/>
        </w:rPr>
        <w:t>Sustainable Hospitality &amp; Tourism Management</w:t>
      </w:r>
    </w:p>
    <w:p w14:paraId="65D74009" w14:textId="7195633A" w:rsidR="004E09FC" w:rsidRPr="004E09FC" w:rsidRDefault="004E09FC" w:rsidP="004E09FC">
      <w:pPr>
        <w:spacing w:line="360" w:lineRule="auto"/>
        <w:rPr>
          <w:rFonts w:ascii="Arial" w:hAnsi="Arial" w:cs="Arial"/>
          <w:b/>
          <w:bCs/>
          <w:sz w:val="28"/>
          <w:szCs w:val="28"/>
        </w:rPr>
      </w:pPr>
      <w:r w:rsidRPr="004E09FC">
        <w:rPr>
          <w:rFonts w:ascii="Arial" w:hAnsi="Arial" w:cs="Arial"/>
          <w:b/>
          <w:bCs/>
          <w:sz w:val="28"/>
          <w:szCs w:val="28"/>
        </w:rPr>
        <w:t>BMIH5006</w:t>
      </w:r>
    </w:p>
    <w:p w14:paraId="7B2B2A97" w14:textId="5D9B16CC" w:rsidR="004E09FC" w:rsidRDefault="004E09FC" w:rsidP="004E09FC">
      <w:pPr>
        <w:spacing w:line="360" w:lineRule="auto"/>
        <w:rPr>
          <w:rFonts w:ascii="Arial" w:hAnsi="Arial" w:cs="Arial"/>
          <w:b/>
          <w:bCs/>
          <w:sz w:val="28"/>
          <w:szCs w:val="28"/>
        </w:rPr>
      </w:pPr>
      <w:r w:rsidRPr="004E09FC">
        <w:rPr>
          <w:rFonts w:ascii="Arial" w:hAnsi="Arial" w:cs="Arial"/>
          <w:b/>
          <w:bCs/>
          <w:sz w:val="28"/>
          <w:szCs w:val="28"/>
        </w:rPr>
        <w:t>Report</w:t>
      </w:r>
    </w:p>
    <w:p w14:paraId="0EF181CD" w14:textId="77777777" w:rsidR="004E09FC" w:rsidRDefault="004E09FC" w:rsidP="004E09FC">
      <w:pPr>
        <w:spacing w:line="360" w:lineRule="auto"/>
        <w:rPr>
          <w:rFonts w:ascii="Arial" w:hAnsi="Arial" w:cs="Arial"/>
          <w:b/>
          <w:bCs/>
          <w:sz w:val="28"/>
          <w:szCs w:val="28"/>
        </w:rPr>
      </w:pPr>
    </w:p>
    <w:p w14:paraId="7D2267D0" w14:textId="77777777" w:rsidR="00376282" w:rsidRDefault="00376282" w:rsidP="004E09FC">
      <w:pPr>
        <w:spacing w:line="360" w:lineRule="auto"/>
        <w:rPr>
          <w:rFonts w:ascii="Arial" w:hAnsi="Arial" w:cs="Arial"/>
          <w:b/>
          <w:bCs/>
          <w:sz w:val="28"/>
          <w:szCs w:val="28"/>
        </w:rPr>
      </w:pPr>
    </w:p>
    <w:p w14:paraId="05D403E8" w14:textId="77777777" w:rsidR="00376282" w:rsidRDefault="00376282" w:rsidP="004E09FC">
      <w:pPr>
        <w:spacing w:line="360" w:lineRule="auto"/>
        <w:rPr>
          <w:rFonts w:ascii="Arial" w:hAnsi="Arial" w:cs="Arial"/>
          <w:b/>
          <w:bCs/>
          <w:sz w:val="28"/>
          <w:szCs w:val="28"/>
        </w:rPr>
      </w:pPr>
    </w:p>
    <w:p w14:paraId="5B49F678" w14:textId="77777777" w:rsidR="00376282" w:rsidRDefault="00376282" w:rsidP="004E09FC">
      <w:pPr>
        <w:spacing w:line="360" w:lineRule="auto"/>
        <w:rPr>
          <w:rFonts w:ascii="Arial" w:hAnsi="Arial" w:cs="Arial"/>
          <w:b/>
          <w:bCs/>
          <w:sz w:val="28"/>
          <w:szCs w:val="28"/>
        </w:rPr>
      </w:pPr>
    </w:p>
    <w:p w14:paraId="5D92F8FB" w14:textId="77777777" w:rsidR="00376282" w:rsidRDefault="00376282" w:rsidP="004E09FC">
      <w:pPr>
        <w:spacing w:line="360" w:lineRule="auto"/>
        <w:rPr>
          <w:rFonts w:ascii="Arial" w:hAnsi="Arial" w:cs="Arial"/>
          <w:b/>
          <w:bCs/>
          <w:sz w:val="28"/>
          <w:szCs w:val="28"/>
        </w:rPr>
      </w:pPr>
    </w:p>
    <w:p w14:paraId="7FC55A18" w14:textId="1C5F6B32" w:rsidR="00376282" w:rsidRDefault="00376282" w:rsidP="004E09FC">
      <w:pPr>
        <w:spacing w:line="360" w:lineRule="auto"/>
        <w:rPr>
          <w:rFonts w:ascii="Arial" w:hAnsi="Arial" w:cs="Arial"/>
          <w:b/>
          <w:bCs/>
          <w:sz w:val="28"/>
          <w:szCs w:val="28"/>
        </w:rPr>
      </w:pPr>
      <w:r>
        <w:rPr>
          <w:rFonts w:ascii="Arial" w:hAnsi="Arial" w:cs="Arial"/>
          <w:b/>
          <w:bCs/>
          <w:sz w:val="28"/>
          <w:szCs w:val="28"/>
        </w:rPr>
        <w:t>Lecturer: Lisa Knight</w:t>
      </w:r>
    </w:p>
    <w:p w14:paraId="3054DB0A" w14:textId="77777777" w:rsidR="00376282" w:rsidRPr="00376282" w:rsidRDefault="00376282" w:rsidP="00376282">
      <w:pPr>
        <w:spacing w:line="360" w:lineRule="auto"/>
        <w:rPr>
          <w:rFonts w:ascii="Arial" w:hAnsi="Arial" w:cs="Arial"/>
          <w:b/>
          <w:bCs/>
          <w:sz w:val="28"/>
          <w:szCs w:val="28"/>
        </w:rPr>
      </w:pPr>
      <w:r w:rsidRPr="00376282">
        <w:rPr>
          <w:rFonts w:ascii="Arial" w:hAnsi="Arial" w:cs="Arial"/>
          <w:b/>
          <w:bCs/>
          <w:sz w:val="28"/>
          <w:szCs w:val="28"/>
        </w:rPr>
        <w:t>Student name: Roxana Mihaela Panainte</w:t>
      </w:r>
    </w:p>
    <w:p w14:paraId="3194F0E2" w14:textId="4263C9AD" w:rsidR="004E09FC" w:rsidRDefault="00376282" w:rsidP="00376282">
      <w:pPr>
        <w:spacing w:line="360" w:lineRule="auto"/>
        <w:rPr>
          <w:rFonts w:ascii="Arial" w:hAnsi="Arial" w:cs="Arial"/>
          <w:b/>
          <w:bCs/>
          <w:sz w:val="28"/>
          <w:szCs w:val="28"/>
        </w:rPr>
      </w:pPr>
      <w:r w:rsidRPr="00376282">
        <w:rPr>
          <w:rFonts w:ascii="Arial" w:hAnsi="Arial" w:cs="Arial"/>
          <w:b/>
          <w:bCs/>
          <w:sz w:val="28"/>
          <w:szCs w:val="28"/>
        </w:rPr>
        <w:t>Student id: 2219073</w:t>
      </w:r>
    </w:p>
    <w:p w14:paraId="0F3ED350" w14:textId="34F26D92" w:rsidR="00376282" w:rsidRDefault="00376282" w:rsidP="00376282">
      <w:pPr>
        <w:spacing w:line="360" w:lineRule="auto"/>
        <w:rPr>
          <w:rFonts w:ascii="Arial" w:hAnsi="Arial" w:cs="Arial"/>
          <w:b/>
          <w:bCs/>
          <w:sz w:val="28"/>
          <w:szCs w:val="28"/>
        </w:rPr>
      </w:pPr>
      <w:r>
        <w:rPr>
          <w:rFonts w:ascii="Arial" w:hAnsi="Arial" w:cs="Arial"/>
          <w:b/>
          <w:bCs/>
          <w:sz w:val="28"/>
          <w:szCs w:val="28"/>
        </w:rPr>
        <w:t>Word count: 2148</w:t>
      </w:r>
    </w:p>
    <w:p w14:paraId="5BE72C11" w14:textId="77777777" w:rsidR="004E09FC" w:rsidRDefault="004E09FC" w:rsidP="004E09FC">
      <w:pPr>
        <w:spacing w:line="360" w:lineRule="auto"/>
        <w:rPr>
          <w:rFonts w:ascii="Arial" w:hAnsi="Arial" w:cs="Arial"/>
          <w:b/>
          <w:bCs/>
          <w:sz w:val="28"/>
          <w:szCs w:val="28"/>
        </w:rPr>
      </w:pPr>
    </w:p>
    <w:p w14:paraId="6572CF53" w14:textId="77777777" w:rsidR="004E09FC" w:rsidRDefault="004E09FC" w:rsidP="004E09FC">
      <w:pPr>
        <w:spacing w:line="360" w:lineRule="auto"/>
        <w:rPr>
          <w:rFonts w:ascii="Arial" w:hAnsi="Arial" w:cs="Arial"/>
          <w:b/>
          <w:bCs/>
          <w:sz w:val="28"/>
          <w:szCs w:val="28"/>
        </w:rPr>
      </w:pPr>
    </w:p>
    <w:p w14:paraId="10EA9A08" w14:textId="77777777" w:rsidR="004E09FC" w:rsidRDefault="004E09FC" w:rsidP="004E09FC">
      <w:pPr>
        <w:spacing w:line="360" w:lineRule="auto"/>
        <w:rPr>
          <w:rFonts w:ascii="Arial" w:hAnsi="Arial" w:cs="Arial"/>
          <w:b/>
          <w:bCs/>
          <w:sz w:val="28"/>
          <w:szCs w:val="28"/>
        </w:rPr>
      </w:pPr>
    </w:p>
    <w:p w14:paraId="63C06749" w14:textId="77777777" w:rsidR="004E09FC" w:rsidRDefault="004E09FC" w:rsidP="004E09FC">
      <w:pPr>
        <w:spacing w:line="360" w:lineRule="auto"/>
        <w:rPr>
          <w:rFonts w:ascii="Arial" w:hAnsi="Arial" w:cs="Arial"/>
          <w:b/>
          <w:bCs/>
          <w:sz w:val="28"/>
          <w:szCs w:val="28"/>
        </w:rPr>
      </w:pPr>
    </w:p>
    <w:p w14:paraId="36E2F200" w14:textId="77777777" w:rsidR="004E09FC" w:rsidRDefault="004E09FC" w:rsidP="004E09FC">
      <w:pPr>
        <w:spacing w:line="360" w:lineRule="auto"/>
        <w:rPr>
          <w:rFonts w:ascii="Arial" w:hAnsi="Arial" w:cs="Arial"/>
          <w:b/>
          <w:bCs/>
          <w:sz w:val="28"/>
          <w:szCs w:val="28"/>
        </w:rPr>
      </w:pPr>
    </w:p>
    <w:p w14:paraId="08B72E7D" w14:textId="77777777" w:rsidR="004E09FC" w:rsidRDefault="004E09FC" w:rsidP="004E09FC">
      <w:pPr>
        <w:spacing w:line="360" w:lineRule="auto"/>
        <w:rPr>
          <w:rFonts w:ascii="Arial" w:hAnsi="Arial" w:cs="Arial"/>
          <w:b/>
          <w:bCs/>
          <w:sz w:val="28"/>
          <w:szCs w:val="28"/>
        </w:rPr>
      </w:pPr>
    </w:p>
    <w:p w14:paraId="08DED14F" w14:textId="77777777" w:rsidR="004E09FC" w:rsidRDefault="004E09FC" w:rsidP="004E09FC">
      <w:pPr>
        <w:spacing w:line="360" w:lineRule="auto"/>
        <w:rPr>
          <w:rFonts w:ascii="Arial" w:hAnsi="Arial" w:cs="Arial"/>
          <w:b/>
          <w:bCs/>
          <w:sz w:val="28"/>
          <w:szCs w:val="28"/>
        </w:rPr>
      </w:pPr>
    </w:p>
    <w:p w14:paraId="7FD532B4" w14:textId="77777777" w:rsidR="004E09FC" w:rsidRDefault="004E09FC" w:rsidP="004E09FC">
      <w:pPr>
        <w:spacing w:line="360" w:lineRule="auto"/>
        <w:rPr>
          <w:rFonts w:ascii="Arial" w:hAnsi="Arial" w:cs="Arial"/>
          <w:b/>
          <w:bCs/>
          <w:sz w:val="28"/>
          <w:szCs w:val="28"/>
        </w:rPr>
      </w:pPr>
    </w:p>
    <w:p w14:paraId="7392DB74" w14:textId="77777777" w:rsidR="004E09FC" w:rsidRDefault="004E09FC" w:rsidP="004E09FC">
      <w:pPr>
        <w:spacing w:line="360" w:lineRule="auto"/>
        <w:rPr>
          <w:rFonts w:ascii="Arial" w:hAnsi="Arial" w:cs="Arial"/>
          <w:b/>
          <w:bCs/>
          <w:sz w:val="28"/>
          <w:szCs w:val="28"/>
        </w:rPr>
      </w:pPr>
    </w:p>
    <w:p w14:paraId="0498C6B8" w14:textId="6E6F57D7" w:rsidR="004E09FC" w:rsidRPr="00494586" w:rsidRDefault="004E09FC" w:rsidP="00494586">
      <w:pPr>
        <w:pStyle w:val="EU"/>
        <w:spacing w:line="360" w:lineRule="auto"/>
        <w:rPr>
          <w:color w:val="auto"/>
        </w:rPr>
      </w:pPr>
      <w:bookmarkStart w:id="0" w:name="_Toc182573850"/>
      <w:r w:rsidRPr="00494586">
        <w:rPr>
          <w:color w:val="auto"/>
        </w:rPr>
        <w:lastRenderedPageBreak/>
        <w:t>Executive Summary</w:t>
      </w:r>
      <w:bookmarkEnd w:id="0"/>
    </w:p>
    <w:p w14:paraId="19737C19" w14:textId="46C136C3" w:rsidR="004E09FC" w:rsidRPr="00494586" w:rsidRDefault="00494586" w:rsidP="00494586">
      <w:pPr>
        <w:spacing w:line="360" w:lineRule="auto"/>
        <w:jc w:val="both"/>
        <w:rPr>
          <w:rFonts w:ascii="Arial" w:hAnsi="Arial" w:cs="Arial"/>
          <w:sz w:val="24"/>
          <w:szCs w:val="24"/>
          <w:lang w:eastAsia="en-GB"/>
        </w:rPr>
      </w:pPr>
      <w:r w:rsidRPr="00494586">
        <w:rPr>
          <w:rFonts w:ascii="Arial" w:hAnsi="Arial" w:cs="Arial"/>
          <w:sz w:val="24"/>
          <w:szCs w:val="24"/>
          <w:lang w:eastAsia="en-GB"/>
        </w:rPr>
        <w:t xml:space="preserve">This study </w:t>
      </w:r>
      <w:r w:rsidRPr="00494586">
        <w:rPr>
          <w:rFonts w:ascii="Arial" w:hAnsi="Arial" w:cs="Arial"/>
          <w:sz w:val="24"/>
          <w:szCs w:val="24"/>
          <w:lang w:eastAsia="en-GB"/>
        </w:rPr>
        <w:t>analyses</w:t>
      </w:r>
      <w:r w:rsidRPr="00494586">
        <w:rPr>
          <w:rFonts w:ascii="Arial" w:hAnsi="Arial" w:cs="Arial"/>
          <w:sz w:val="24"/>
          <w:szCs w:val="24"/>
          <w:lang w:eastAsia="en-GB"/>
        </w:rPr>
        <w:t xml:space="preserve"> Hilton sustainability programs with deficiencies in waste, energy and water conservation as well as greenwashing charges. Even LightStay and "Travel with Purpose" programs fail to scale due to property inconsistencies. Others remark that policies such as towel-reuse schemes seek savings over environmental gains, and thus risk making false sustainability claims. Building works in ecologically vulnerable areas, like the Maldives, again show this mismatch between corporate interests and local environmental values.</w:t>
      </w:r>
      <w:r w:rsidRPr="00494586">
        <w:rPr>
          <w:rFonts w:ascii="Arial" w:hAnsi="Arial" w:cs="Arial"/>
          <w:sz w:val="24"/>
          <w:szCs w:val="24"/>
          <w:lang w:eastAsia="en-GB"/>
        </w:rPr>
        <w:t xml:space="preserve"> </w:t>
      </w:r>
      <w:r w:rsidRPr="00494586">
        <w:rPr>
          <w:rFonts w:ascii="Arial" w:hAnsi="Arial" w:cs="Arial"/>
          <w:sz w:val="24"/>
          <w:szCs w:val="24"/>
          <w:lang w:eastAsia="en-GB"/>
        </w:rPr>
        <w:t xml:space="preserve">In response to these challenges, the report recommends a total waste management programme. The program encompasses standardised waste separation, composting on-site, supplier collaboration to eliminate packaging, and guest participation for sustainable </w:t>
      </w:r>
      <w:r w:rsidRPr="00494586">
        <w:rPr>
          <w:rFonts w:ascii="Arial" w:hAnsi="Arial" w:cs="Arial"/>
          <w:sz w:val="24"/>
          <w:szCs w:val="24"/>
          <w:lang w:eastAsia="en-GB"/>
        </w:rPr>
        <w:t>behaviours</w:t>
      </w:r>
      <w:r w:rsidRPr="00494586">
        <w:rPr>
          <w:rFonts w:ascii="Arial" w:hAnsi="Arial" w:cs="Arial"/>
          <w:sz w:val="24"/>
          <w:szCs w:val="24"/>
          <w:lang w:eastAsia="en-GB"/>
        </w:rPr>
        <w:t>. The proposed answer is compatible with the triple bottom line, providing environmental, social and economic benefits and a circular economy.</w:t>
      </w:r>
      <w:r w:rsidRPr="00494586">
        <w:rPr>
          <w:rFonts w:ascii="Arial" w:hAnsi="Arial" w:cs="Arial"/>
          <w:sz w:val="24"/>
          <w:szCs w:val="24"/>
          <w:lang w:eastAsia="en-GB"/>
        </w:rPr>
        <w:t xml:space="preserve"> </w:t>
      </w:r>
      <w:r w:rsidRPr="00494586">
        <w:rPr>
          <w:rFonts w:ascii="Arial" w:hAnsi="Arial" w:cs="Arial"/>
          <w:sz w:val="24"/>
          <w:szCs w:val="24"/>
          <w:lang w:eastAsia="en-GB"/>
        </w:rPr>
        <w:t xml:space="preserve">Best practices, such as employee training, stakeholder engagement, and performance monitoring, can be found in case studies of Marriott International’s "Serve 360" or AccorHotels’ "Planet 21" projects. It will help mitigate landfill waste, reduce greenhouse gas emissions and build Hilton’s brand value among green </w:t>
      </w:r>
      <w:r w:rsidRPr="00494586">
        <w:rPr>
          <w:rFonts w:ascii="Arial" w:hAnsi="Arial" w:cs="Arial"/>
          <w:sz w:val="24"/>
          <w:szCs w:val="24"/>
          <w:lang w:eastAsia="en-GB"/>
        </w:rPr>
        <w:t>travellers</w:t>
      </w:r>
      <w:r w:rsidRPr="00494586">
        <w:rPr>
          <w:rFonts w:ascii="Arial" w:hAnsi="Arial" w:cs="Arial"/>
          <w:sz w:val="24"/>
          <w:szCs w:val="24"/>
          <w:lang w:eastAsia="en-GB"/>
        </w:rPr>
        <w:t>.</w:t>
      </w:r>
      <w:r w:rsidRPr="00494586">
        <w:rPr>
          <w:rFonts w:ascii="Arial" w:hAnsi="Arial" w:cs="Arial"/>
          <w:sz w:val="24"/>
          <w:szCs w:val="24"/>
          <w:lang w:eastAsia="en-GB"/>
        </w:rPr>
        <w:t xml:space="preserve"> </w:t>
      </w:r>
      <w:r w:rsidRPr="00494586">
        <w:rPr>
          <w:rFonts w:ascii="Arial" w:hAnsi="Arial" w:cs="Arial"/>
          <w:sz w:val="24"/>
          <w:szCs w:val="24"/>
          <w:lang w:eastAsia="en-GB"/>
        </w:rPr>
        <w:t>Success is about openness, continuity, and quantifiable objectives. These actions can help Hilton close its sustainability loopholes, create better environmental outcomes and continue its role as an industry leader in responsible hospitality.</w:t>
      </w:r>
    </w:p>
    <w:p w14:paraId="26146508" w14:textId="77777777" w:rsidR="004E09FC" w:rsidRDefault="004E09FC" w:rsidP="004E09FC">
      <w:pPr>
        <w:rPr>
          <w:rFonts w:ascii="Arial" w:eastAsiaTheme="majorEastAsia" w:hAnsi="Arial" w:cs="Arial"/>
          <w:b/>
          <w:kern w:val="0"/>
          <w:sz w:val="24"/>
          <w:szCs w:val="24"/>
          <w:lang w:eastAsia="en-GB"/>
          <w14:ligatures w14:val="none"/>
        </w:rPr>
      </w:pPr>
    </w:p>
    <w:p w14:paraId="542D1F3B" w14:textId="77777777" w:rsidR="004E09FC" w:rsidRDefault="004E09FC" w:rsidP="004E09FC">
      <w:pPr>
        <w:ind w:firstLine="720"/>
        <w:rPr>
          <w:lang w:eastAsia="en-GB"/>
        </w:rPr>
      </w:pPr>
    </w:p>
    <w:p w14:paraId="34385FF6" w14:textId="77777777" w:rsidR="004E09FC" w:rsidRDefault="004E09FC" w:rsidP="004E09FC">
      <w:pPr>
        <w:ind w:firstLine="720"/>
        <w:rPr>
          <w:lang w:eastAsia="en-GB"/>
        </w:rPr>
      </w:pPr>
    </w:p>
    <w:p w14:paraId="5D380EFA" w14:textId="77777777" w:rsidR="004E09FC" w:rsidRDefault="004E09FC" w:rsidP="004E09FC">
      <w:pPr>
        <w:ind w:firstLine="720"/>
        <w:rPr>
          <w:lang w:eastAsia="en-GB"/>
        </w:rPr>
      </w:pPr>
    </w:p>
    <w:p w14:paraId="79EB2FF6" w14:textId="77777777" w:rsidR="004E09FC" w:rsidRDefault="004E09FC" w:rsidP="004E09FC">
      <w:pPr>
        <w:ind w:firstLine="720"/>
        <w:rPr>
          <w:lang w:eastAsia="en-GB"/>
        </w:rPr>
      </w:pPr>
    </w:p>
    <w:p w14:paraId="4C04C9D8" w14:textId="77777777" w:rsidR="004E09FC" w:rsidRDefault="004E09FC" w:rsidP="004E09FC">
      <w:pPr>
        <w:ind w:firstLine="720"/>
        <w:rPr>
          <w:lang w:eastAsia="en-GB"/>
        </w:rPr>
      </w:pPr>
    </w:p>
    <w:p w14:paraId="5DC0CB1B" w14:textId="77777777" w:rsidR="004E09FC" w:rsidRDefault="004E09FC" w:rsidP="004E09FC">
      <w:pPr>
        <w:ind w:firstLine="720"/>
        <w:rPr>
          <w:lang w:eastAsia="en-GB"/>
        </w:rPr>
      </w:pPr>
    </w:p>
    <w:p w14:paraId="5BA1ADA9" w14:textId="77777777" w:rsidR="004E09FC" w:rsidRDefault="004E09FC" w:rsidP="004E09FC">
      <w:pPr>
        <w:ind w:firstLine="720"/>
        <w:rPr>
          <w:lang w:eastAsia="en-GB"/>
        </w:rPr>
      </w:pPr>
    </w:p>
    <w:p w14:paraId="08DB08F7" w14:textId="77777777" w:rsidR="004E09FC" w:rsidRDefault="004E09FC" w:rsidP="004E09FC">
      <w:pPr>
        <w:ind w:firstLine="720"/>
        <w:rPr>
          <w:lang w:eastAsia="en-GB"/>
        </w:rPr>
      </w:pPr>
    </w:p>
    <w:p w14:paraId="00576D19" w14:textId="77777777" w:rsidR="004E09FC" w:rsidRDefault="004E09FC" w:rsidP="004E09FC">
      <w:pPr>
        <w:ind w:firstLine="720"/>
        <w:rPr>
          <w:lang w:eastAsia="en-GB"/>
        </w:rPr>
      </w:pPr>
    </w:p>
    <w:p w14:paraId="063BE692" w14:textId="77777777" w:rsidR="004E09FC" w:rsidRDefault="004E09FC" w:rsidP="004E09FC">
      <w:pPr>
        <w:ind w:firstLine="720"/>
        <w:rPr>
          <w:lang w:eastAsia="en-GB"/>
        </w:rPr>
      </w:pPr>
    </w:p>
    <w:p w14:paraId="51FBFB1D" w14:textId="77777777" w:rsidR="004E09FC" w:rsidRDefault="004E09FC" w:rsidP="00494586">
      <w:pPr>
        <w:rPr>
          <w:lang w:eastAsia="en-GB"/>
        </w:rPr>
      </w:pPr>
    </w:p>
    <w:sdt>
      <w:sdtPr>
        <w:id w:val="-1016543534"/>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5D15EA0" w14:textId="067C1814" w:rsidR="00E374FD" w:rsidRPr="00E374FD" w:rsidRDefault="00E374FD" w:rsidP="00E374FD">
          <w:pPr>
            <w:pStyle w:val="TOCHeading"/>
            <w:spacing w:line="360" w:lineRule="auto"/>
            <w:rPr>
              <w:rFonts w:ascii="Arial" w:hAnsi="Arial" w:cs="Arial"/>
              <w:b/>
              <w:bCs/>
            </w:rPr>
          </w:pPr>
          <w:r w:rsidRPr="00E374FD">
            <w:rPr>
              <w:rFonts w:ascii="Arial" w:hAnsi="Arial" w:cs="Arial"/>
              <w:b/>
              <w:bCs/>
            </w:rPr>
            <w:t>Contents</w:t>
          </w:r>
        </w:p>
        <w:p w14:paraId="4E8013DA" w14:textId="68B33DBC" w:rsidR="00E374FD" w:rsidRPr="00E374FD" w:rsidRDefault="00E374FD" w:rsidP="00E374FD">
          <w:pPr>
            <w:pStyle w:val="TOC1"/>
            <w:tabs>
              <w:tab w:val="right" w:leader="dot" w:pos="9016"/>
            </w:tabs>
            <w:spacing w:line="360" w:lineRule="auto"/>
            <w:rPr>
              <w:rFonts w:ascii="Arial" w:hAnsi="Arial" w:cs="Arial"/>
              <w:noProof/>
            </w:rPr>
          </w:pPr>
          <w:r w:rsidRPr="00E374FD">
            <w:rPr>
              <w:rFonts w:ascii="Arial" w:hAnsi="Arial" w:cs="Arial"/>
            </w:rPr>
            <w:fldChar w:fldCharType="begin"/>
          </w:r>
          <w:r w:rsidRPr="00E374FD">
            <w:rPr>
              <w:rFonts w:ascii="Arial" w:hAnsi="Arial" w:cs="Arial"/>
            </w:rPr>
            <w:instrText xml:space="preserve"> TOC \o "1-3" \h \z \u </w:instrText>
          </w:r>
          <w:r w:rsidRPr="00E374FD">
            <w:rPr>
              <w:rFonts w:ascii="Arial" w:hAnsi="Arial" w:cs="Arial"/>
            </w:rPr>
            <w:fldChar w:fldCharType="separate"/>
          </w:r>
          <w:hyperlink w:anchor="_Toc182573850" w:history="1">
            <w:r w:rsidRPr="00E374FD">
              <w:rPr>
                <w:rStyle w:val="Hyperlink"/>
                <w:rFonts w:ascii="Arial" w:hAnsi="Arial" w:cs="Arial"/>
                <w:noProof/>
              </w:rPr>
              <w:t>Executive Summary</w:t>
            </w:r>
            <w:r w:rsidRPr="00E374FD">
              <w:rPr>
                <w:rFonts w:ascii="Arial" w:hAnsi="Arial" w:cs="Arial"/>
                <w:noProof/>
                <w:webHidden/>
              </w:rPr>
              <w:tab/>
            </w:r>
            <w:r w:rsidRPr="00E374FD">
              <w:rPr>
                <w:rFonts w:ascii="Arial" w:hAnsi="Arial" w:cs="Arial"/>
                <w:noProof/>
                <w:webHidden/>
              </w:rPr>
              <w:fldChar w:fldCharType="begin"/>
            </w:r>
            <w:r w:rsidRPr="00E374FD">
              <w:rPr>
                <w:rFonts w:ascii="Arial" w:hAnsi="Arial" w:cs="Arial"/>
                <w:noProof/>
                <w:webHidden/>
              </w:rPr>
              <w:instrText xml:space="preserve"> PAGEREF _Toc182573850 \h </w:instrText>
            </w:r>
            <w:r w:rsidRPr="00E374FD">
              <w:rPr>
                <w:rFonts w:ascii="Arial" w:hAnsi="Arial" w:cs="Arial"/>
                <w:noProof/>
                <w:webHidden/>
              </w:rPr>
            </w:r>
            <w:r w:rsidRPr="00E374FD">
              <w:rPr>
                <w:rFonts w:ascii="Arial" w:hAnsi="Arial" w:cs="Arial"/>
                <w:noProof/>
                <w:webHidden/>
              </w:rPr>
              <w:fldChar w:fldCharType="separate"/>
            </w:r>
            <w:r w:rsidR="00866E98">
              <w:rPr>
                <w:rFonts w:ascii="Arial" w:hAnsi="Arial" w:cs="Arial"/>
                <w:noProof/>
                <w:webHidden/>
              </w:rPr>
              <w:t>2</w:t>
            </w:r>
            <w:r w:rsidRPr="00E374FD">
              <w:rPr>
                <w:rFonts w:ascii="Arial" w:hAnsi="Arial" w:cs="Arial"/>
                <w:noProof/>
                <w:webHidden/>
              </w:rPr>
              <w:fldChar w:fldCharType="end"/>
            </w:r>
          </w:hyperlink>
        </w:p>
        <w:p w14:paraId="22867FBE" w14:textId="1DD769E9" w:rsidR="00E374FD" w:rsidRPr="00E374FD" w:rsidRDefault="00E374FD" w:rsidP="00E374FD">
          <w:pPr>
            <w:pStyle w:val="TOC1"/>
            <w:tabs>
              <w:tab w:val="right" w:leader="dot" w:pos="9016"/>
            </w:tabs>
            <w:spacing w:line="360" w:lineRule="auto"/>
            <w:rPr>
              <w:rFonts w:ascii="Arial" w:hAnsi="Arial" w:cs="Arial"/>
              <w:noProof/>
            </w:rPr>
          </w:pPr>
          <w:hyperlink w:anchor="_Toc182573851" w:history="1">
            <w:r w:rsidRPr="00E374FD">
              <w:rPr>
                <w:rStyle w:val="Hyperlink"/>
                <w:rFonts w:ascii="Arial" w:hAnsi="Arial" w:cs="Arial"/>
                <w:noProof/>
              </w:rPr>
              <w:t>Introduction</w:t>
            </w:r>
            <w:r w:rsidRPr="00E374FD">
              <w:rPr>
                <w:rFonts w:ascii="Arial" w:hAnsi="Arial" w:cs="Arial"/>
                <w:noProof/>
                <w:webHidden/>
              </w:rPr>
              <w:tab/>
            </w:r>
            <w:r w:rsidRPr="00E374FD">
              <w:rPr>
                <w:rFonts w:ascii="Arial" w:hAnsi="Arial" w:cs="Arial"/>
                <w:noProof/>
                <w:webHidden/>
              </w:rPr>
              <w:fldChar w:fldCharType="begin"/>
            </w:r>
            <w:r w:rsidRPr="00E374FD">
              <w:rPr>
                <w:rFonts w:ascii="Arial" w:hAnsi="Arial" w:cs="Arial"/>
                <w:noProof/>
                <w:webHidden/>
              </w:rPr>
              <w:instrText xml:space="preserve"> PAGEREF _Toc182573851 \h </w:instrText>
            </w:r>
            <w:r w:rsidRPr="00E374FD">
              <w:rPr>
                <w:rFonts w:ascii="Arial" w:hAnsi="Arial" w:cs="Arial"/>
                <w:noProof/>
                <w:webHidden/>
              </w:rPr>
            </w:r>
            <w:r w:rsidRPr="00E374FD">
              <w:rPr>
                <w:rFonts w:ascii="Arial" w:hAnsi="Arial" w:cs="Arial"/>
                <w:noProof/>
                <w:webHidden/>
              </w:rPr>
              <w:fldChar w:fldCharType="separate"/>
            </w:r>
            <w:r w:rsidR="00866E98">
              <w:rPr>
                <w:rFonts w:ascii="Arial" w:hAnsi="Arial" w:cs="Arial"/>
                <w:noProof/>
                <w:webHidden/>
              </w:rPr>
              <w:t>4</w:t>
            </w:r>
            <w:r w:rsidRPr="00E374FD">
              <w:rPr>
                <w:rFonts w:ascii="Arial" w:hAnsi="Arial" w:cs="Arial"/>
                <w:noProof/>
                <w:webHidden/>
              </w:rPr>
              <w:fldChar w:fldCharType="end"/>
            </w:r>
          </w:hyperlink>
        </w:p>
        <w:p w14:paraId="1CDF64EE" w14:textId="5F38373A" w:rsidR="00E374FD" w:rsidRPr="00E374FD" w:rsidRDefault="00E374FD" w:rsidP="00E374FD">
          <w:pPr>
            <w:pStyle w:val="TOC1"/>
            <w:tabs>
              <w:tab w:val="right" w:leader="dot" w:pos="9016"/>
            </w:tabs>
            <w:spacing w:line="360" w:lineRule="auto"/>
            <w:rPr>
              <w:rFonts w:ascii="Arial" w:hAnsi="Arial" w:cs="Arial"/>
              <w:noProof/>
            </w:rPr>
          </w:pPr>
          <w:hyperlink w:anchor="_Toc182573852" w:history="1">
            <w:r w:rsidRPr="00E374FD">
              <w:rPr>
                <w:rStyle w:val="Hyperlink"/>
                <w:rFonts w:ascii="Arial" w:hAnsi="Arial" w:cs="Arial"/>
                <w:noProof/>
              </w:rPr>
              <w:t>Main Findings</w:t>
            </w:r>
            <w:r w:rsidRPr="00E374FD">
              <w:rPr>
                <w:rFonts w:ascii="Arial" w:hAnsi="Arial" w:cs="Arial"/>
                <w:noProof/>
                <w:webHidden/>
              </w:rPr>
              <w:tab/>
            </w:r>
            <w:r w:rsidRPr="00E374FD">
              <w:rPr>
                <w:rFonts w:ascii="Arial" w:hAnsi="Arial" w:cs="Arial"/>
                <w:noProof/>
                <w:webHidden/>
              </w:rPr>
              <w:fldChar w:fldCharType="begin"/>
            </w:r>
            <w:r w:rsidRPr="00E374FD">
              <w:rPr>
                <w:rFonts w:ascii="Arial" w:hAnsi="Arial" w:cs="Arial"/>
                <w:noProof/>
                <w:webHidden/>
              </w:rPr>
              <w:instrText xml:space="preserve"> PAGEREF _Toc182573852 \h </w:instrText>
            </w:r>
            <w:r w:rsidRPr="00E374FD">
              <w:rPr>
                <w:rFonts w:ascii="Arial" w:hAnsi="Arial" w:cs="Arial"/>
                <w:noProof/>
                <w:webHidden/>
              </w:rPr>
            </w:r>
            <w:r w:rsidRPr="00E374FD">
              <w:rPr>
                <w:rFonts w:ascii="Arial" w:hAnsi="Arial" w:cs="Arial"/>
                <w:noProof/>
                <w:webHidden/>
              </w:rPr>
              <w:fldChar w:fldCharType="separate"/>
            </w:r>
            <w:r w:rsidR="00866E98">
              <w:rPr>
                <w:rFonts w:ascii="Arial" w:hAnsi="Arial" w:cs="Arial"/>
                <w:noProof/>
                <w:webHidden/>
              </w:rPr>
              <w:t>4</w:t>
            </w:r>
            <w:r w:rsidRPr="00E374FD">
              <w:rPr>
                <w:rFonts w:ascii="Arial" w:hAnsi="Arial" w:cs="Arial"/>
                <w:noProof/>
                <w:webHidden/>
              </w:rPr>
              <w:fldChar w:fldCharType="end"/>
            </w:r>
          </w:hyperlink>
        </w:p>
        <w:p w14:paraId="412FCE2F" w14:textId="7467A8D8" w:rsidR="00E374FD" w:rsidRPr="00E374FD" w:rsidRDefault="00E374FD" w:rsidP="00E374FD">
          <w:pPr>
            <w:pStyle w:val="TOC1"/>
            <w:tabs>
              <w:tab w:val="right" w:leader="dot" w:pos="9016"/>
            </w:tabs>
            <w:spacing w:line="360" w:lineRule="auto"/>
            <w:rPr>
              <w:rFonts w:ascii="Arial" w:hAnsi="Arial" w:cs="Arial"/>
              <w:noProof/>
            </w:rPr>
          </w:pPr>
          <w:hyperlink w:anchor="_Toc182573853" w:history="1">
            <w:r w:rsidRPr="00E374FD">
              <w:rPr>
                <w:rStyle w:val="Hyperlink"/>
                <w:rFonts w:ascii="Arial" w:hAnsi="Arial" w:cs="Arial"/>
                <w:noProof/>
              </w:rPr>
              <w:t>Proposed Green Practice Initiative to Address the Gap</w:t>
            </w:r>
            <w:r w:rsidRPr="00E374FD">
              <w:rPr>
                <w:rFonts w:ascii="Arial" w:hAnsi="Arial" w:cs="Arial"/>
                <w:noProof/>
                <w:webHidden/>
              </w:rPr>
              <w:tab/>
            </w:r>
            <w:r w:rsidRPr="00E374FD">
              <w:rPr>
                <w:rFonts w:ascii="Arial" w:hAnsi="Arial" w:cs="Arial"/>
                <w:noProof/>
                <w:webHidden/>
              </w:rPr>
              <w:fldChar w:fldCharType="begin"/>
            </w:r>
            <w:r w:rsidRPr="00E374FD">
              <w:rPr>
                <w:rFonts w:ascii="Arial" w:hAnsi="Arial" w:cs="Arial"/>
                <w:noProof/>
                <w:webHidden/>
              </w:rPr>
              <w:instrText xml:space="preserve"> PAGEREF _Toc182573853 \h </w:instrText>
            </w:r>
            <w:r w:rsidRPr="00E374FD">
              <w:rPr>
                <w:rFonts w:ascii="Arial" w:hAnsi="Arial" w:cs="Arial"/>
                <w:noProof/>
                <w:webHidden/>
              </w:rPr>
            </w:r>
            <w:r w:rsidRPr="00E374FD">
              <w:rPr>
                <w:rFonts w:ascii="Arial" w:hAnsi="Arial" w:cs="Arial"/>
                <w:noProof/>
                <w:webHidden/>
              </w:rPr>
              <w:fldChar w:fldCharType="separate"/>
            </w:r>
            <w:r w:rsidR="00866E98">
              <w:rPr>
                <w:rFonts w:ascii="Arial" w:hAnsi="Arial" w:cs="Arial"/>
                <w:noProof/>
                <w:webHidden/>
              </w:rPr>
              <w:t>6</w:t>
            </w:r>
            <w:r w:rsidRPr="00E374FD">
              <w:rPr>
                <w:rFonts w:ascii="Arial" w:hAnsi="Arial" w:cs="Arial"/>
                <w:noProof/>
                <w:webHidden/>
              </w:rPr>
              <w:fldChar w:fldCharType="end"/>
            </w:r>
          </w:hyperlink>
        </w:p>
        <w:p w14:paraId="6205C51A" w14:textId="79403A67" w:rsidR="00E374FD" w:rsidRPr="00E374FD" w:rsidRDefault="00E374FD" w:rsidP="00E374FD">
          <w:pPr>
            <w:pStyle w:val="TOC1"/>
            <w:tabs>
              <w:tab w:val="right" w:leader="dot" w:pos="9016"/>
            </w:tabs>
            <w:spacing w:line="360" w:lineRule="auto"/>
            <w:rPr>
              <w:rFonts w:ascii="Arial" w:hAnsi="Arial" w:cs="Arial"/>
              <w:noProof/>
            </w:rPr>
          </w:pPr>
          <w:hyperlink w:anchor="_Toc182573854" w:history="1">
            <w:r w:rsidRPr="00E374FD">
              <w:rPr>
                <w:rStyle w:val="Hyperlink"/>
                <w:rFonts w:ascii="Arial" w:hAnsi="Arial" w:cs="Arial"/>
                <w:noProof/>
              </w:rPr>
              <w:t>Conclusion</w:t>
            </w:r>
            <w:r w:rsidRPr="00E374FD">
              <w:rPr>
                <w:rFonts w:ascii="Arial" w:hAnsi="Arial" w:cs="Arial"/>
                <w:noProof/>
                <w:webHidden/>
              </w:rPr>
              <w:tab/>
            </w:r>
            <w:r w:rsidRPr="00E374FD">
              <w:rPr>
                <w:rFonts w:ascii="Arial" w:hAnsi="Arial" w:cs="Arial"/>
                <w:noProof/>
                <w:webHidden/>
              </w:rPr>
              <w:fldChar w:fldCharType="begin"/>
            </w:r>
            <w:r w:rsidRPr="00E374FD">
              <w:rPr>
                <w:rFonts w:ascii="Arial" w:hAnsi="Arial" w:cs="Arial"/>
                <w:noProof/>
                <w:webHidden/>
              </w:rPr>
              <w:instrText xml:space="preserve"> PAGEREF _Toc182573854 \h </w:instrText>
            </w:r>
            <w:r w:rsidRPr="00E374FD">
              <w:rPr>
                <w:rFonts w:ascii="Arial" w:hAnsi="Arial" w:cs="Arial"/>
                <w:noProof/>
                <w:webHidden/>
              </w:rPr>
            </w:r>
            <w:r w:rsidRPr="00E374FD">
              <w:rPr>
                <w:rFonts w:ascii="Arial" w:hAnsi="Arial" w:cs="Arial"/>
                <w:noProof/>
                <w:webHidden/>
              </w:rPr>
              <w:fldChar w:fldCharType="separate"/>
            </w:r>
            <w:r w:rsidR="00866E98">
              <w:rPr>
                <w:rFonts w:ascii="Arial" w:hAnsi="Arial" w:cs="Arial"/>
                <w:noProof/>
                <w:webHidden/>
              </w:rPr>
              <w:t>9</w:t>
            </w:r>
            <w:r w:rsidRPr="00E374FD">
              <w:rPr>
                <w:rFonts w:ascii="Arial" w:hAnsi="Arial" w:cs="Arial"/>
                <w:noProof/>
                <w:webHidden/>
              </w:rPr>
              <w:fldChar w:fldCharType="end"/>
            </w:r>
          </w:hyperlink>
        </w:p>
        <w:p w14:paraId="12676318" w14:textId="10C8275F" w:rsidR="00E374FD" w:rsidRPr="00E374FD" w:rsidRDefault="00E374FD" w:rsidP="00E374FD">
          <w:pPr>
            <w:pStyle w:val="TOC1"/>
            <w:tabs>
              <w:tab w:val="right" w:leader="dot" w:pos="9016"/>
            </w:tabs>
            <w:spacing w:line="360" w:lineRule="auto"/>
            <w:rPr>
              <w:rFonts w:ascii="Arial" w:hAnsi="Arial" w:cs="Arial"/>
              <w:noProof/>
            </w:rPr>
          </w:pPr>
          <w:hyperlink w:anchor="_Toc182573855" w:history="1">
            <w:r w:rsidRPr="00E374FD">
              <w:rPr>
                <w:rStyle w:val="Hyperlink"/>
                <w:rFonts w:ascii="Arial" w:hAnsi="Arial" w:cs="Arial"/>
                <w:noProof/>
              </w:rPr>
              <w:t>References</w:t>
            </w:r>
            <w:r w:rsidRPr="00E374FD">
              <w:rPr>
                <w:rFonts w:ascii="Arial" w:hAnsi="Arial" w:cs="Arial"/>
                <w:noProof/>
                <w:webHidden/>
              </w:rPr>
              <w:tab/>
            </w:r>
            <w:r w:rsidRPr="00E374FD">
              <w:rPr>
                <w:rFonts w:ascii="Arial" w:hAnsi="Arial" w:cs="Arial"/>
                <w:noProof/>
                <w:webHidden/>
              </w:rPr>
              <w:fldChar w:fldCharType="begin"/>
            </w:r>
            <w:r w:rsidRPr="00E374FD">
              <w:rPr>
                <w:rFonts w:ascii="Arial" w:hAnsi="Arial" w:cs="Arial"/>
                <w:noProof/>
                <w:webHidden/>
              </w:rPr>
              <w:instrText xml:space="preserve"> PAGEREF _Toc182573855 \h </w:instrText>
            </w:r>
            <w:r w:rsidRPr="00E374FD">
              <w:rPr>
                <w:rFonts w:ascii="Arial" w:hAnsi="Arial" w:cs="Arial"/>
                <w:noProof/>
                <w:webHidden/>
              </w:rPr>
            </w:r>
            <w:r w:rsidRPr="00E374FD">
              <w:rPr>
                <w:rFonts w:ascii="Arial" w:hAnsi="Arial" w:cs="Arial"/>
                <w:noProof/>
                <w:webHidden/>
              </w:rPr>
              <w:fldChar w:fldCharType="separate"/>
            </w:r>
            <w:r w:rsidR="00866E98">
              <w:rPr>
                <w:rFonts w:ascii="Arial" w:hAnsi="Arial" w:cs="Arial"/>
                <w:noProof/>
                <w:webHidden/>
              </w:rPr>
              <w:t>10</w:t>
            </w:r>
            <w:r w:rsidRPr="00E374FD">
              <w:rPr>
                <w:rFonts w:ascii="Arial" w:hAnsi="Arial" w:cs="Arial"/>
                <w:noProof/>
                <w:webHidden/>
              </w:rPr>
              <w:fldChar w:fldCharType="end"/>
            </w:r>
          </w:hyperlink>
        </w:p>
        <w:p w14:paraId="6C27D506" w14:textId="269D9579" w:rsidR="00E374FD" w:rsidRDefault="00E374FD" w:rsidP="00E374FD">
          <w:pPr>
            <w:spacing w:line="360" w:lineRule="auto"/>
          </w:pPr>
          <w:r w:rsidRPr="00E374FD">
            <w:rPr>
              <w:rFonts w:ascii="Arial" w:hAnsi="Arial" w:cs="Arial"/>
              <w:b/>
              <w:bCs/>
              <w:noProof/>
            </w:rPr>
            <w:fldChar w:fldCharType="end"/>
          </w:r>
        </w:p>
      </w:sdtContent>
    </w:sdt>
    <w:p w14:paraId="191C00E6" w14:textId="77777777" w:rsidR="004E09FC" w:rsidRDefault="004E09FC" w:rsidP="004E09FC">
      <w:pPr>
        <w:jc w:val="both"/>
        <w:rPr>
          <w:lang w:eastAsia="en-GB"/>
        </w:rPr>
      </w:pPr>
    </w:p>
    <w:p w14:paraId="618E210C" w14:textId="77777777" w:rsidR="004E09FC" w:rsidRDefault="004E09FC" w:rsidP="004E09FC">
      <w:pPr>
        <w:jc w:val="both"/>
        <w:rPr>
          <w:lang w:eastAsia="en-GB"/>
        </w:rPr>
      </w:pPr>
    </w:p>
    <w:p w14:paraId="43C2F8E5" w14:textId="77777777" w:rsidR="004E09FC" w:rsidRDefault="004E09FC" w:rsidP="004E09FC">
      <w:pPr>
        <w:jc w:val="both"/>
        <w:rPr>
          <w:lang w:eastAsia="en-GB"/>
        </w:rPr>
      </w:pPr>
    </w:p>
    <w:p w14:paraId="2974736F" w14:textId="77777777" w:rsidR="004E09FC" w:rsidRDefault="004E09FC" w:rsidP="004E09FC">
      <w:pPr>
        <w:jc w:val="both"/>
        <w:rPr>
          <w:lang w:eastAsia="en-GB"/>
        </w:rPr>
      </w:pPr>
    </w:p>
    <w:p w14:paraId="230B8788" w14:textId="77777777" w:rsidR="004E09FC" w:rsidRDefault="004E09FC" w:rsidP="004E09FC">
      <w:pPr>
        <w:jc w:val="both"/>
        <w:rPr>
          <w:lang w:eastAsia="en-GB"/>
        </w:rPr>
      </w:pPr>
    </w:p>
    <w:p w14:paraId="23C83A64" w14:textId="77777777" w:rsidR="004E09FC" w:rsidRDefault="004E09FC" w:rsidP="004E09FC">
      <w:pPr>
        <w:jc w:val="both"/>
        <w:rPr>
          <w:lang w:eastAsia="en-GB"/>
        </w:rPr>
      </w:pPr>
    </w:p>
    <w:p w14:paraId="421C036C" w14:textId="77777777" w:rsidR="004E09FC" w:rsidRDefault="004E09FC" w:rsidP="004E09FC">
      <w:pPr>
        <w:jc w:val="both"/>
        <w:rPr>
          <w:lang w:eastAsia="en-GB"/>
        </w:rPr>
      </w:pPr>
    </w:p>
    <w:p w14:paraId="14E86471" w14:textId="77777777" w:rsidR="004E09FC" w:rsidRDefault="004E09FC" w:rsidP="004E09FC">
      <w:pPr>
        <w:jc w:val="both"/>
        <w:rPr>
          <w:lang w:eastAsia="en-GB"/>
        </w:rPr>
      </w:pPr>
    </w:p>
    <w:p w14:paraId="75F30B6A" w14:textId="77777777" w:rsidR="004E09FC" w:rsidRDefault="004E09FC" w:rsidP="004E09FC">
      <w:pPr>
        <w:jc w:val="both"/>
        <w:rPr>
          <w:lang w:eastAsia="en-GB"/>
        </w:rPr>
      </w:pPr>
    </w:p>
    <w:p w14:paraId="7E195561" w14:textId="77777777" w:rsidR="004E09FC" w:rsidRDefault="004E09FC" w:rsidP="004E09FC">
      <w:pPr>
        <w:jc w:val="both"/>
        <w:rPr>
          <w:lang w:eastAsia="en-GB"/>
        </w:rPr>
      </w:pPr>
    </w:p>
    <w:p w14:paraId="28CBFD63" w14:textId="77777777" w:rsidR="004E09FC" w:rsidRDefault="004E09FC" w:rsidP="004E09FC">
      <w:pPr>
        <w:jc w:val="both"/>
        <w:rPr>
          <w:lang w:eastAsia="en-GB"/>
        </w:rPr>
      </w:pPr>
    </w:p>
    <w:p w14:paraId="718C3205" w14:textId="77777777" w:rsidR="004E09FC" w:rsidRDefault="004E09FC" w:rsidP="004E09FC">
      <w:pPr>
        <w:jc w:val="both"/>
        <w:rPr>
          <w:lang w:eastAsia="en-GB"/>
        </w:rPr>
      </w:pPr>
    </w:p>
    <w:p w14:paraId="6C7E9688" w14:textId="77777777" w:rsidR="004E09FC" w:rsidRDefault="004E09FC" w:rsidP="004E09FC">
      <w:pPr>
        <w:jc w:val="both"/>
        <w:rPr>
          <w:lang w:eastAsia="en-GB"/>
        </w:rPr>
      </w:pPr>
    </w:p>
    <w:p w14:paraId="795ECEE5" w14:textId="77777777" w:rsidR="004E09FC" w:rsidRDefault="004E09FC" w:rsidP="004E09FC">
      <w:pPr>
        <w:jc w:val="both"/>
        <w:rPr>
          <w:lang w:eastAsia="en-GB"/>
        </w:rPr>
      </w:pPr>
    </w:p>
    <w:p w14:paraId="7C1D47EA" w14:textId="77777777" w:rsidR="004E09FC" w:rsidRDefault="004E09FC" w:rsidP="004E09FC">
      <w:pPr>
        <w:jc w:val="both"/>
        <w:rPr>
          <w:lang w:eastAsia="en-GB"/>
        </w:rPr>
      </w:pPr>
    </w:p>
    <w:p w14:paraId="29645F53" w14:textId="77777777" w:rsidR="004E09FC" w:rsidRDefault="004E09FC" w:rsidP="004E09FC">
      <w:pPr>
        <w:jc w:val="both"/>
        <w:rPr>
          <w:lang w:eastAsia="en-GB"/>
        </w:rPr>
      </w:pPr>
    </w:p>
    <w:p w14:paraId="2F101F1C" w14:textId="77777777" w:rsidR="004E09FC" w:rsidRDefault="004E09FC" w:rsidP="004E09FC">
      <w:pPr>
        <w:jc w:val="both"/>
        <w:rPr>
          <w:lang w:eastAsia="en-GB"/>
        </w:rPr>
      </w:pPr>
    </w:p>
    <w:p w14:paraId="734FDABC" w14:textId="77777777" w:rsidR="004E09FC" w:rsidRDefault="004E09FC" w:rsidP="004E09FC">
      <w:pPr>
        <w:jc w:val="both"/>
        <w:rPr>
          <w:lang w:eastAsia="en-GB"/>
        </w:rPr>
      </w:pPr>
    </w:p>
    <w:p w14:paraId="3624EA25" w14:textId="77777777" w:rsidR="004E09FC" w:rsidRDefault="004E09FC" w:rsidP="004E09FC">
      <w:pPr>
        <w:jc w:val="both"/>
        <w:rPr>
          <w:lang w:eastAsia="en-GB"/>
        </w:rPr>
      </w:pPr>
    </w:p>
    <w:p w14:paraId="06201FB8" w14:textId="77777777" w:rsidR="004E09FC" w:rsidRDefault="004E09FC" w:rsidP="004E09FC">
      <w:pPr>
        <w:jc w:val="both"/>
        <w:rPr>
          <w:lang w:eastAsia="en-GB"/>
        </w:rPr>
      </w:pPr>
    </w:p>
    <w:p w14:paraId="1AAFBB29" w14:textId="77777777" w:rsidR="004E09FC" w:rsidRDefault="004E09FC" w:rsidP="004E09FC">
      <w:pPr>
        <w:jc w:val="both"/>
        <w:rPr>
          <w:lang w:eastAsia="en-GB"/>
        </w:rPr>
      </w:pPr>
    </w:p>
    <w:p w14:paraId="33E4D88B" w14:textId="77777777" w:rsidR="004E09FC" w:rsidRDefault="004E09FC" w:rsidP="004E09FC">
      <w:pPr>
        <w:jc w:val="both"/>
        <w:rPr>
          <w:lang w:eastAsia="en-GB"/>
        </w:rPr>
      </w:pPr>
    </w:p>
    <w:p w14:paraId="799BD669" w14:textId="0223AACD" w:rsidR="004E09FC" w:rsidRPr="00866E98" w:rsidRDefault="004E09FC" w:rsidP="00866E98">
      <w:pPr>
        <w:pStyle w:val="EU"/>
        <w:spacing w:line="360" w:lineRule="auto"/>
        <w:rPr>
          <w:color w:val="auto"/>
        </w:rPr>
      </w:pPr>
      <w:bookmarkStart w:id="1" w:name="_Toc182573851"/>
      <w:r w:rsidRPr="00866E98">
        <w:rPr>
          <w:color w:val="auto"/>
        </w:rPr>
        <w:t>Introduction</w:t>
      </w:r>
      <w:bookmarkEnd w:id="1"/>
    </w:p>
    <w:p w14:paraId="691D52E8" w14:textId="56719C53" w:rsidR="004E09FC" w:rsidRPr="00866E98" w:rsidRDefault="00856E23" w:rsidP="00E374FD">
      <w:pPr>
        <w:spacing w:line="360" w:lineRule="auto"/>
        <w:jc w:val="both"/>
        <w:rPr>
          <w:rFonts w:ascii="Arial" w:hAnsi="Arial" w:cs="Arial"/>
          <w:sz w:val="24"/>
          <w:szCs w:val="24"/>
          <w:lang w:eastAsia="en-GB"/>
        </w:rPr>
      </w:pPr>
      <w:r w:rsidRPr="00866E98">
        <w:rPr>
          <w:rFonts w:ascii="Arial" w:hAnsi="Arial" w:cs="Arial"/>
          <w:sz w:val="24"/>
          <w:szCs w:val="24"/>
          <w:lang w:eastAsia="en-GB"/>
        </w:rPr>
        <w:t xml:space="preserve">Hilton Worldwide, one of the world’s largest hospitality companies, has also come under fire for not being real about sustainability. The firm </w:t>
      </w:r>
      <w:r w:rsidR="00E374FD" w:rsidRPr="00866E98">
        <w:rPr>
          <w:rFonts w:ascii="Arial" w:hAnsi="Arial" w:cs="Arial"/>
          <w:sz w:val="24"/>
          <w:szCs w:val="24"/>
          <w:lang w:eastAsia="en-GB"/>
        </w:rPr>
        <w:t>have</w:t>
      </w:r>
      <w:r w:rsidRPr="00866E98">
        <w:rPr>
          <w:rFonts w:ascii="Arial" w:hAnsi="Arial" w:cs="Arial"/>
          <w:sz w:val="24"/>
          <w:szCs w:val="24"/>
          <w:lang w:eastAsia="en-GB"/>
        </w:rPr>
        <w:t xml:space="preserve"> programs like its LightStay program, which tracks and optimises its environmental performance, but some critics point out that the system is not universally implemented within properties in terms of water conservation, energy efficiency, and waste management (Quintás et al., 2023). Further greenwashing charges, like encouraging towel reuse schemes as a way of saving money and not the environment, have been brought forward to question the authenticity of its sustainability campaigns (Kundi </w:t>
      </w:r>
      <w:r w:rsidR="00867A80" w:rsidRPr="00866E98">
        <w:rPr>
          <w:rFonts w:ascii="Arial" w:hAnsi="Arial" w:cs="Arial"/>
          <w:sz w:val="24"/>
          <w:szCs w:val="24"/>
          <w:lang w:eastAsia="en-GB"/>
        </w:rPr>
        <w:t>and</w:t>
      </w:r>
      <w:r w:rsidRPr="00866E98">
        <w:rPr>
          <w:rFonts w:ascii="Arial" w:hAnsi="Arial" w:cs="Arial"/>
          <w:sz w:val="24"/>
          <w:szCs w:val="24"/>
          <w:lang w:eastAsia="en-GB"/>
        </w:rPr>
        <w:t xml:space="preserve"> Ernszt, 2024). Some projects – for example, construction in sensitive locations like the Maldives – have been blamed for environmental destruction, reflecting the disconnect between corporate messaging and local environmental results (Quintás et al, 2023). </w:t>
      </w:r>
      <w:r w:rsidR="00867A80" w:rsidRPr="00866E98">
        <w:rPr>
          <w:rFonts w:ascii="Arial" w:hAnsi="Arial" w:cs="Arial"/>
          <w:sz w:val="24"/>
          <w:szCs w:val="24"/>
          <w:lang w:eastAsia="en-GB"/>
        </w:rPr>
        <w:t>This report</w:t>
      </w:r>
      <w:r w:rsidRPr="00866E98">
        <w:rPr>
          <w:rFonts w:ascii="Arial" w:hAnsi="Arial" w:cs="Arial"/>
          <w:sz w:val="24"/>
          <w:szCs w:val="24"/>
          <w:lang w:eastAsia="en-GB"/>
        </w:rPr>
        <w:t xml:space="preserve"> </w:t>
      </w:r>
      <w:r w:rsidR="00867A80" w:rsidRPr="00866E98">
        <w:rPr>
          <w:rFonts w:ascii="Arial" w:hAnsi="Arial" w:cs="Arial"/>
          <w:sz w:val="24"/>
          <w:szCs w:val="24"/>
          <w:lang w:eastAsia="en-GB"/>
        </w:rPr>
        <w:t>will</w:t>
      </w:r>
      <w:r w:rsidRPr="00866E98">
        <w:rPr>
          <w:rFonts w:ascii="Arial" w:hAnsi="Arial" w:cs="Arial"/>
          <w:sz w:val="24"/>
          <w:szCs w:val="24"/>
          <w:lang w:eastAsia="en-GB"/>
        </w:rPr>
        <w:t xml:space="preserve"> look at Hilton’s sustainability </w:t>
      </w:r>
      <w:r w:rsidR="00867A80" w:rsidRPr="00866E98">
        <w:rPr>
          <w:rFonts w:ascii="Arial" w:hAnsi="Arial" w:cs="Arial"/>
          <w:sz w:val="24"/>
          <w:szCs w:val="24"/>
          <w:lang w:eastAsia="en-GB"/>
        </w:rPr>
        <w:t>despairs</w:t>
      </w:r>
      <w:r w:rsidRPr="00866E98">
        <w:rPr>
          <w:rFonts w:ascii="Arial" w:hAnsi="Arial" w:cs="Arial"/>
          <w:sz w:val="24"/>
          <w:szCs w:val="24"/>
          <w:lang w:eastAsia="en-GB"/>
        </w:rPr>
        <w:t xml:space="preserve"> — the operating failures, greenwashing accusations and how these will affect its environmental efforts. Through analysis of Hilton’s strategy, the report will suggest practical recommendations for both improving the company’s environmental footprint and its compliance with international sustainability goals.</w:t>
      </w:r>
    </w:p>
    <w:p w14:paraId="503E6B5F" w14:textId="54CE7C11" w:rsidR="00856E23" w:rsidRPr="00866E98" w:rsidRDefault="00856E23" w:rsidP="00E374FD">
      <w:pPr>
        <w:pStyle w:val="EU"/>
        <w:spacing w:line="360" w:lineRule="auto"/>
        <w:rPr>
          <w:color w:val="auto"/>
        </w:rPr>
      </w:pPr>
      <w:bookmarkStart w:id="2" w:name="_Toc182573852"/>
      <w:r w:rsidRPr="00866E98">
        <w:rPr>
          <w:color w:val="auto"/>
        </w:rPr>
        <w:t>Main Findings</w:t>
      </w:r>
      <w:bookmarkEnd w:id="2"/>
    </w:p>
    <w:p w14:paraId="67D105DA" w14:textId="2D244E47" w:rsidR="00856E23" w:rsidRPr="00866E98" w:rsidRDefault="00856E23" w:rsidP="00E374FD">
      <w:pPr>
        <w:spacing w:line="360" w:lineRule="auto"/>
        <w:jc w:val="both"/>
        <w:rPr>
          <w:rFonts w:ascii="Arial" w:hAnsi="Arial" w:cs="Arial"/>
          <w:sz w:val="24"/>
          <w:szCs w:val="24"/>
          <w:lang w:eastAsia="en-GB"/>
        </w:rPr>
      </w:pPr>
      <w:r w:rsidRPr="00866E98">
        <w:rPr>
          <w:rFonts w:ascii="Arial" w:hAnsi="Arial" w:cs="Arial"/>
          <w:sz w:val="24"/>
          <w:szCs w:val="24"/>
          <w:lang w:eastAsia="en-GB"/>
        </w:rPr>
        <w:t>Greener practices in hospitality are measures of environmental and resource conservation. These are water conservation measures, like low flow fixtures and linen recycling initiatives, energy efficient lighting and HVAC systems, and comprehensive waste reduction policies such as recycling and composting.</w:t>
      </w:r>
      <w:r w:rsidRPr="00866E98">
        <w:rPr>
          <w:rFonts w:ascii="Arial" w:hAnsi="Arial" w:cs="Arial"/>
          <w:sz w:val="24"/>
          <w:szCs w:val="24"/>
          <w:lang w:eastAsia="en-GB"/>
        </w:rPr>
        <w:t xml:space="preserve"> </w:t>
      </w:r>
      <w:r w:rsidRPr="00866E98">
        <w:rPr>
          <w:rFonts w:ascii="Arial" w:hAnsi="Arial" w:cs="Arial"/>
          <w:sz w:val="24"/>
          <w:szCs w:val="24"/>
          <w:lang w:eastAsia="en-GB"/>
        </w:rPr>
        <w:t>Those are measures that adhere to the three elements of sustainability – environmental, social and economic</w:t>
      </w:r>
      <w:r w:rsidR="00867A80" w:rsidRPr="00866E98">
        <w:rPr>
          <w:rFonts w:ascii="Arial" w:hAnsi="Arial" w:cs="Arial"/>
          <w:sz w:val="24"/>
          <w:szCs w:val="24"/>
        </w:rPr>
        <w:t xml:space="preserve"> </w:t>
      </w:r>
      <w:r w:rsidR="00867A80" w:rsidRPr="00866E98">
        <w:rPr>
          <w:rFonts w:ascii="Arial" w:hAnsi="Arial" w:cs="Arial"/>
          <w:sz w:val="24"/>
          <w:szCs w:val="24"/>
          <w:lang w:eastAsia="en-GB"/>
        </w:rPr>
        <w:t>(Abdou, Hassan and Dief, 2020)</w:t>
      </w:r>
      <w:r w:rsidRPr="00866E98">
        <w:rPr>
          <w:rFonts w:ascii="Arial" w:hAnsi="Arial" w:cs="Arial"/>
          <w:sz w:val="24"/>
          <w:szCs w:val="24"/>
          <w:lang w:eastAsia="en-GB"/>
        </w:rPr>
        <w:t>. This model, often referred to as the triple bottom line, requires hotels to manage their business according to a principle of ecological stewardship, social accountability and sustainability.</w:t>
      </w:r>
      <w:r w:rsidRPr="00866E98">
        <w:rPr>
          <w:rFonts w:ascii="Arial" w:hAnsi="Arial" w:cs="Arial"/>
          <w:sz w:val="24"/>
          <w:szCs w:val="24"/>
          <w:lang w:eastAsia="en-GB"/>
        </w:rPr>
        <w:t xml:space="preserve"> </w:t>
      </w:r>
      <w:r w:rsidRPr="00866E98">
        <w:rPr>
          <w:rFonts w:ascii="Arial" w:hAnsi="Arial" w:cs="Arial"/>
          <w:sz w:val="24"/>
          <w:szCs w:val="24"/>
          <w:lang w:eastAsia="en-GB"/>
        </w:rPr>
        <w:t>From the take-make-dispose paradigm of a linear economy to the circular economy is essential for a sustainable hotel management</w:t>
      </w:r>
      <w:r w:rsidR="00867A80" w:rsidRPr="00866E98">
        <w:rPr>
          <w:rFonts w:ascii="Arial" w:hAnsi="Arial" w:cs="Arial"/>
          <w:sz w:val="24"/>
          <w:szCs w:val="24"/>
          <w:lang w:eastAsia="en-GB"/>
        </w:rPr>
        <w:t xml:space="preserve"> (</w:t>
      </w:r>
      <w:r w:rsidR="00867A80" w:rsidRPr="00866E98">
        <w:rPr>
          <w:rFonts w:ascii="Arial" w:hAnsi="Arial" w:cs="Arial"/>
          <w:sz w:val="24"/>
          <w:szCs w:val="24"/>
          <w:lang w:eastAsia="en-GB"/>
        </w:rPr>
        <w:t>Geissdoerfe</w:t>
      </w:r>
      <w:r w:rsidR="00867A80" w:rsidRPr="00866E98">
        <w:rPr>
          <w:rFonts w:ascii="Arial" w:hAnsi="Arial" w:cs="Arial"/>
          <w:sz w:val="24"/>
          <w:szCs w:val="24"/>
          <w:lang w:eastAsia="en-GB"/>
        </w:rPr>
        <w:t>r et al.,2017)</w:t>
      </w:r>
      <w:r w:rsidRPr="00866E98">
        <w:rPr>
          <w:rFonts w:ascii="Arial" w:hAnsi="Arial" w:cs="Arial"/>
          <w:sz w:val="24"/>
          <w:szCs w:val="24"/>
          <w:lang w:eastAsia="en-GB"/>
        </w:rPr>
        <w:t>. Circular economy is about reuse, repair and recycling which minimises waste and maximizes resource use.</w:t>
      </w:r>
      <w:r w:rsidRPr="00866E98">
        <w:rPr>
          <w:rFonts w:ascii="Arial" w:hAnsi="Arial" w:cs="Arial"/>
          <w:sz w:val="24"/>
          <w:szCs w:val="24"/>
          <w:lang w:eastAsia="en-GB"/>
        </w:rPr>
        <w:t xml:space="preserve"> </w:t>
      </w:r>
      <w:r w:rsidRPr="00866E98">
        <w:rPr>
          <w:rFonts w:ascii="Arial" w:hAnsi="Arial" w:cs="Arial"/>
          <w:sz w:val="24"/>
          <w:szCs w:val="24"/>
          <w:lang w:eastAsia="en-GB"/>
        </w:rPr>
        <w:t>Hoteliers can make a circular economy-inspired decision to reduce environmental impact, increase efficiency and achieve long-term sustainability. This change does not just reduce the carbon footprint, but also builds the economy and social stability of the hospitality industry</w:t>
      </w:r>
      <w:r w:rsidR="00661974" w:rsidRPr="00866E98">
        <w:rPr>
          <w:rFonts w:ascii="Arial" w:hAnsi="Arial" w:cs="Arial"/>
          <w:sz w:val="24"/>
          <w:szCs w:val="24"/>
          <w:lang w:eastAsia="en-GB"/>
        </w:rPr>
        <w:t xml:space="preserve"> (Edgell, 2019).</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Hilton Worldwide is a leader in sustainable practices by using "Travel with Purpose", which includes energy-saving technology, waste reduction, and water conservation at their hotels. The LightStay app, for example, monitors environmental performance metrics, so </w:t>
      </w:r>
      <w:r w:rsidRPr="00866E98">
        <w:rPr>
          <w:rFonts w:ascii="Arial" w:hAnsi="Arial" w:cs="Arial"/>
          <w:sz w:val="24"/>
          <w:szCs w:val="24"/>
          <w:lang w:eastAsia="en-GB"/>
        </w:rPr>
        <w:t>customers are</w:t>
      </w:r>
      <w:r w:rsidRPr="00866E98">
        <w:rPr>
          <w:rFonts w:ascii="Arial" w:hAnsi="Arial" w:cs="Arial"/>
          <w:sz w:val="24"/>
          <w:szCs w:val="24"/>
          <w:lang w:eastAsia="en-GB"/>
        </w:rPr>
        <w:t xml:space="preserve"> held accountable for resources used</w:t>
      </w:r>
      <w:r w:rsidR="00661974" w:rsidRPr="00866E98">
        <w:rPr>
          <w:rFonts w:ascii="Arial" w:hAnsi="Arial" w:cs="Arial"/>
          <w:sz w:val="24"/>
          <w:szCs w:val="24"/>
          <w:lang w:eastAsia="en-GB"/>
        </w:rPr>
        <w:t xml:space="preserve"> (Hilton, 2023)</w:t>
      </w:r>
      <w:r w:rsidRPr="00866E98">
        <w:rPr>
          <w:rFonts w:ascii="Arial" w:hAnsi="Arial" w:cs="Arial"/>
          <w:sz w:val="24"/>
          <w:szCs w:val="24"/>
          <w:lang w:eastAsia="en-GB"/>
        </w:rPr>
        <w:t xml:space="preserve">. </w:t>
      </w:r>
      <w:r w:rsidRPr="00866E98">
        <w:rPr>
          <w:rFonts w:ascii="Arial" w:hAnsi="Arial" w:cs="Arial"/>
          <w:sz w:val="24"/>
          <w:szCs w:val="24"/>
          <w:lang w:eastAsia="en-GB"/>
        </w:rPr>
        <w:t>Many Hilton locations are ISO 14001 and ISO 50001 certified and they focus on a sustainable culture</w:t>
      </w:r>
      <w:r w:rsidRPr="00866E98">
        <w:rPr>
          <w:rFonts w:ascii="Arial" w:hAnsi="Arial" w:cs="Arial"/>
          <w:sz w:val="24"/>
          <w:szCs w:val="24"/>
          <w:lang w:eastAsia="en-GB"/>
        </w:rPr>
        <w:t xml:space="preserve">. </w:t>
      </w:r>
      <w:r w:rsidRPr="00866E98">
        <w:rPr>
          <w:rFonts w:ascii="Arial" w:hAnsi="Arial" w:cs="Arial"/>
          <w:sz w:val="24"/>
          <w:szCs w:val="24"/>
          <w:lang w:eastAsia="en-GB"/>
        </w:rPr>
        <w:t>Local product procurement and recycling initiatives all align with the triple bottom line principle of the environment, society, and economy.</w:t>
      </w:r>
      <w:r w:rsidRPr="00866E98">
        <w:rPr>
          <w:rFonts w:ascii="Arial" w:hAnsi="Arial" w:cs="Arial"/>
          <w:sz w:val="24"/>
          <w:szCs w:val="24"/>
          <w:lang w:eastAsia="en-GB"/>
        </w:rPr>
        <w:t xml:space="preserve"> </w:t>
      </w:r>
      <w:r w:rsidRPr="00866E98">
        <w:rPr>
          <w:rFonts w:ascii="Arial" w:hAnsi="Arial" w:cs="Arial"/>
          <w:sz w:val="24"/>
          <w:szCs w:val="24"/>
          <w:lang w:eastAsia="en-GB"/>
        </w:rPr>
        <w:t>But these rituals have inconsistent effects. Researchers have found that not all properties manage to make the same efforts to save energy and water. For instance, while water-saving fixtures are generally used in a majority of hotels, they are less impactful depending on the availability of local resources</w:t>
      </w:r>
      <w:r w:rsidRPr="00866E98">
        <w:rPr>
          <w:rFonts w:ascii="Arial" w:hAnsi="Arial" w:cs="Arial"/>
          <w:sz w:val="24"/>
          <w:szCs w:val="24"/>
          <w:lang w:eastAsia="en-GB"/>
        </w:rPr>
        <w:t xml:space="preserve">. </w:t>
      </w:r>
      <w:r w:rsidRPr="00866E98">
        <w:rPr>
          <w:rFonts w:ascii="Arial" w:hAnsi="Arial" w:cs="Arial"/>
          <w:sz w:val="24"/>
          <w:szCs w:val="24"/>
          <w:lang w:eastAsia="en-GB"/>
        </w:rPr>
        <w:t>It also has a difficult waste management, with few of its efforts directed towards the generalisation of composting and recycling</w:t>
      </w:r>
      <w:r w:rsidR="00062D50" w:rsidRPr="00866E98">
        <w:rPr>
          <w:rFonts w:ascii="Arial" w:hAnsi="Arial" w:cs="Arial"/>
          <w:sz w:val="24"/>
          <w:szCs w:val="24"/>
          <w:lang w:eastAsia="en-GB"/>
        </w:rPr>
        <w:t xml:space="preserve"> (Zientara et al., 2020)</w:t>
      </w:r>
      <w:r w:rsidRPr="00866E98">
        <w:rPr>
          <w:rFonts w:ascii="Arial" w:hAnsi="Arial" w:cs="Arial"/>
          <w:sz w:val="24"/>
          <w:szCs w:val="24"/>
          <w:lang w:eastAsia="en-GB"/>
        </w:rPr>
        <w:t xml:space="preserve">. </w:t>
      </w:r>
      <w:r w:rsidRPr="00866E98">
        <w:rPr>
          <w:rFonts w:ascii="Arial" w:hAnsi="Arial" w:cs="Arial"/>
          <w:sz w:val="24"/>
          <w:szCs w:val="24"/>
          <w:lang w:eastAsia="en-GB"/>
        </w:rPr>
        <w:t>Greenwashing issues have been called out by the media, especially where efficiencies, such as linen recycling schemes, are sold as major sustainability measures with no attendant environmental benefit</w:t>
      </w:r>
      <w:r w:rsidR="00062D50" w:rsidRPr="00866E98">
        <w:rPr>
          <w:rFonts w:ascii="Arial" w:hAnsi="Arial" w:cs="Arial"/>
          <w:sz w:val="24"/>
          <w:szCs w:val="24"/>
        </w:rPr>
        <w:t xml:space="preserve"> </w:t>
      </w:r>
      <w:r w:rsidR="00062D50" w:rsidRPr="00866E98">
        <w:rPr>
          <w:rFonts w:ascii="Arial" w:hAnsi="Arial" w:cs="Arial"/>
          <w:sz w:val="24"/>
          <w:szCs w:val="24"/>
          <w:lang w:eastAsia="en-GB"/>
        </w:rPr>
        <w:t>(Mansour Alyahia et al., 2024)</w:t>
      </w:r>
      <w:r w:rsidRPr="00866E98">
        <w:rPr>
          <w:rFonts w:ascii="Arial" w:hAnsi="Arial" w:cs="Arial"/>
          <w:sz w:val="24"/>
          <w:szCs w:val="24"/>
          <w:lang w:eastAsia="en-GB"/>
        </w:rPr>
        <w:t xml:space="preserve">. </w:t>
      </w:r>
      <w:r w:rsidR="001417C7" w:rsidRPr="00866E98">
        <w:rPr>
          <w:rFonts w:ascii="Arial" w:hAnsi="Arial" w:cs="Arial"/>
          <w:sz w:val="24"/>
          <w:szCs w:val="24"/>
          <w:lang w:eastAsia="en-GB"/>
        </w:rPr>
        <w:t>Greenwashing is the act of giving the impression of greenness or realism to a company, typically in an effort to appeal to eco-savvy customers without actually altering anything. It is deceptive assertions of environmental benefits by a misleading sham, selective disclosure of positive programs, or branding strategies that do not actually have a true ecological effect</w:t>
      </w:r>
      <w:r w:rsidR="00062D50" w:rsidRPr="00866E98">
        <w:rPr>
          <w:rFonts w:ascii="Arial" w:hAnsi="Arial" w:cs="Arial"/>
          <w:sz w:val="24"/>
          <w:szCs w:val="24"/>
          <w:lang w:eastAsia="en-GB"/>
        </w:rPr>
        <w:t xml:space="preserve"> (</w:t>
      </w:r>
      <w:r w:rsidR="00062D50" w:rsidRPr="00866E98">
        <w:rPr>
          <w:rFonts w:ascii="Arial" w:hAnsi="Arial" w:cs="Arial"/>
          <w:sz w:val="24"/>
          <w:szCs w:val="24"/>
          <w:lang w:eastAsia="en-GB"/>
        </w:rPr>
        <w:t xml:space="preserve">Legrand, </w:t>
      </w:r>
      <w:r w:rsidR="00062D50" w:rsidRPr="00866E98">
        <w:rPr>
          <w:rFonts w:ascii="Arial" w:hAnsi="Arial" w:cs="Arial"/>
          <w:sz w:val="24"/>
          <w:szCs w:val="24"/>
          <w:lang w:eastAsia="en-GB"/>
        </w:rPr>
        <w:t>Chen, and</w:t>
      </w:r>
      <w:r w:rsidR="00062D50" w:rsidRPr="00866E98">
        <w:rPr>
          <w:rFonts w:ascii="Arial" w:hAnsi="Arial" w:cs="Arial"/>
          <w:sz w:val="24"/>
          <w:szCs w:val="24"/>
          <w:lang w:eastAsia="en-GB"/>
        </w:rPr>
        <w:t xml:space="preserve"> Laeis</w:t>
      </w:r>
      <w:r w:rsidR="00062D50" w:rsidRPr="00866E98">
        <w:rPr>
          <w:rFonts w:ascii="Arial" w:hAnsi="Arial" w:cs="Arial"/>
          <w:sz w:val="24"/>
          <w:szCs w:val="24"/>
          <w:lang w:eastAsia="en-GB"/>
        </w:rPr>
        <w:t>, 2022)</w:t>
      </w:r>
      <w:r w:rsidR="001417C7" w:rsidRPr="00866E98">
        <w:rPr>
          <w:rFonts w:ascii="Arial" w:hAnsi="Arial" w:cs="Arial"/>
          <w:sz w:val="24"/>
          <w:szCs w:val="24"/>
          <w:lang w:eastAsia="en-GB"/>
        </w:rPr>
        <w:t xml:space="preserve">. For instance, a hotel might talk about towel reuse as a big green </w:t>
      </w:r>
      <w:r w:rsidR="001417C7" w:rsidRPr="00866E98">
        <w:rPr>
          <w:rFonts w:ascii="Arial" w:hAnsi="Arial" w:cs="Arial"/>
          <w:sz w:val="24"/>
          <w:szCs w:val="24"/>
          <w:lang w:eastAsia="en-GB"/>
        </w:rPr>
        <w:t>initiative but</w:t>
      </w:r>
      <w:r w:rsidR="001417C7" w:rsidRPr="00866E98">
        <w:rPr>
          <w:rFonts w:ascii="Arial" w:hAnsi="Arial" w:cs="Arial"/>
          <w:sz w:val="24"/>
          <w:szCs w:val="24"/>
          <w:lang w:eastAsia="en-GB"/>
        </w:rPr>
        <w:t xml:space="preserve"> fails to tackle the big environmental challenges such as energy inefficiency or waste (Kundi </w:t>
      </w:r>
      <w:r w:rsidR="00062D50" w:rsidRPr="00866E98">
        <w:rPr>
          <w:rFonts w:ascii="Arial" w:hAnsi="Arial" w:cs="Arial"/>
          <w:sz w:val="24"/>
          <w:szCs w:val="24"/>
          <w:lang w:eastAsia="en-GB"/>
        </w:rPr>
        <w:t xml:space="preserve">and </w:t>
      </w:r>
      <w:r w:rsidR="001417C7" w:rsidRPr="00866E98">
        <w:rPr>
          <w:rFonts w:ascii="Arial" w:hAnsi="Arial" w:cs="Arial"/>
          <w:sz w:val="24"/>
          <w:szCs w:val="24"/>
          <w:lang w:eastAsia="en-GB"/>
        </w:rPr>
        <w:t>Ernszt, 2024</w:t>
      </w:r>
      <w:r w:rsidR="001417C7" w:rsidRPr="00866E98">
        <w:rPr>
          <w:rFonts w:ascii="Arial" w:hAnsi="Arial" w:cs="Arial"/>
          <w:sz w:val="24"/>
          <w:szCs w:val="24"/>
          <w:lang w:eastAsia="en-GB"/>
        </w:rPr>
        <w:t>). These</w:t>
      </w:r>
      <w:r w:rsidRPr="00866E98">
        <w:rPr>
          <w:rFonts w:ascii="Arial" w:hAnsi="Arial" w:cs="Arial"/>
          <w:sz w:val="24"/>
          <w:szCs w:val="24"/>
          <w:lang w:eastAsia="en-GB"/>
        </w:rPr>
        <w:t xml:space="preserve"> limitations show why Hilton should look at more </w:t>
      </w:r>
      <w:r w:rsidR="001417C7" w:rsidRPr="00866E98">
        <w:rPr>
          <w:rFonts w:ascii="Arial" w:hAnsi="Arial" w:cs="Arial"/>
          <w:sz w:val="24"/>
          <w:szCs w:val="24"/>
          <w:lang w:eastAsia="en-GB"/>
        </w:rPr>
        <w:t>rounded</w:t>
      </w:r>
      <w:r w:rsidRPr="00866E98">
        <w:rPr>
          <w:rFonts w:ascii="Arial" w:hAnsi="Arial" w:cs="Arial"/>
          <w:sz w:val="24"/>
          <w:szCs w:val="24"/>
          <w:lang w:eastAsia="en-GB"/>
        </w:rPr>
        <w:t xml:space="preserve"> strategies. Environmental performance could be improved by more investment in renewable energy and stronger waste management infrastructure. Also, standardizing sustainability across properties and improving visibility through third-party certifications could make Hilton’s sustainability claims </w:t>
      </w:r>
      <w:r w:rsidR="001417C7" w:rsidRPr="00866E98">
        <w:rPr>
          <w:rFonts w:ascii="Arial" w:hAnsi="Arial" w:cs="Arial"/>
          <w:sz w:val="24"/>
          <w:szCs w:val="24"/>
          <w:lang w:eastAsia="en-GB"/>
        </w:rPr>
        <w:t xml:space="preserve">credible. </w:t>
      </w:r>
      <w:r w:rsidRPr="00866E98">
        <w:rPr>
          <w:rFonts w:ascii="Arial" w:hAnsi="Arial" w:cs="Arial"/>
          <w:sz w:val="24"/>
          <w:szCs w:val="24"/>
          <w:lang w:eastAsia="en-GB"/>
        </w:rPr>
        <w:t>By closing these loopholes, Hilton will increase its sustainability profile and further establish itself as a leader in responsible hospitality</w:t>
      </w:r>
      <w:r w:rsidR="00062D50" w:rsidRPr="00866E98">
        <w:rPr>
          <w:rFonts w:ascii="Arial" w:hAnsi="Arial" w:cs="Arial"/>
          <w:sz w:val="24"/>
          <w:szCs w:val="24"/>
          <w:lang w:eastAsia="en-GB"/>
        </w:rPr>
        <w:t xml:space="preserve"> (Costa and Costa, 2022)</w:t>
      </w:r>
      <w:r w:rsidRPr="00866E98">
        <w:rPr>
          <w:rFonts w:ascii="Arial" w:hAnsi="Arial" w:cs="Arial"/>
          <w:sz w:val="24"/>
          <w:szCs w:val="24"/>
          <w:lang w:eastAsia="en-GB"/>
        </w:rPr>
        <w:t>.</w:t>
      </w:r>
      <w:r w:rsidR="001417C7" w:rsidRPr="00866E98">
        <w:rPr>
          <w:rFonts w:ascii="Arial" w:hAnsi="Arial" w:cs="Arial"/>
          <w:sz w:val="24"/>
          <w:szCs w:val="24"/>
          <w:lang w:eastAsia="en-GB"/>
        </w:rPr>
        <w:t xml:space="preserve"> </w:t>
      </w:r>
      <w:r w:rsidR="001417C7" w:rsidRPr="00866E98">
        <w:rPr>
          <w:rFonts w:ascii="Arial" w:hAnsi="Arial" w:cs="Arial"/>
          <w:sz w:val="24"/>
          <w:szCs w:val="24"/>
          <w:lang w:eastAsia="en-GB"/>
        </w:rPr>
        <w:t>Hilton Worldwide has accelerated its efforts to bring sustainability practices into its business, but fundamental inefficiencies remain. One issue is its waste management system. Though</w:t>
      </w:r>
      <w:r w:rsidR="00062D50" w:rsidRPr="00866E98">
        <w:rPr>
          <w:rFonts w:ascii="Arial" w:hAnsi="Arial" w:cs="Arial"/>
          <w:sz w:val="24"/>
          <w:szCs w:val="24"/>
          <w:lang w:eastAsia="en-GB"/>
        </w:rPr>
        <w:t xml:space="preserve"> they</w:t>
      </w:r>
      <w:r w:rsidR="001417C7" w:rsidRPr="00866E98">
        <w:rPr>
          <w:rFonts w:ascii="Arial" w:hAnsi="Arial" w:cs="Arial"/>
          <w:sz w:val="24"/>
          <w:szCs w:val="24"/>
          <w:lang w:eastAsia="en-GB"/>
        </w:rPr>
        <w:t xml:space="preserve"> implemented recycling and composting on several properties, there are differences in implementation from place to place, and only limited adoption in areas that are less regulated</w:t>
      </w:r>
      <w:r w:rsidR="001417C7" w:rsidRPr="00866E98">
        <w:rPr>
          <w:rFonts w:ascii="Arial" w:hAnsi="Arial" w:cs="Arial"/>
          <w:sz w:val="24"/>
          <w:szCs w:val="24"/>
          <w:lang w:eastAsia="en-GB"/>
        </w:rPr>
        <w:t xml:space="preserve">. </w:t>
      </w:r>
      <w:r w:rsidR="001417C7" w:rsidRPr="00866E98">
        <w:rPr>
          <w:rFonts w:ascii="Arial" w:hAnsi="Arial" w:cs="Arial"/>
          <w:sz w:val="24"/>
          <w:szCs w:val="24"/>
          <w:lang w:eastAsia="en-GB"/>
        </w:rPr>
        <w:t xml:space="preserve">Also, energy consumption </w:t>
      </w:r>
      <w:r w:rsidR="00062D50" w:rsidRPr="00866E98">
        <w:rPr>
          <w:rFonts w:ascii="Arial" w:hAnsi="Arial" w:cs="Arial"/>
          <w:sz w:val="24"/>
          <w:szCs w:val="24"/>
          <w:lang w:eastAsia="en-GB"/>
        </w:rPr>
        <w:t>has not</w:t>
      </w:r>
      <w:r w:rsidR="001417C7" w:rsidRPr="00866E98">
        <w:rPr>
          <w:rFonts w:ascii="Arial" w:hAnsi="Arial" w:cs="Arial"/>
          <w:sz w:val="24"/>
          <w:szCs w:val="24"/>
          <w:lang w:eastAsia="en-GB"/>
        </w:rPr>
        <w:t xml:space="preserve"> really been a top priority; Hilton has energy-efficient systems, including the LightStay platform to monitor energy consumption, but the company has</w:t>
      </w:r>
      <w:r w:rsidR="00062D50" w:rsidRPr="00866E98">
        <w:rPr>
          <w:rFonts w:ascii="Arial" w:hAnsi="Arial" w:cs="Arial"/>
          <w:sz w:val="24"/>
          <w:szCs w:val="24"/>
          <w:lang w:eastAsia="en-GB"/>
        </w:rPr>
        <w:t xml:space="preserve"> not</w:t>
      </w:r>
      <w:r w:rsidR="001417C7" w:rsidRPr="00866E98">
        <w:rPr>
          <w:rFonts w:ascii="Arial" w:hAnsi="Arial" w:cs="Arial"/>
          <w:sz w:val="24"/>
          <w:szCs w:val="24"/>
          <w:lang w:eastAsia="en-GB"/>
        </w:rPr>
        <w:t xml:space="preserve"> really transitioned over to renewable energy sources fast enough, so they</w:t>
      </w:r>
      <w:r w:rsidR="00062D50" w:rsidRPr="00866E98">
        <w:rPr>
          <w:rFonts w:ascii="Arial" w:hAnsi="Arial" w:cs="Arial"/>
          <w:sz w:val="24"/>
          <w:szCs w:val="24"/>
          <w:lang w:eastAsia="en-GB"/>
        </w:rPr>
        <w:t xml:space="preserve"> a</w:t>
      </w:r>
      <w:r w:rsidR="001417C7" w:rsidRPr="00866E98">
        <w:rPr>
          <w:rFonts w:ascii="Arial" w:hAnsi="Arial" w:cs="Arial"/>
          <w:sz w:val="24"/>
          <w:szCs w:val="24"/>
          <w:lang w:eastAsia="en-GB"/>
        </w:rPr>
        <w:t>re still fossil-fuel-dependent</w:t>
      </w:r>
      <w:r w:rsidR="00062D50" w:rsidRPr="00866E98">
        <w:rPr>
          <w:rFonts w:ascii="Arial" w:hAnsi="Arial" w:cs="Arial"/>
          <w:sz w:val="24"/>
          <w:szCs w:val="24"/>
          <w:lang w:eastAsia="en-GB"/>
        </w:rPr>
        <w:t xml:space="preserve"> (Hilton, 2022)</w:t>
      </w:r>
      <w:r w:rsidR="001417C7" w:rsidRPr="00866E98">
        <w:rPr>
          <w:rFonts w:ascii="Arial" w:hAnsi="Arial" w:cs="Arial"/>
          <w:sz w:val="24"/>
          <w:szCs w:val="24"/>
          <w:lang w:eastAsia="en-GB"/>
        </w:rPr>
        <w:t xml:space="preserve">. </w:t>
      </w:r>
      <w:r w:rsidR="001417C7" w:rsidRPr="00866E98">
        <w:rPr>
          <w:rFonts w:ascii="Arial" w:hAnsi="Arial" w:cs="Arial"/>
          <w:sz w:val="24"/>
          <w:szCs w:val="24"/>
          <w:lang w:eastAsia="en-GB"/>
        </w:rPr>
        <w:t>Another area is water conservation. Even after implementing low-flow plumbing and other water-saving measures, Hilton’s total guest water use is still high, especially in places where water is scarce. This makes it unsustainable to operate in environmental sanctuaries</w:t>
      </w:r>
      <w:r w:rsidR="00062D50" w:rsidRPr="00866E98">
        <w:rPr>
          <w:rFonts w:ascii="Arial" w:hAnsi="Arial" w:cs="Arial"/>
          <w:sz w:val="24"/>
          <w:szCs w:val="24"/>
          <w:lang w:eastAsia="en-GB"/>
        </w:rPr>
        <w:t xml:space="preserve"> (</w:t>
      </w:r>
      <w:r w:rsidR="00062D50" w:rsidRPr="00866E98">
        <w:rPr>
          <w:rFonts w:ascii="Arial" w:hAnsi="Arial" w:cs="Arial"/>
          <w:sz w:val="24"/>
          <w:szCs w:val="24"/>
          <w:lang w:eastAsia="en-GB"/>
        </w:rPr>
        <w:t>Іerko and Rudyk, 2020</w:t>
      </w:r>
      <w:r w:rsidR="00062D50" w:rsidRPr="00866E98">
        <w:rPr>
          <w:rFonts w:ascii="Arial" w:hAnsi="Arial" w:cs="Arial"/>
          <w:sz w:val="24"/>
          <w:szCs w:val="24"/>
          <w:lang w:eastAsia="en-GB"/>
        </w:rPr>
        <w:t>)</w:t>
      </w:r>
      <w:r w:rsidR="001417C7" w:rsidRPr="00866E98">
        <w:rPr>
          <w:rFonts w:ascii="Arial" w:hAnsi="Arial" w:cs="Arial"/>
          <w:sz w:val="24"/>
          <w:szCs w:val="24"/>
          <w:lang w:eastAsia="en-GB"/>
        </w:rPr>
        <w:t xml:space="preserve">. </w:t>
      </w:r>
      <w:r w:rsidR="001417C7" w:rsidRPr="00866E98">
        <w:rPr>
          <w:rFonts w:ascii="Arial" w:hAnsi="Arial" w:cs="Arial"/>
          <w:sz w:val="24"/>
          <w:szCs w:val="24"/>
          <w:lang w:eastAsia="en-GB"/>
        </w:rPr>
        <w:t>Hilton’s construction practices have also been criticized, especially at resorts such as the Maldives where destruction of mangrove and palm trees revealed disconnects between corporate sustainability messaging and environmental footprint on site</w:t>
      </w:r>
      <w:r w:rsidR="001417C7" w:rsidRPr="00866E98">
        <w:rPr>
          <w:rFonts w:ascii="Arial" w:hAnsi="Arial" w:cs="Arial"/>
          <w:sz w:val="24"/>
          <w:szCs w:val="24"/>
          <w:lang w:eastAsia="en-GB"/>
        </w:rPr>
        <w:t xml:space="preserve">. </w:t>
      </w:r>
      <w:r w:rsidR="001417C7" w:rsidRPr="00866E98">
        <w:rPr>
          <w:rFonts w:ascii="Arial" w:hAnsi="Arial" w:cs="Arial"/>
          <w:sz w:val="24"/>
          <w:szCs w:val="24"/>
          <w:lang w:eastAsia="en-GB"/>
        </w:rPr>
        <w:t>The consequences of these disconnects are profound</w:t>
      </w:r>
      <w:r w:rsidR="00062D50" w:rsidRPr="00866E98">
        <w:rPr>
          <w:rFonts w:ascii="Arial" w:hAnsi="Arial" w:cs="Arial"/>
          <w:sz w:val="24"/>
          <w:szCs w:val="24"/>
          <w:lang w:eastAsia="en-GB"/>
        </w:rPr>
        <w:t xml:space="preserve"> (Tark and Oh, 2021)</w:t>
      </w:r>
      <w:r w:rsidR="001417C7" w:rsidRPr="00866E98">
        <w:rPr>
          <w:rFonts w:ascii="Arial" w:hAnsi="Arial" w:cs="Arial"/>
          <w:sz w:val="24"/>
          <w:szCs w:val="24"/>
          <w:lang w:eastAsia="en-GB"/>
        </w:rPr>
        <w:t>. Waste and energy management is poor, generating high greenhouse gas emissions, making the firm’s carbon footprint higher. The lack of conservation makes resources dwindle in key areas at the expense of regulatory fines and community protest. All these flaws also ruin Hilton’s reputation among eco-savvy travellers, which could hurt its sales. These problems must be addressed by more consistent use of sustainable design and more attention to renewable energy, better waste management and open, eco-conscious building regulations</w:t>
      </w:r>
      <w:r w:rsidR="009211D5" w:rsidRPr="00866E98">
        <w:rPr>
          <w:rFonts w:ascii="Arial" w:hAnsi="Arial" w:cs="Arial"/>
          <w:sz w:val="24"/>
          <w:szCs w:val="24"/>
          <w:lang w:eastAsia="en-GB"/>
        </w:rPr>
        <w:t xml:space="preserve"> (Jauhari, 2024)</w:t>
      </w:r>
      <w:r w:rsidR="001417C7" w:rsidRPr="00866E98">
        <w:rPr>
          <w:rFonts w:ascii="Arial" w:hAnsi="Arial" w:cs="Arial"/>
          <w:sz w:val="24"/>
          <w:szCs w:val="24"/>
          <w:lang w:eastAsia="en-GB"/>
        </w:rPr>
        <w:t>.</w:t>
      </w:r>
      <w:r w:rsidR="00483CB7" w:rsidRPr="00866E98">
        <w:rPr>
          <w:rFonts w:ascii="Arial" w:hAnsi="Arial" w:cs="Arial"/>
          <w:sz w:val="24"/>
          <w:szCs w:val="24"/>
          <w:lang w:eastAsia="en-GB"/>
        </w:rPr>
        <w:t xml:space="preserve"> </w:t>
      </w:r>
      <w:r w:rsidR="00483CB7" w:rsidRPr="00866E98">
        <w:rPr>
          <w:rFonts w:ascii="Arial" w:hAnsi="Arial" w:cs="Arial"/>
          <w:sz w:val="24"/>
          <w:szCs w:val="24"/>
          <w:lang w:eastAsia="en-GB"/>
        </w:rPr>
        <w:t>For UK companies greenwashing on the environment can be legally and reputationally costly. The Competition and Markets Authority (CMA) has regulations to ensure that firms don’t mislead customers about their eco-efficiency. In 2022, for example, the CMA took issue with big fashion brands such as ASOS, Boohoo and George at Asda making potentially false green claims, and in doing so, they pledged to publish more transparent and truer environmental claims</w:t>
      </w:r>
      <w:r w:rsidR="009211D5" w:rsidRPr="00866E98">
        <w:rPr>
          <w:rFonts w:ascii="Arial" w:hAnsi="Arial" w:cs="Arial"/>
          <w:sz w:val="24"/>
          <w:szCs w:val="24"/>
          <w:lang w:eastAsia="en-GB"/>
        </w:rPr>
        <w:t xml:space="preserve"> (GOV Uk, 2024)</w:t>
      </w:r>
      <w:r w:rsidR="00483CB7" w:rsidRPr="00866E98">
        <w:rPr>
          <w:rFonts w:ascii="Arial" w:hAnsi="Arial" w:cs="Arial"/>
          <w:sz w:val="24"/>
          <w:szCs w:val="24"/>
          <w:lang w:eastAsia="en-GB"/>
        </w:rPr>
        <w:t>.</w:t>
      </w:r>
      <w:r w:rsidR="00483CB7" w:rsidRPr="00866E98">
        <w:rPr>
          <w:rFonts w:ascii="Arial" w:hAnsi="Arial" w:cs="Arial"/>
          <w:sz w:val="24"/>
          <w:szCs w:val="24"/>
          <w:lang w:eastAsia="en-GB"/>
        </w:rPr>
        <w:t xml:space="preserve"> </w:t>
      </w:r>
      <w:r w:rsidR="00483CB7" w:rsidRPr="00866E98">
        <w:rPr>
          <w:rFonts w:ascii="Arial" w:hAnsi="Arial" w:cs="Arial"/>
          <w:sz w:val="24"/>
          <w:szCs w:val="24"/>
          <w:lang w:eastAsia="en-GB"/>
        </w:rPr>
        <w:t>Just as the Advertising Standards Authority (ASA) has clamped down on ads exaggerating environmental benefits. In August 2024, Virgin Atlantic was denied a licence to advertise a transatlantic flight powered entirely by "sustainable" biofuel by the ASA because it was misinformation regarding the environmental impact of the flight</w:t>
      </w:r>
      <w:r w:rsidR="009211D5" w:rsidRPr="00866E98">
        <w:rPr>
          <w:rFonts w:ascii="Arial" w:hAnsi="Arial" w:cs="Arial"/>
          <w:sz w:val="24"/>
          <w:szCs w:val="24"/>
          <w:lang w:eastAsia="en-GB"/>
        </w:rPr>
        <w:t xml:space="preserve"> (Clarke, 2024)</w:t>
      </w:r>
      <w:r w:rsidR="00483CB7" w:rsidRPr="00866E98">
        <w:rPr>
          <w:rFonts w:ascii="Arial" w:hAnsi="Arial" w:cs="Arial"/>
          <w:sz w:val="24"/>
          <w:szCs w:val="24"/>
          <w:lang w:eastAsia="en-GB"/>
        </w:rPr>
        <w:t>. These regulatory actions are proof that the UK is determined to ensure environmental statements are accurate and well supported, safeguarding consumers against misleading marketing, and supporting true corporate sustainability.</w:t>
      </w:r>
    </w:p>
    <w:p w14:paraId="6F41E68A" w14:textId="7EDDE44C" w:rsidR="00400470" w:rsidRPr="00866E98" w:rsidRDefault="00400470" w:rsidP="00E374FD">
      <w:pPr>
        <w:pStyle w:val="EU"/>
        <w:spacing w:line="360" w:lineRule="auto"/>
        <w:rPr>
          <w:color w:val="auto"/>
        </w:rPr>
      </w:pPr>
      <w:bookmarkStart w:id="3" w:name="_Toc182573853"/>
      <w:r w:rsidRPr="00866E98">
        <w:rPr>
          <w:color w:val="auto"/>
        </w:rPr>
        <w:t>Proposed Green Practice Initiative to Address the Gap</w:t>
      </w:r>
      <w:bookmarkEnd w:id="3"/>
    </w:p>
    <w:p w14:paraId="2827017D" w14:textId="4C4C1967" w:rsidR="001417C7" w:rsidRPr="00866E98" w:rsidRDefault="00E374FD" w:rsidP="00E374FD">
      <w:pPr>
        <w:spacing w:line="360" w:lineRule="auto"/>
        <w:jc w:val="both"/>
        <w:rPr>
          <w:rFonts w:ascii="Arial" w:hAnsi="Arial" w:cs="Arial"/>
          <w:sz w:val="24"/>
          <w:szCs w:val="24"/>
          <w:lang w:eastAsia="en-GB"/>
        </w:rPr>
      </w:pPr>
      <w:r w:rsidRPr="00866E98">
        <w:rPr>
          <w:rFonts w:ascii="Arial" w:hAnsi="Arial" w:cs="Arial"/>
          <w:sz w:val="24"/>
          <w:szCs w:val="24"/>
          <w:lang w:eastAsia="en-GB"/>
        </w:rPr>
        <w:t>While Hilton Worldwide does take steps to be sustainable, its waste, energy and complete-environmental practices are lacking. These gaps can be filled with a full-fledged waste reduction programme, which this report recommends. The plan consists of multiple actions: standard waste management systems, composting bins on-site, supplier communication for packaging waste reduction and guest education for sustainability behaviour</w:t>
      </w:r>
      <w:r w:rsidR="009211D5" w:rsidRPr="00866E98">
        <w:rPr>
          <w:rFonts w:ascii="Arial" w:hAnsi="Arial" w:cs="Arial"/>
          <w:sz w:val="24"/>
          <w:szCs w:val="24"/>
          <w:lang w:eastAsia="en-GB"/>
        </w:rPr>
        <w:t xml:space="preserve"> (Batabyal, 2018)</w:t>
      </w:r>
      <w:r w:rsidRPr="00866E98">
        <w:rPr>
          <w:rFonts w:ascii="Arial" w:hAnsi="Arial" w:cs="Arial"/>
          <w:sz w:val="24"/>
          <w:szCs w:val="24"/>
          <w:lang w:eastAsia="en-GB"/>
        </w:rPr>
        <w:t>. Recycling of plastic, paper and glass would be handled by waste segregation; composting facilities would deal with organics, making healthy, garden-enhancing compost. Co-operation with suppliers might reduce packaging, while recycling bins and promotional materials in rooms might enlist guests’ involvement in the sustainability journey</w:t>
      </w:r>
      <w:r w:rsidR="009211D5" w:rsidRPr="00866E98">
        <w:rPr>
          <w:rFonts w:ascii="Arial" w:hAnsi="Arial" w:cs="Arial"/>
          <w:sz w:val="24"/>
          <w:szCs w:val="24"/>
          <w:lang w:eastAsia="en-GB"/>
        </w:rPr>
        <w:t xml:space="preserve"> (</w:t>
      </w:r>
      <w:r w:rsidR="009211D5" w:rsidRPr="00866E98">
        <w:rPr>
          <w:rFonts w:ascii="Arial" w:hAnsi="Arial" w:cs="Arial"/>
          <w:sz w:val="24"/>
          <w:szCs w:val="24"/>
          <w:lang w:eastAsia="en-GB"/>
        </w:rPr>
        <w:t>Dani, Tiwari, and Negi,</w:t>
      </w:r>
      <w:r w:rsidR="009211D5" w:rsidRPr="00866E98">
        <w:rPr>
          <w:rFonts w:ascii="Arial" w:hAnsi="Arial" w:cs="Arial"/>
          <w:sz w:val="24"/>
          <w:szCs w:val="24"/>
          <w:lang w:eastAsia="en-GB"/>
        </w:rPr>
        <w:t xml:space="preserve"> </w:t>
      </w:r>
      <w:r w:rsidR="009211D5" w:rsidRPr="00866E98">
        <w:rPr>
          <w:rFonts w:ascii="Arial" w:hAnsi="Arial" w:cs="Arial"/>
          <w:sz w:val="24"/>
          <w:szCs w:val="24"/>
          <w:lang w:eastAsia="en-GB"/>
        </w:rPr>
        <w:t>2021</w:t>
      </w:r>
      <w:r w:rsidR="009211D5" w:rsidRPr="00866E98">
        <w:rPr>
          <w:rFonts w:ascii="Arial" w:hAnsi="Arial" w:cs="Arial"/>
          <w:sz w:val="24"/>
          <w:szCs w:val="24"/>
          <w:lang w:eastAsia="en-GB"/>
        </w:rPr>
        <w:t>)</w:t>
      </w:r>
      <w:r w:rsidRPr="00866E98">
        <w:rPr>
          <w:rFonts w:ascii="Arial" w:hAnsi="Arial" w:cs="Arial"/>
          <w:sz w:val="24"/>
          <w:szCs w:val="24"/>
          <w:lang w:eastAsia="en-GB"/>
        </w:rPr>
        <w:t>.</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This is a program that is well-informed by the triple bottom line model, which emphasises the triple value proposition (people, planet and profit). The programme saves landfill space, which reduces greenhouse gas emissions and saves resources. </w:t>
      </w:r>
      <w:r w:rsidR="009211D5" w:rsidRPr="00866E98">
        <w:rPr>
          <w:rFonts w:ascii="Arial" w:hAnsi="Arial" w:cs="Arial"/>
          <w:sz w:val="24"/>
          <w:szCs w:val="24"/>
          <w:lang w:eastAsia="en-GB"/>
        </w:rPr>
        <w:t>It is</w:t>
      </w:r>
      <w:r w:rsidRPr="00866E98">
        <w:rPr>
          <w:rFonts w:ascii="Arial" w:hAnsi="Arial" w:cs="Arial"/>
          <w:sz w:val="24"/>
          <w:szCs w:val="24"/>
          <w:lang w:eastAsia="en-GB"/>
        </w:rPr>
        <w:t xml:space="preserve"> socially responsible for staff and visitors while being economic: reducing waste disposal costs and earning money from the recycled contents. It is also in the interest of the circular economy by encouraging reuse, recycling, and resource preservation instead of the "take-make-dispose" system (</w:t>
      </w:r>
      <w:r w:rsidR="009211D5" w:rsidRPr="00866E98">
        <w:rPr>
          <w:rFonts w:ascii="Arial" w:hAnsi="Arial" w:cs="Arial"/>
          <w:sz w:val="24"/>
          <w:szCs w:val="24"/>
          <w:lang w:eastAsia="en-GB"/>
        </w:rPr>
        <w:t>Ozturkoglu, Sari, and Saygili, 2021</w:t>
      </w:r>
      <w:r w:rsidRPr="00866E98">
        <w:rPr>
          <w:rFonts w:ascii="Arial" w:hAnsi="Arial" w:cs="Arial"/>
          <w:sz w:val="24"/>
          <w:szCs w:val="24"/>
          <w:lang w:eastAsia="en-GB"/>
        </w:rPr>
        <w:t>). With Hilton’s global reach, this initiative can be scaled to the local variation, while still meeting the key missing areas of resource management (Quintás et al., 2023).</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There are good examples of successful waste minimisation efforts in hotels such as Marriott International and AccorHotels. The "Serve 360" campaign by Marriott is dedicated to eliminating waste by 45% by 2025 through waste audits, recycling and composting. Marriott is working directly with communities and partners to improve waste collection – an example of a transparent sustainability agenda </w:t>
      </w:r>
      <w:r w:rsidR="009211D5" w:rsidRPr="00866E98">
        <w:rPr>
          <w:rFonts w:ascii="Arial" w:hAnsi="Arial" w:cs="Arial"/>
          <w:sz w:val="24"/>
          <w:szCs w:val="24"/>
          <w:lang w:eastAsia="en-GB"/>
        </w:rPr>
        <w:t>(Marriott International, 2023)</w:t>
      </w:r>
      <w:r w:rsidR="009211D5" w:rsidRPr="00866E98">
        <w:rPr>
          <w:rFonts w:ascii="Arial" w:hAnsi="Arial" w:cs="Arial"/>
          <w:sz w:val="24"/>
          <w:szCs w:val="24"/>
          <w:lang w:eastAsia="en-GB"/>
        </w:rPr>
        <w:t xml:space="preserve">. </w:t>
      </w:r>
      <w:r w:rsidRPr="00866E98">
        <w:rPr>
          <w:rFonts w:ascii="Arial" w:hAnsi="Arial" w:cs="Arial"/>
          <w:sz w:val="24"/>
          <w:szCs w:val="24"/>
          <w:lang w:eastAsia="en-GB"/>
        </w:rPr>
        <w:t>To participate in AccorHotels’ "Planet 21", they eliminate single-use plastics, and eliminate their food waste by working with food banks and composting stations (Accor, 20</w:t>
      </w:r>
      <w:r w:rsidR="009211D5" w:rsidRPr="00866E98">
        <w:rPr>
          <w:rFonts w:ascii="Arial" w:hAnsi="Arial" w:cs="Arial"/>
          <w:sz w:val="24"/>
          <w:szCs w:val="24"/>
          <w:lang w:eastAsia="en-GB"/>
        </w:rPr>
        <w:t>21</w:t>
      </w:r>
      <w:r w:rsidRPr="00866E98">
        <w:rPr>
          <w:rFonts w:ascii="Arial" w:hAnsi="Arial" w:cs="Arial"/>
          <w:sz w:val="24"/>
          <w:szCs w:val="24"/>
          <w:lang w:eastAsia="en-GB"/>
        </w:rPr>
        <w:t>).</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There are some lessons to be taken away from these implementations. Staff training is integral to the success of waste management and keeping properties the same. Second, the impact of such projects is amplified through stakeholder engagement (visitors, staff and communities). </w:t>
      </w:r>
      <w:r w:rsidR="009211D5" w:rsidRPr="00866E98">
        <w:rPr>
          <w:rFonts w:ascii="Arial" w:hAnsi="Arial" w:cs="Arial"/>
          <w:sz w:val="24"/>
          <w:szCs w:val="24"/>
          <w:lang w:eastAsia="en-GB"/>
        </w:rPr>
        <w:t>Hotels need</w:t>
      </w:r>
      <w:r w:rsidRPr="00866E98">
        <w:rPr>
          <w:rFonts w:ascii="Arial" w:hAnsi="Arial" w:cs="Arial"/>
          <w:sz w:val="24"/>
          <w:szCs w:val="24"/>
          <w:lang w:eastAsia="en-GB"/>
        </w:rPr>
        <w:t xml:space="preserve"> constant monitoring and auditing to know where things are going well and what can be done better. But if inconsistent implementation between properties and lack of infrastructure is present in certain areas, this could derail the program</w:t>
      </w:r>
      <w:r w:rsidR="008448BD" w:rsidRPr="00866E98">
        <w:rPr>
          <w:rFonts w:ascii="Arial" w:hAnsi="Arial" w:cs="Arial"/>
          <w:sz w:val="24"/>
          <w:szCs w:val="24"/>
          <w:lang w:eastAsia="en-GB"/>
        </w:rPr>
        <w:t xml:space="preserve"> (Inkson and Minnaert, 2018).</w:t>
      </w:r>
      <w:r w:rsidRPr="00866E98">
        <w:rPr>
          <w:rFonts w:ascii="Arial" w:hAnsi="Arial" w:cs="Arial"/>
          <w:sz w:val="24"/>
          <w:szCs w:val="24"/>
          <w:lang w:eastAsia="en-GB"/>
        </w:rPr>
        <w:t xml:space="preserve"> </w:t>
      </w:r>
      <w:r w:rsidR="009211D5" w:rsidRPr="00866E98">
        <w:rPr>
          <w:rFonts w:ascii="Arial" w:hAnsi="Arial" w:cs="Arial"/>
          <w:sz w:val="24"/>
          <w:szCs w:val="24"/>
          <w:lang w:eastAsia="en-GB"/>
        </w:rPr>
        <w:t>It is</w:t>
      </w:r>
      <w:r w:rsidRPr="00866E98">
        <w:rPr>
          <w:rFonts w:ascii="Arial" w:hAnsi="Arial" w:cs="Arial"/>
          <w:sz w:val="24"/>
          <w:szCs w:val="24"/>
          <w:lang w:eastAsia="en-GB"/>
        </w:rPr>
        <w:t xml:space="preserve"> important to have guests, but there might need to be more education and engagement work.</w:t>
      </w:r>
      <w:r w:rsidRPr="00866E98">
        <w:rPr>
          <w:rFonts w:ascii="Arial" w:hAnsi="Arial" w:cs="Arial"/>
          <w:sz w:val="24"/>
          <w:szCs w:val="24"/>
        </w:rPr>
        <w:t xml:space="preserve"> </w:t>
      </w:r>
      <w:r w:rsidRPr="00866E98">
        <w:rPr>
          <w:rFonts w:ascii="Arial" w:hAnsi="Arial" w:cs="Arial"/>
          <w:sz w:val="24"/>
          <w:szCs w:val="24"/>
          <w:lang w:eastAsia="en-GB"/>
        </w:rPr>
        <w:t>The environmental dividends of this initiative are deep. Effortful waste minimisation cuts landfill’s footprint, which cut methane emissions, a potent greenhouse gas. Reuse conserves nature by minimizing the ecological costs of extracting and processing raw materials. Composting at home results in nutrient-rich landscaping soil, with no need for chemical fertilisers and a more ecologically balanced landscape (</w:t>
      </w:r>
      <w:r w:rsidR="008448BD" w:rsidRPr="00866E98">
        <w:rPr>
          <w:rFonts w:ascii="Arial" w:hAnsi="Arial" w:cs="Arial"/>
          <w:sz w:val="24"/>
          <w:szCs w:val="24"/>
          <w:lang w:eastAsia="en-GB"/>
        </w:rPr>
        <w:t>GOV, 2024</w:t>
      </w:r>
      <w:r w:rsidRPr="00866E98">
        <w:rPr>
          <w:rFonts w:ascii="Arial" w:hAnsi="Arial" w:cs="Arial"/>
          <w:sz w:val="24"/>
          <w:szCs w:val="24"/>
          <w:lang w:eastAsia="en-GB"/>
        </w:rPr>
        <w:t>). This whole approach makes Hilton’s environmental impact significantly smaller, which helps it to meet global sustainability targets.</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Cost-effectively, less waste saves money by saving on the cost of disposing of waste. Recyclables can be sold for extra revenue and better brand recognition will draw in eco-friendly travellers willing to pay a premium for sustainable accommodations </w:t>
      </w:r>
      <w:r w:rsidR="008448BD" w:rsidRPr="00866E98">
        <w:rPr>
          <w:rFonts w:ascii="Arial" w:hAnsi="Arial" w:cs="Arial"/>
          <w:sz w:val="24"/>
          <w:szCs w:val="24"/>
          <w:lang w:eastAsia="en-GB"/>
        </w:rPr>
        <w:t>(White, Hardisty and Habib, 2019)</w:t>
      </w:r>
      <w:r w:rsidR="008448BD" w:rsidRPr="00866E98">
        <w:rPr>
          <w:rFonts w:ascii="Arial" w:hAnsi="Arial" w:cs="Arial"/>
          <w:sz w:val="24"/>
          <w:szCs w:val="24"/>
          <w:lang w:eastAsia="en-GB"/>
        </w:rPr>
        <w:t xml:space="preserve">. </w:t>
      </w:r>
      <w:r w:rsidRPr="00866E98">
        <w:rPr>
          <w:rFonts w:ascii="Arial" w:hAnsi="Arial" w:cs="Arial"/>
          <w:sz w:val="24"/>
          <w:szCs w:val="24"/>
          <w:lang w:eastAsia="en-GB"/>
        </w:rPr>
        <w:t>And sustainable solutions can also lead to more efficient operation, minimizing long-term expenses of waste disposal and resource usage. Buying into environmentally aware customers also puts Hilton ahead of the curve in a new market segment that is increasingly focused on sustainability (</w:t>
      </w:r>
      <w:r w:rsidR="008448BD" w:rsidRPr="00866E98">
        <w:rPr>
          <w:rFonts w:ascii="Arial" w:hAnsi="Arial" w:cs="Arial"/>
          <w:sz w:val="24"/>
          <w:szCs w:val="24"/>
          <w:lang w:eastAsia="en-GB"/>
        </w:rPr>
        <w:t>Cooper, 2021</w:t>
      </w:r>
      <w:r w:rsidRPr="00866E98">
        <w:rPr>
          <w:rFonts w:ascii="Arial" w:hAnsi="Arial" w:cs="Arial"/>
          <w:sz w:val="24"/>
          <w:szCs w:val="24"/>
          <w:lang w:eastAsia="en-GB"/>
        </w:rPr>
        <w:t>).</w:t>
      </w:r>
      <w:r w:rsidRPr="00866E98">
        <w:rPr>
          <w:rFonts w:ascii="Arial" w:hAnsi="Arial" w:cs="Arial"/>
          <w:sz w:val="24"/>
          <w:szCs w:val="24"/>
          <w:lang w:eastAsia="en-GB"/>
        </w:rPr>
        <w:t xml:space="preserve"> </w:t>
      </w:r>
      <w:r w:rsidRPr="00866E98">
        <w:rPr>
          <w:rFonts w:ascii="Arial" w:hAnsi="Arial" w:cs="Arial"/>
          <w:sz w:val="24"/>
          <w:szCs w:val="24"/>
          <w:lang w:eastAsia="en-GB"/>
        </w:rPr>
        <w:t>Socially, the plan adds value to the guests by providing a product that is in line with the demands of eco-travellers. And employees, too, are inspired and proud of taking a role in environmental stewardship, thus increasing job satisfaction and morale. Retention with local communities through waste and composting projects are a win-win relationship, benefitting the local economy and furthering Hilton’s status as a social enterprise. They support the triple bottom line – people, planet and profit</w:t>
      </w:r>
      <w:r w:rsidR="008448BD" w:rsidRPr="00866E98">
        <w:rPr>
          <w:rFonts w:ascii="Arial" w:hAnsi="Arial" w:cs="Arial"/>
          <w:sz w:val="24"/>
          <w:szCs w:val="24"/>
          <w:lang w:eastAsia="en-GB"/>
        </w:rPr>
        <w:t xml:space="preserve"> (Hamrouni et al., 2023)</w:t>
      </w:r>
      <w:r w:rsidRPr="00866E98">
        <w:rPr>
          <w:rFonts w:ascii="Arial" w:hAnsi="Arial" w:cs="Arial"/>
          <w:sz w:val="24"/>
          <w:szCs w:val="24"/>
          <w:lang w:eastAsia="en-GB"/>
        </w:rPr>
        <w:t>.</w:t>
      </w:r>
      <w:r w:rsidRPr="00866E98">
        <w:rPr>
          <w:rFonts w:ascii="Arial" w:hAnsi="Arial" w:cs="Arial"/>
          <w:sz w:val="24"/>
          <w:szCs w:val="24"/>
        </w:rPr>
        <w:t xml:space="preserve"> </w:t>
      </w:r>
      <w:r w:rsidRPr="00866E98">
        <w:rPr>
          <w:rFonts w:ascii="Arial" w:hAnsi="Arial" w:cs="Arial"/>
          <w:sz w:val="24"/>
          <w:szCs w:val="24"/>
          <w:lang w:eastAsia="en-GB"/>
        </w:rPr>
        <w:t xml:space="preserve">However desirable it might be, running an entire waste-reduction programme comes with several operational issues. Establishing a system for segregation, recycling and composting takes upfront investment in equipment and facilities. These fees, in combination with employee training courses, are big upfront costs. It could also be complicated by local regulations and waste disposal infrastructure differences among Hilton’s properties around the world to standardize practices. </w:t>
      </w:r>
      <w:r w:rsidR="008448BD" w:rsidRPr="00866E98">
        <w:rPr>
          <w:rFonts w:ascii="Arial" w:hAnsi="Arial" w:cs="Arial"/>
          <w:sz w:val="24"/>
          <w:szCs w:val="24"/>
          <w:lang w:eastAsia="en-GB"/>
        </w:rPr>
        <w:t>However, if a</w:t>
      </w:r>
      <w:r w:rsidRPr="00866E98">
        <w:rPr>
          <w:rFonts w:ascii="Arial" w:hAnsi="Arial" w:cs="Arial"/>
          <w:sz w:val="24"/>
          <w:szCs w:val="24"/>
          <w:lang w:eastAsia="en-GB"/>
        </w:rPr>
        <w:t>n area doe</w:t>
      </w:r>
      <w:r w:rsidR="008448BD" w:rsidRPr="00866E98">
        <w:rPr>
          <w:rFonts w:ascii="Arial" w:hAnsi="Arial" w:cs="Arial"/>
          <w:sz w:val="24"/>
          <w:szCs w:val="24"/>
          <w:lang w:eastAsia="en-GB"/>
        </w:rPr>
        <w:t>s not</w:t>
      </w:r>
      <w:r w:rsidRPr="00866E98">
        <w:rPr>
          <w:rFonts w:ascii="Arial" w:hAnsi="Arial" w:cs="Arial"/>
          <w:sz w:val="24"/>
          <w:szCs w:val="24"/>
          <w:lang w:eastAsia="en-GB"/>
        </w:rPr>
        <w:t xml:space="preserve"> have recycling or composting facilities, a more complicated, and expensive, alternative will have to be considered</w:t>
      </w:r>
      <w:r w:rsidR="008448BD" w:rsidRPr="00866E98">
        <w:rPr>
          <w:rFonts w:ascii="Arial" w:hAnsi="Arial" w:cs="Arial"/>
          <w:sz w:val="24"/>
          <w:szCs w:val="24"/>
          <w:lang w:eastAsia="en-GB"/>
        </w:rPr>
        <w:t xml:space="preserve"> (Lucic, 2020)</w:t>
      </w:r>
      <w:r w:rsidRPr="00866E98">
        <w:rPr>
          <w:rFonts w:ascii="Arial" w:hAnsi="Arial" w:cs="Arial"/>
          <w:sz w:val="24"/>
          <w:szCs w:val="24"/>
          <w:lang w:eastAsia="en-GB"/>
        </w:rPr>
        <w:t>.</w:t>
      </w:r>
      <w:r w:rsidRPr="00866E98">
        <w:rPr>
          <w:rFonts w:ascii="Arial" w:hAnsi="Arial" w:cs="Arial"/>
          <w:sz w:val="24"/>
          <w:szCs w:val="24"/>
          <w:lang w:eastAsia="en-GB"/>
        </w:rPr>
        <w:t xml:space="preserve"> </w:t>
      </w:r>
      <w:r w:rsidRPr="00866E98">
        <w:rPr>
          <w:rFonts w:ascii="Arial" w:hAnsi="Arial" w:cs="Arial"/>
          <w:sz w:val="24"/>
          <w:szCs w:val="24"/>
          <w:lang w:eastAsia="en-GB"/>
        </w:rPr>
        <w:t>There is also greenwashing to keep in mind. Believing in or marketing sustainability activities excessively can be deceiving to consumers and damage Hilton’s brand. This needs to be mitigated by making the company transparent and accountable, by clearly stating achievable and measurable objectives, sharing results on a regular basis, and obtaining third-party certifications as a means of verifying the work</w:t>
      </w:r>
      <w:r w:rsidR="008448BD" w:rsidRPr="00866E98">
        <w:rPr>
          <w:rFonts w:ascii="Arial" w:hAnsi="Arial" w:cs="Arial"/>
          <w:sz w:val="24"/>
          <w:szCs w:val="24"/>
          <w:lang w:eastAsia="en-GB"/>
        </w:rPr>
        <w:t xml:space="preserve"> (Sharma et al., 2022)</w:t>
      </w:r>
      <w:r w:rsidRPr="00866E98">
        <w:rPr>
          <w:rFonts w:ascii="Arial" w:hAnsi="Arial" w:cs="Arial"/>
          <w:sz w:val="24"/>
          <w:szCs w:val="24"/>
          <w:lang w:eastAsia="en-GB"/>
        </w:rPr>
        <w:t xml:space="preserve">. </w:t>
      </w:r>
      <w:r w:rsidR="008448BD" w:rsidRPr="00866E98">
        <w:rPr>
          <w:rFonts w:ascii="Arial" w:hAnsi="Arial" w:cs="Arial"/>
          <w:sz w:val="24"/>
          <w:szCs w:val="24"/>
          <w:lang w:eastAsia="en-GB"/>
        </w:rPr>
        <w:t>Consequently</w:t>
      </w:r>
      <w:r w:rsidRPr="00866E98">
        <w:rPr>
          <w:rFonts w:ascii="Arial" w:hAnsi="Arial" w:cs="Arial"/>
          <w:sz w:val="24"/>
          <w:szCs w:val="24"/>
          <w:lang w:eastAsia="en-GB"/>
        </w:rPr>
        <w:t xml:space="preserve"> too must greenhushing, – that is, withholding information about true sustainability work to stay out of the spotlight – it undermines stakeholder participation and make good work more hidden (</w:t>
      </w:r>
      <w:r w:rsidR="008448BD" w:rsidRPr="00866E98">
        <w:rPr>
          <w:rFonts w:ascii="Arial" w:hAnsi="Arial" w:cs="Arial"/>
          <w:sz w:val="24"/>
          <w:szCs w:val="24"/>
          <w:lang w:eastAsia="en-GB"/>
        </w:rPr>
        <w:t>Fennel, 2021</w:t>
      </w:r>
      <w:r w:rsidRPr="00866E98">
        <w:rPr>
          <w:rFonts w:ascii="Arial" w:hAnsi="Arial" w:cs="Arial"/>
          <w:sz w:val="24"/>
          <w:szCs w:val="24"/>
          <w:lang w:eastAsia="en-GB"/>
        </w:rPr>
        <w:t>).</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Green programmes are often doubted, critics doubt whether they actually do any good. And in order to solve that, Hilton has to be able to have a </w:t>
      </w:r>
      <w:r w:rsidR="008448BD" w:rsidRPr="00866E98">
        <w:rPr>
          <w:rFonts w:ascii="Arial" w:hAnsi="Arial" w:cs="Arial"/>
          <w:sz w:val="24"/>
          <w:szCs w:val="24"/>
          <w:lang w:eastAsia="en-GB"/>
        </w:rPr>
        <w:t>open</w:t>
      </w:r>
      <w:r w:rsidRPr="00866E98">
        <w:rPr>
          <w:rFonts w:ascii="Arial" w:hAnsi="Arial" w:cs="Arial"/>
          <w:sz w:val="24"/>
          <w:szCs w:val="24"/>
          <w:lang w:eastAsia="en-GB"/>
        </w:rPr>
        <w:t xml:space="preserve"> discussion with stakeholders about success and failure in a very clear way. By showing quantifiable results — like decreased waste and emissions — Hilton can </w:t>
      </w:r>
      <w:r w:rsidR="00866E98" w:rsidRPr="00866E98">
        <w:rPr>
          <w:rFonts w:ascii="Arial" w:hAnsi="Arial" w:cs="Arial"/>
          <w:sz w:val="24"/>
          <w:szCs w:val="24"/>
          <w:lang w:eastAsia="en-GB"/>
        </w:rPr>
        <w:t>show</w:t>
      </w:r>
      <w:r w:rsidRPr="00866E98">
        <w:rPr>
          <w:rFonts w:ascii="Arial" w:hAnsi="Arial" w:cs="Arial"/>
          <w:sz w:val="24"/>
          <w:szCs w:val="24"/>
          <w:lang w:eastAsia="en-GB"/>
        </w:rPr>
        <w:t xml:space="preserve"> legitimacy and prove that it really does care about sustainability.</w:t>
      </w:r>
    </w:p>
    <w:p w14:paraId="330E01A4" w14:textId="365A0561" w:rsidR="00E374FD" w:rsidRPr="00866E98" w:rsidRDefault="00E374FD" w:rsidP="00E374FD">
      <w:pPr>
        <w:pStyle w:val="EU"/>
        <w:spacing w:line="360" w:lineRule="auto"/>
        <w:rPr>
          <w:color w:val="auto"/>
        </w:rPr>
      </w:pPr>
      <w:bookmarkStart w:id="4" w:name="_Toc182573854"/>
      <w:r w:rsidRPr="00866E98">
        <w:rPr>
          <w:color w:val="auto"/>
        </w:rPr>
        <w:t>Conclusion</w:t>
      </w:r>
      <w:bookmarkEnd w:id="4"/>
      <w:r w:rsidRPr="00866E98">
        <w:rPr>
          <w:color w:val="auto"/>
        </w:rPr>
        <w:t xml:space="preserve"> </w:t>
      </w:r>
    </w:p>
    <w:p w14:paraId="057DF6B4" w14:textId="772E6A70" w:rsidR="00E374FD" w:rsidRPr="00866E98" w:rsidRDefault="00E374FD" w:rsidP="00E374FD">
      <w:pPr>
        <w:spacing w:line="360" w:lineRule="auto"/>
        <w:jc w:val="both"/>
        <w:rPr>
          <w:rFonts w:ascii="Arial" w:hAnsi="Arial" w:cs="Arial"/>
          <w:sz w:val="24"/>
          <w:szCs w:val="24"/>
          <w:lang w:eastAsia="en-GB"/>
        </w:rPr>
      </w:pPr>
      <w:r w:rsidRPr="00866E98">
        <w:rPr>
          <w:rFonts w:ascii="Arial" w:hAnsi="Arial" w:cs="Arial"/>
          <w:sz w:val="24"/>
          <w:szCs w:val="24"/>
          <w:lang w:eastAsia="en-GB"/>
        </w:rPr>
        <w:t>Hilton Worldwide’s sustainability failures highlight unavoidable waste and energy waste and water exploitation flaws as well as greenwashing allegations that harm its reputation and competitive advantage. To address them we need to engage in whole-systems approaches such as waste reduction programmes that are on the triple bottom line and offer environmental, economic and social benefits. These measures will not only cut the carbon footprint of the organization but also increase operational efficiency, guest satisfaction, and brand loyalty. But, for this to work, there needs to be transparency, property-level consistency and stakeholder integration. Learning from other best practices and establishing clear and quantifiable sustainability objectives will help Hilton maintain its reputation as a pioneer in responsible tourism. By addressing these directly, Hilton will be able to achieve the distinction between corporate messaging and actual environmental footprint, meet international sustainability regulations, and build long-term resilience in an increasingly green market.</w:t>
      </w:r>
    </w:p>
    <w:p w14:paraId="36EB4142" w14:textId="77777777" w:rsidR="00E374FD" w:rsidRDefault="00E374FD" w:rsidP="00E374FD">
      <w:pPr>
        <w:spacing w:line="360" w:lineRule="auto"/>
        <w:jc w:val="both"/>
        <w:rPr>
          <w:rFonts w:ascii="Arial" w:hAnsi="Arial" w:cs="Arial"/>
          <w:sz w:val="24"/>
          <w:szCs w:val="24"/>
          <w:lang w:eastAsia="en-GB"/>
        </w:rPr>
      </w:pPr>
    </w:p>
    <w:p w14:paraId="209165B1" w14:textId="77777777" w:rsidR="00E374FD" w:rsidRDefault="00E374FD" w:rsidP="00E374FD">
      <w:pPr>
        <w:spacing w:line="360" w:lineRule="auto"/>
        <w:jc w:val="both"/>
        <w:rPr>
          <w:rFonts w:ascii="Arial" w:hAnsi="Arial" w:cs="Arial"/>
          <w:sz w:val="24"/>
          <w:szCs w:val="24"/>
          <w:lang w:eastAsia="en-GB"/>
        </w:rPr>
      </w:pPr>
    </w:p>
    <w:p w14:paraId="1411B27F" w14:textId="77777777" w:rsidR="00E374FD" w:rsidRDefault="00E374FD" w:rsidP="00E374FD">
      <w:pPr>
        <w:spacing w:line="360" w:lineRule="auto"/>
        <w:jc w:val="both"/>
        <w:rPr>
          <w:rFonts w:ascii="Arial" w:hAnsi="Arial" w:cs="Arial"/>
          <w:sz w:val="24"/>
          <w:szCs w:val="24"/>
          <w:lang w:eastAsia="en-GB"/>
        </w:rPr>
      </w:pPr>
    </w:p>
    <w:p w14:paraId="4D14FA30" w14:textId="77777777" w:rsidR="00E374FD" w:rsidRDefault="00E374FD" w:rsidP="00E374FD">
      <w:pPr>
        <w:spacing w:line="360" w:lineRule="auto"/>
        <w:jc w:val="both"/>
        <w:rPr>
          <w:rFonts w:ascii="Arial" w:hAnsi="Arial" w:cs="Arial"/>
          <w:sz w:val="24"/>
          <w:szCs w:val="24"/>
          <w:lang w:eastAsia="en-GB"/>
        </w:rPr>
      </w:pPr>
    </w:p>
    <w:p w14:paraId="739B77FF" w14:textId="77777777" w:rsidR="00E374FD" w:rsidRDefault="00E374FD" w:rsidP="00E374FD">
      <w:pPr>
        <w:spacing w:line="360" w:lineRule="auto"/>
        <w:jc w:val="both"/>
        <w:rPr>
          <w:rFonts w:ascii="Arial" w:hAnsi="Arial" w:cs="Arial"/>
          <w:sz w:val="24"/>
          <w:szCs w:val="24"/>
          <w:lang w:eastAsia="en-GB"/>
        </w:rPr>
      </w:pPr>
    </w:p>
    <w:p w14:paraId="6983B033" w14:textId="77777777" w:rsidR="00E374FD" w:rsidRDefault="00E374FD" w:rsidP="00E374FD">
      <w:pPr>
        <w:spacing w:line="360" w:lineRule="auto"/>
        <w:jc w:val="both"/>
        <w:rPr>
          <w:rFonts w:ascii="Arial" w:hAnsi="Arial" w:cs="Arial"/>
          <w:sz w:val="24"/>
          <w:szCs w:val="24"/>
          <w:lang w:eastAsia="en-GB"/>
        </w:rPr>
      </w:pPr>
    </w:p>
    <w:p w14:paraId="5EE06EF2" w14:textId="77777777" w:rsidR="00E374FD" w:rsidRDefault="00E374FD" w:rsidP="00E374FD">
      <w:pPr>
        <w:spacing w:line="360" w:lineRule="auto"/>
        <w:jc w:val="both"/>
        <w:rPr>
          <w:rFonts w:ascii="Arial" w:hAnsi="Arial" w:cs="Arial"/>
          <w:sz w:val="24"/>
          <w:szCs w:val="24"/>
          <w:lang w:eastAsia="en-GB"/>
        </w:rPr>
      </w:pPr>
    </w:p>
    <w:p w14:paraId="0B64BAA1" w14:textId="77777777" w:rsidR="00E374FD" w:rsidRDefault="00E374FD" w:rsidP="00E374FD">
      <w:pPr>
        <w:spacing w:line="360" w:lineRule="auto"/>
        <w:jc w:val="both"/>
        <w:rPr>
          <w:rFonts w:ascii="Arial" w:hAnsi="Arial" w:cs="Arial"/>
          <w:sz w:val="24"/>
          <w:szCs w:val="24"/>
          <w:lang w:eastAsia="en-GB"/>
        </w:rPr>
      </w:pPr>
    </w:p>
    <w:p w14:paraId="041E887A" w14:textId="77777777" w:rsidR="00E374FD" w:rsidRDefault="00E374FD" w:rsidP="00E374FD">
      <w:pPr>
        <w:spacing w:line="360" w:lineRule="auto"/>
        <w:jc w:val="both"/>
        <w:rPr>
          <w:rFonts w:ascii="Arial" w:hAnsi="Arial" w:cs="Arial"/>
          <w:sz w:val="24"/>
          <w:szCs w:val="24"/>
          <w:lang w:eastAsia="en-GB"/>
        </w:rPr>
      </w:pPr>
    </w:p>
    <w:p w14:paraId="4B602E2E" w14:textId="77777777" w:rsidR="00E374FD" w:rsidRDefault="00E374FD" w:rsidP="00E374FD">
      <w:pPr>
        <w:spacing w:line="360" w:lineRule="auto"/>
        <w:jc w:val="both"/>
        <w:rPr>
          <w:rFonts w:ascii="Arial" w:hAnsi="Arial" w:cs="Arial"/>
          <w:sz w:val="24"/>
          <w:szCs w:val="24"/>
          <w:lang w:eastAsia="en-GB"/>
        </w:rPr>
      </w:pPr>
    </w:p>
    <w:p w14:paraId="5BF2FEAC" w14:textId="77777777" w:rsidR="00E374FD" w:rsidRPr="00866E98" w:rsidRDefault="00E374FD" w:rsidP="00866E98">
      <w:pPr>
        <w:spacing w:line="360" w:lineRule="auto"/>
        <w:jc w:val="both"/>
        <w:rPr>
          <w:rFonts w:ascii="Arial" w:hAnsi="Arial" w:cs="Arial"/>
          <w:sz w:val="24"/>
          <w:szCs w:val="24"/>
          <w:lang w:eastAsia="en-GB"/>
        </w:rPr>
      </w:pPr>
    </w:p>
    <w:p w14:paraId="6794FC59" w14:textId="114AB5AA" w:rsidR="00867A80" w:rsidRPr="00866E98" w:rsidRDefault="00E374FD" w:rsidP="00866E98">
      <w:pPr>
        <w:pStyle w:val="EU"/>
        <w:spacing w:line="360" w:lineRule="auto"/>
        <w:rPr>
          <w:color w:val="auto"/>
        </w:rPr>
      </w:pPr>
      <w:bookmarkStart w:id="5" w:name="_Toc182573855"/>
      <w:r w:rsidRPr="00866E98">
        <w:rPr>
          <w:color w:val="auto"/>
        </w:rPr>
        <w:t>References</w:t>
      </w:r>
      <w:bookmarkEnd w:id="5"/>
    </w:p>
    <w:p w14:paraId="2AFF4BE7" w14:textId="77777777" w:rsidR="00867A80" w:rsidRPr="00866E98" w:rsidRDefault="00867A8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Abdou, A.H., Hassan, T.H. and Dief, M.M.E. (2020). A Description of Green Hotel Practices and Their Role in Achieving Sustainable Development. Sustainability, [online] 12(22), p.9624. doi:https://doi.org/10.3390/su12229624.</w:t>
      </w:r>
    </w:p>
    <w:p w14:paraId="0A8D86EE" w14:textId="34326526"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Accor (2021). Together, let’s help restore our Earth. [online] group.accor.com. Available at: https://group.accor.com/en/Actualites/2021/04/world-earth-day.</w:t>
      </w:r>
    </w:p>
    <w:p w14:paraId="2B863DAD" w14:textId="775B6DAB"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Batabyal. (2018). Managing Sustainable Tourism Resources. IGI Global.</w:t>
      </w:r>
    </w:p>
    <w:p w14:paraId="5CFFE5CD" w14:textId="7CD21B36"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Clarke, J. (2024). Virgin Atlantic transatlantic advert banned for misleading consumers. [online] The Independent. Available at: https://www.independent.co.uk/travel/news-and-advice/virgin-atlantic-advert-complaint-sustainable-b2592105.html [Accessed 15 Nov. 2024].</w:t>
      </w:r>
    </w:p>
    <w:p w14:paraId="50136041" w14:textId="3C65DCCA"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Cooper, C. (2021) Essentials of tourism. Third edition. London: SAGE.</w:t>
      </w:r>
    </w:p>
    <w:p w14:paraId="6C3A7AAF" w14:textId="4B1605D5"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Costa, V. and Costa, C., 2022. Challenges in Times of Crisis and Pandemics in the Hospitality Industry: A Systematic Literature Review. Sustainability and Competitiveness in the Hospitality Industry, pp.1-22.</w:t>
      </w:r>
    </w:p>
    <w:p w14:paraId="03227F2A" w14:textId="18D7B9CA"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Dani, R., Tiwari, K. and Negi, P., 2021. Ecological approach towards sustainability in hotel industry. Materials Today: Proceedings, 46, pp.10439-10442.</w:t>
      </w:r>
    </w:p>
    <w:p w14:paraId="13A8FAF3" w14:textId="730686D8" w:rsidR="00661974" w:rsidRPr="00866E98" w:rsidRDefault="00661974"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Edgell Sr, D.L., 2019. Managing sustainable tourism: A legacy for the future. Routledge.</w:t>
      </w:r>
    </w:p>
    <w:p w14:paraId="661CC7FD" w14:textId="5E24B5BF" w:rsidR="00866E98" w:rsidRPr="00866E98" w:rsidRDefault="00866E98"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Fennell, D.A. ed., 2021. Routledge Handbook of Ecotourism. Abingdon, UK: Routledge.</w:t>
      </w:r>
    </w:p>
    <w:p w14:paraId="04709AD4" w14:textId="3D634921" w:rsidR="00867A80" w:rsidRPr="00866E98" w:rsidRDefault="00867A8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Geissdoerfer, M., Savaget, P., Bocken, N.M. and Hultink, E.J., 2017. The Circular Economy–A new sustainability paradigm?. Journal of cleaner production, 143, pp.757-768.</w:t>
      </w:r>
    </w:p>
    <w:p w14:paraId="2D3FC273" w14:textId="6576A0A8"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 xml:space="preserve">GOV (2024). </w:t>
      </w:r>
      <w:r w:rsidRPr="00866E98">
        <w:rPr>
          <w:rFonts w:ascii="Arial" w:hAnsi="Arial" w:cs="Arial"/>
          <w:i/>
          <w:iCs/>
          <w:sz w:val="24"/>
          <w:szCs w:val="24"/>
          <w:lang w:eastAsia="en-GB"/>
        </w:rPr>
        <w:t>Reducing methane emissions to help combat climate change – Creating a better place</w:t>
      </w:r>
      <w:r w:rsidRPr="00866E98">
        <w:rPr>
          <w:rFonts w:ascii="Arial" w:hAnsi="Arial" w:cs="Arial"/>
          <w:sz w:val="24"/>
          <w:szCs w:val="24"/>
          <w:lang w:eastAsia="en-GB"/>
        </w:rPr>
        <w:t>. [online] Available at: https://environmentagency.blog.gov.uk/2024/04/10/reducing-methane-emissions-to-help-combat-climate-change/.</w:t>
      </w:r>
    </w:p>
    <w:p w14:paraId="5091B930" w14:textId="0A521A91"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Gov</w:t>
      </w:r>
      <w:r w:rsidRPr="00866E98">
        <w:rPr>
          <w:rFonts w:ascii="Arial" w:hAnsi="Arial" w:cs="Arial"/>
          <w:sz w:val="24"/>
          <w:szCs w:val="24"/>
          <w:lang w:eastAsia="en-GB"/>
        </w:rPr>
        <w:t xml:space="preserve"> </w:t>
      </w:r>
      <w:r w:rsidRPr="00866E98">
        <w:rPr>
          <w:rFonts w:ascii="Arial" w:hAnsi="Arial" w:cs="Arial"/>
          <w:sz w:val="24"/>
          <w:szCs w:val="24"/>
          <w:lang w:eastAsia="en-GB"/>
        </w:rPr>
        <w:t xml:space="preserve">UK (2024). ASOS, Boohoo and Asda: greenwashing investigation. [online] GOV.UK. Available at: </w:t>
      </w:r>
      <w:hyperlink r:id="rId6" w:history="1">
        <w:r w:rsidR="008448BD" w:rsidRPr="00866E98">
          <w:rPr>
            <w:rStyle w:val="Hyperlink"/>
            <w:rFonts w:ascii="Arial" w:hAnsi="Arial" w:cs="Arial"/>
            <w:color w:val="auto"/>
            <w:sz w:val="24"/>
            <w:szCs w:val="24"/>
            <w:lang w:eastAsia="en-GB"/>
          </w:rPr>
          <w:t>https://www.gov.uk/cma-cases/asos-boohoo-and-asda-greenwashing-investigation</w:t>
        </w:r>
      </w:hyperlink>
      <w:r w:rsidRPr="00866E98">
        <w:rPr>
          <w:rFonts w:ascii="Arial" w:hAnsi="Arial" w:cs="Arial"/>
          <w:sz w:val="24"/>
          <w:szCs w:val="24"/>
          <w:lang w:eastAsia="en-GB"/>
        </w:rPr>
        <w:t>.</w:t>
      </w:r>
    </w:p>
    <w:p w14:paraId="41F9E559" w14:textId="2C8DD8C3"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Hamrouni, A., Karaman, A.S., Kuzey, C. and Uyar, A., 2023. Ethical environment, accountability, and sustainability reporting: What is the connection in the hospitality and tourism industry?. Tourism Economics, 29(3), pp.664-695.</w:t>
      </w:r>
    </w:p>
    <w:p w14:paraId="2DC3B4C9" w14:textId="644ABF8F"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 xml:space="preserve">Hilton (2022). </w:t>
      </w:r>
      <w:r w:rsidRPr="00866E98">
        <w:rPr>
          <w:rFonts w:ascii="Arial" w:hAnsi="Arial" w:cs="Arial"/>
          <w:sz w:val="24"/>
          <w:szCs w:val="24"/>
          <w:lang w:eastAsia="en-GB"/>
        </w:rPr>
        <w:t>Hilton Worldwide, Inc. - Climate Change 2022</w:t>
      </w:r>
      <w:r w:rsidRPr="00866E98">
        <w:rPr>
          <w:rFonts w:ascii="Arial" w:hAnsi="Arial" w:cs="Arial"/>
          <w:sz w:val="24"/>
          <w:szCs w:val="24"/>
          <w:lang w:eastAsia="en-GB"/>
        </w:rPr>
        <w:t xml:space="preserve">. CDP. Available at: </w:t>
      </w:r>
      <w:r w:rsidRPr="00866E98">
        <w:rPr>
          <w:rFonts w:ascii="Arial" w:hAnsi="Arial" w:cs="Arial"/>
          <w:sz w:val="24"/>
          <w:szCs w:val="24"/>
          <w:lang w:eastAsia="en-GB"/>
        </w:rPr>
        <w:t>https://esg.hilton.com/wp-content/uploads/sites/4/2023/05/CDP-Climate-2022_Hilton-Worldwide.pdf</w:t>
      </w:r>
    </w:p>
    <w:p w14:paraId="2523108C" w14:textId="0FF38556" w:rsidR="00661974"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Hilton</w:t>
      </w:r>
      <w:r w:rsidR="00661974" w:rsidRPr="00866E98">
        <w:rPr>
          <w:rFonts w:ascii="Arial" w:hAnsi="Arial" w:cs="Arial"/>
          <w:sz w:val="24"/>
          <w:szCs w:val="24"/>
          <w:lang w:eastAsia="en-GB"/>
        </w:rPr>
        <w:t xml:space="preserve"> (2023). Travel with Purpose 2023 REPORT. [online] Available at: </w:t>
      </w:r>
      <w:hyperlink r:id="rId7" w:history="1">
        <w:r w:rsidRPr="00866E98">
          <w:rPr>
            <w:rStyle w:val="Hyperlink"/>
            <w:rFonts w:ascii="Arial" w:hAnsi="Arial" w:cs="Arial"/>
            <w:color w:val="auto"/>
            <w:sz w:val="24"/>
            <w:szCs w:val="24"/>
            <w:lang w:eastAsia="en-GB"/>
          </w:rPr>
          <w:t>https://esg.hilton.com/wp-content/uploads/sites/4/2024/05/2023-Travel-with-Purpose-Report-ADA-final.pdf</w:t>
        </w:r>
      </w:hyperlink>
      <w:r w:rsidR="00661974" w:rsidRPr="00866E98">
        <w:rPr>
          <w:rFonts w:ascii="Arial" w:hAnsi="Arial" w:cs="Arial"/>
          <w:sz w:val="24"/>
          <w:szCs w:val="24"/>
          <w:lang w:eastAsia="en-GB"/>
        </w:rPr>
        <w:t>.</w:t>
      </w:r>
    </w:p>
    <w:p w14:paraId="51A2C24F" w14:textId="1A8C7125"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Іerko, I. and Rudyk, A., 2020. Ecological marketing as a tool of strategy of hotel business and tourism development. Economic journal of Lesya Ukrainka Volyn National University, 3(23), pp.77-83.</w:t>
      </w:r>
    </w:p>
    <w:p w14:paraId="30CAE11B" w14:textId="2B0C3304"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 xml:space="preserve">Inkson, C. and Minnaert, L. (2018) Tourism </w:t>
      </w:r>
      <w:r w:rsidRPr="00866E98">
        <w:rPr>
          <w:rFonts w:ascii="Arial" w:hAnsi="Arial" w:cs="Arial"/>
          <w:sz w:val="24"/>
          <w:szCs w:val="24"/>
          <w:lang w:eastAsia="en-GB"/>
        </w:rPr>
        <w:t>management:</w:t>
      </w:r>
      <w:r w:rsidRPr="00866E98">
        <w:rPr>
          <w:rFonts w:ascii="Arial" w:hAnsi="Arial" w:cs="Arial"/>
          <w:sz w:val="24"/>
          <w:szCs w:val="24"/>
          <w:lang w:eastAsia="en-GB"/>
        </w:rPr>
        <w:t xml:space="preserve"> </w:t>
      </w:r>
      <w:r w:rsidRPr="00866E98">
        <w:rPr>
          <w:rFonts w:ascii="Arial" w:hAnsi="Arial" w:cs="Arial"/>
          <w:sz w:val="24"/>
          <w:szCs w:val="24"/>
          <w:lang w:eastAsia="en-GB"/>
        </w:rPr>
        <w:t>A</w:t>
      </w:r>
      <w:r w:rsidRPr="00866E98">
        <w:rPr>
          <w:rFonts w:ascii="Arial" w:hAnsi="Arial" w:cs="Arial"/>
          <w:sz w:val="24"/>
          <w:szCs w:val="24"/>
          <w:lang w:eastAsia="en-GB"/>
        </w:rPr>
        <w:t>n introduction. 2nd ed. London: SAGE.</w:t>
      </w:r>
    </w:p>
    <w:p w14:paraId="79566242" w14:textId="0F1C330C"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Jauhari, V. ed., 2014. Managing sustainability in the Hospitality and Tourism Industry: Paradigms and Directions for the Future. CRC Press.</w:t>
      </w:r>
    </w:p>
    <w:p w14:paraId="14248A6A" w14:textId="3B2D0FB8" w:rsidR="00867A80" w:rsidRPr="00866E98" w:rsidRDefault="00867A8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Kundi, V. and Ernszt, I., 2024. Safeguarding natural environment in tourism—And the phenomenon of greenwashing. Journal of Infrastructure, Policy and Development, 8(8), p.5000.</w:t>
      </w:r>
    </w:p>
    <w:p w14:paraId="70A00345" w14:textId="5AC2ACBA"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Legrand, W., Chen, J.S. and Laeis, G.C., 2022. Sustainability in the hospitality industry: Principles of sustainable operations. Routledge.</w:t>
      </w:r>
    </w:p>
    <w:p w14:paraId="153C9EC7" w14:textId="1FB723BF"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Lučić, A., 2020. Measuring sustainable marketing orientation—Scale development process. Sustainability, 12(5), p.1734.</w:t>
      </w:r>
    </w:p>
    <w:p w14:paraId="48087531" w14:textId="7CDBD6FC"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Mansour Alyahia, Alaa M. S. Azazz, Sameh Fayyad, Elshaer, I.A. and Mohammad (2024). Greenwashing Behavior in Hotels Industry: The Role of Green Transparency and Green Authenticity. Sustainability, [online] 16(3), pp.1050–1050. doi:https://doi.org/10.3390/su16031050.</w:t>
      </w:r>
    </w:p>
    <w:p w14:paraId="02708B78" w14:textId="2361A981"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Marriott International (2023). csr-marriott. [online] csr-marriott. Available at: https://serve360.marriott.com/.</w:t>
      </w:r>
    </w:p>
    <w:p w14:paraId="5B5AAAC4" w14:textId="4205CAB4" w:rsidR="009211D5" w:rsidRPr="00866E98" w:rsidRDefault="009211D5"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Ozturkoglu, Y., Sari, F.O. and Saygili, E., 2021. A new holistic conceptual framework for sustainability oriented hospitality innovation with triple bottom line perspective. Journal of Hospitality and Tourism Technology, 12(1), pp.39-57.</w:t>
      </w:r>
    </w:p>
    <w:p w14:paraId="3096A94C" w14:textId="0A706021" w:rsidR="00867A80" w:rsidRPr="00866E98" w:rsidRDefault="00867A8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Quintás, M.A., Martínez-Senra, A.I. and García-Pintos, A., 2023. Is the hotel industry really committed to the environment? Answering using the business models framework. Service Business, 17(1), pp.395-428.</w:t>
      </w:r>
    </w:p>
    <w:p w14:paraId="15847EA0" w14:textId="0C0D9A9E"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Sharma, S., Rawal, Y.S., Pal, S. and Dani, R., 2022. Fairness, accountability, sustainability, transparency (fast) of artificial intelligence in terms of hospitality industry. In ICT Analysis and Applications (pp. 495-504). Springer Singapore.</w:t>
      </w:r>
    </w:p>
    <w:p w14:paraId="07A0410B" w14:textId="755C7118"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Tark, J. and Oh, W.Y., 2021. Hilton Faces Greenwashing Challenge. In Social and Sustainability Marketing (pp. 865-868). Productivity Press.</w:t>
      </w:r>
    </w:p>
    <w:p w14:paraId="194B4D5B" w14:textId="625848FE" w:rsidR="008448BD" w:rsidRPr="00866E98" w:rsidRDefault="008448BD"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White, K., Hardisty, D. and Habib, R. (2019). The elusive green consumer. [online] Harvard Business Review. Available at: https://hbr.org/2019/07/the-elusive-green-consumer.</w:t>
      </w:r>
    </w:p>
    <w:p w14:paraId="43227006" w14:textId="77777777"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Zientara, P., Bohdanowicz-Godfrey, P., Whitely, C. and Maciejewski, G. (2020). A Case Study of LightStay (2010–2017)—Hilton’s Corporate Responsibility Management System. Energies, 13(9), p.2303.</w:t>
      </w:r>
    </w:p>
    <w:p w14:paraId="1B3079C3" w14:textId="77777777" w:rsidR="00062D50" w:rsidRPr="00866E98" w:rsidRDefault="00062D50" w:rsidP="00866E98">
      <w:pPr>
        <w:spacing w:line="360" w:lineRule="auto"/>
        <w:jc w:val="both"/>
        <w:rPr>
          <w:rFonts w:ascii="Arial" w:hAnsi="Arial" w:cs="Arial"/>
          <w:sz w:val="24"/>
          <w:szCs w:val="24"/>
          <w:lang w:eastAsia="en-GB"/>
        </w:rPr>
      </w:pPr>
    </w:p>
    <w:p w14:paraId="44AAF408" w14:textId="2DBBF0AD" w:rsidR="00062D50" w:rsidRPr="00866E98" w:rsidRDefault="00062D50" w:rsidP="00866E98">
      <w:pPr>
        <w:spacing w:line="360" w:lineRule="auto"/>
        <w:jc w:val="both"/>
        <w:rPr>
          <w:rFonts w:ascii="Arial" w:hAnsi="Arial" w:cs="Arial"/>
          <w:sz w:val="24"/>
          <w:szCs w:val="24"/>
          <w:lang w:eastAsia="en-GB"/>
        </w:rPr>
      </w:pPr>
      <w:r w:rsidRPr="00866E98">
        <w:rPr>
          <w:rFonts w:ascii="Arial" w:hAnsi="Arial" w:cs="Arial"/>
          <w:sz w:val="24"/>
          <w:szCs w:val="24"/>
          <w:lang w:eastAsia="en-GB"/>
        </w:rPr>
        <w:t>‌</w:t>
      </w:r>
    </w:p>
    <w:sectPr w:rsidR="00062D50" w:rsidRPr="00866E9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57D3A2" w14:textId="77777777" w:rsidR="00545517" w:rsidRDefault="00545517" w:rsidP="004E09FC">
      <w:pPr>
        <w:spacing w:after="0" w:line="240" w:lineRule="auto"/>
      </w:pPr>
      <w:r>
        <w:separator/>
      </w:r>
    </w:p>
  </w:endnote>
  <w:endnote w:type="continuationSeparator" w:id="0">
    <w:p w14:paraId="68B51C3F" w14:textId="77777777" w:rsidR="00545517" w:rsidRDefault="00545517" w:rsidP="004E0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959501"/>
      <w:docPartObj>
        <w:docPartGallery w:val="Page Numbers (Bottom of Page)"/>
        <w:docPartUnique/>
      </w:docPartObj>
    </w:sdtPr>
    <w:sdtEndPr>
      <w:rPr>
        <w:noProof/>
      </w:rPr>
    </w:sdtEndPr>
    <w:sdtContent>
      <w:p w14:paraId="32FFF280" w14:textId="4227AC55" w:rsidR="004E09FC" w:rsidRDefault="004E09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63FDF0" w14:textId="77777777" w:rsidR="004E09FC" w:rsidRDefault="004E0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8119D5" w14:textId="77777777" w:rsidR="00545517" w:rsidRDefault="00545517" w:rsidP="004E09FC">
      <w:pPr>
        <w:spacing w:after="0" w:line="240" w:lineRule="auto"/>
      </w:pPr>
      <w:r>
        <w:separator/>
      </w:r>
    </w:p>
  </w:footnote>
  <w:footnote w:type="continuationSeparator" w:id="0">
    <w:p w14:paraId="287AAC4D" w14:textId="77777777" w:rsidR="00545517" w:rsidRDefault="00545517" w:rsidP="004E09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FC"/>
    <w:rsid w:val="00062D50"/>
    <w:rsid w:val="000B4576"/>
    <w:rsid w:val="001417C7"/>
    <w:rsid w:val="00376282"/>
    <w:rsid w:val="00400470"/>
    <w:rsid w:val="00483CB7"/>
    <w:rsid w:val="00494586"/>
    <w:rsid w:val="004E09FC"/>
    <w:rsid w:val="00545517"/>
    <w:rsid w:val="00661974"/>
    <w:rsid w:val="007B0CC3"/>
    <w:rsid w:val="008448BD"/>
    <w:rsid w:val="00856E23"/>
    <w:rsid w:val="00866E98"/>
    <w:rsid w:val="00867A80"/>
    <w:rsid w:val="009211D5"/>
    <w:rsid w:val="00B151A8"/>
    <w:rsid w:val="00C82D1F"/>
    <w:rsid w:val="00E37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C4AA8"/>
  <w15:chartTrackingRefBased/>
  <w15:docId w15:val="{93152D3E-6BB0-4B59-9055-58EF3B52C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4E09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9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9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9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9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9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9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9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4E09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9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9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9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9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9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9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9FC"/>
    <w:rPr>
      <w:rFonts w:eastAsiaTheme="majorEastAsia" w:cstheme="majorBidi"/>
      <w:color w:val="272727" w:themeColor="text1" w:themeTint="D8"/>
    </w:rPr>
  </w:style>
  <w:style w:type="paragraph" w:styleId="Title">
    <w:name w:val="Title"/>
    <w:basedOn w:val="Normal"/>
    <w:next w:val="Normal"/>
    <w:link w:val="TitleChar"/>
    <w:uiPriority w:val="10"/>
    <w:qFormat/>
    <w:rsid w:val="004E09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9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9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9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9FC"/>
    <w:pPr>
      <w:spacing w:before="160"/>
      <w:jc w:val="center"/>
    </w:pPr>
    <w:rPr>
      <w:i/>
      <w:iCs/>
      <w:color w:val="404040" w:themeColor="text1" w:themeTint="BF"/>
    </w:rPr>
  </w:style>
  <w:style w:type="character" w:customStyle="1" w:styleId="QuoteChar">
    <w:name w:val="Quote Char"/>
    <w:basedOn w:val="DefaultParagraphFont"/>
    <w:link w:val="Quote"/>
    <w:uiPriority w:val="29"/>
    <w:rsid w:val="004E09FC"/>
    <w:rPr>
      <w:i/>
      <w:iCs/>
      <w:color w:val="404040" w:themeColor="text1" w:themeTint="BF"/>
    </w:rPr>
  </w:style>
  <w:style w:type="paragraph" w:styleId="ListParagraph">
    <w:name w:val="List Paragraph"/>
    <w:basedOn w:val="Normal"/>
    <w:uiPriority w:val="34"/>
    <w:qFormat/>
    <w:rsid w:val="004E09FC"/>
    <w:pPr>
      <w:ind w:left="720"/>
      <w:contextualSpacing/>
    </w:pPr>
  </w:style>
  <w:style w:type="character" w:styleId="IntenseEmphasis">
    <w:name w:val="Intense Emphasis"/>
    <w:basedOn w:val="DefaultParagraphFont"/>
    <w:uiPriority w:val="21"/>
    <w:qFormat/>
    <w:rsid w:val="004E09FC"/>
    <w:rPr>
      <w:i/>
      <w:iCs/>
      <w:color w:val="0F4761" w:themeColor="accent1" w:themeShade="BF"/>
    </w:rPr>
  </w:style>
  <w:style w:type="paragraph" w:styleId="IntenseQuote">
    <w:name w:val="Intense Quote"/>
    <w:basedOn w:val="Normal"/>
    <w:next w:val="Normal"/>
    <w:link w:val="IntenseQuoteChar"/>
    <w:uiPriority w:val="30"/>
    <w:qFormat/>
    <w:rsid w:val="004E09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9FC"/>
    <w:rPr>
      <w:i/>
      <w:iCs/>
      <w:color w:val="0F4761" w:themeColor="accent1" w:themeShade="BF"/>
    </w:rPr>
  </w:style>
  <w:style w:type="character" w:styleId="IntenseReference">
    <w:name w:val="Intense Reference"/>
    <w:basedOn w:val="DefaultParagraphFont"/>
    <w:uiPriority w:val="32"/>
    <w:qFormat/>
    <w:rsid w:val="004E09FC"/>
    <w:rPr>
      <w:b/>
      <w:bCs/>
      <w:smallCaps/>
      <w:color w:val="0F4761" w:themeColor="accent1" w:themeShade="BF"/>
      <w:spacing w:val="5"/>
    </w:rPr>
  </w:style>
  <w:style w:type="paragraph" w:styleId="Header">
    <w:name w:val="header"/>
    <w:basedOn w:val="Normal"/>
    <w:link w:val="HeaderChar"/>
    <w:uiPriority w:val="99"/>
    <w:unhideWhenUsed/>
    <w:rsid w:val="004E0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9FC"/>
  </w:style>
  <w:style w:type="paragraph" w:styleId="Footer">
    <w:name w:val="footer"/>
    <w:basedOn w:val="Normal"/>
    <w:link w:val="FooterChar"/>
    <w:uiPriority w:val="99"/>
    <w:unhideWhenUsed/>
    <w:rsid w:val="004E0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9FC"/>
  </w:style>
  <w:style w:type="paragraph" w:styleId="TOCHeading">
    <w:name w:val="TOC Heading"/>
    <w:basedOn w:val="Heading1"/>
    <w:next w:val="Normal"/>
    <w:uiPriority w:val="39"/>
    <w:unhideWhenUsed/>
    <w:qFormat/>
    <w:rsid w:val="00E374FD"/>
    <w:pPr>
      <w:outlineLvl w:val="9"/>
    </w:pPr>
    <w:rPr>
      <w:kern w:val="0"/>
      <w:lang w:val="en-US"/>
      <w14:ligatures w14:val="none"/>
    </w:rPr>
  </w:style>
  <w:style w:type="paragraph" w:styleId="TOC1">
    <w:name w:val="toc 1"/>
    <w:basedOn w:val="Normal"/>
    <w:next w:val="Normal"/>
    <w:autoRedefine/>
    <w:uiPriority w:val="39"/>
    <w:unhideWhenUsed/>
    <w:rsid w:val="00E374FD"/>
    <w:pPr>
      <w:spacing w:after="100"/>
    </w:pPr>
  </w:style>
  <w:style w:type="character" w:styleId="Hyperlink">
    <w:name w:val="Hyperlink"/>
    <w:basedOn w:val="DefaultParagraphFont"/>
    <w:uiPriority w:val="99"/>
    <w:unhideWhenUsed/>
    <w:rsid w:val="00E374FD"/>
    <w:rPr>
      <w:color w:val="467886" w:themeColor="hyperlink"/>
      <w:u w:val="single"/>
    </w:rPr>
  </w:style>
  <w:style w:type="character" w:styleId="UnresolvedMention">
    <w:name w:val="Unresolved Mention"/>
    <w:basedOn w:val="DefaultParagraphFont"/>
    <w:uiPriority w:val="99"/>
    <w:semiHidden/>
    <w:unhideWhenUsed/>
    <w:rsid w:val="00062D50"/>
    <w:rPr>
      <w:color w:val="605E5C"/>
      <w:shd w:val="clear" w:color="auto" w:fill="E1DFDD"/>
    </w:rPr>
  </w:style>
  <w:style w:type="paragraph" w:styleId="NormalWeb">
    <w:name w:val="Normal (Web)"/>
    <w:basedOn w:val="Normal"/>
    <w:uiPriority w:val="99"/>
    <w:semiHidden/>
    <w:unhideWhenUsed/>
    <w:rsid w:val="008448B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042296">
      <w:bodyDiv w:val="1"/>
      <w:marLeft w:val="0"/>
      <w:marRight w:val="0"/>
      <w:marTop w:val="0"/>
      <w:marBottom w:val="0"/>
      <w:divBdr>
        <w:top w:val="none" w:sz="0" w:space="0" w:color="auto"/>
        <w:left w:val="none" w:sz="0" w:space="0" w:color="auto"/>
        <w:bottom w:val="none" w:sz="0" w:space="0" w:color="auto"/>
        <w:right w:val="none" w:sz="0" w:space="0" w:color="auto"/>
      </w:divBdr>
    </w:div>
    <w:div w:id="1301032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sg.hilton.com/wp-content/uploads/sites/4/2024/05/2023-Travel-with-Purpose-Report-ADA-fina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cma-cases/asos-boohoo-and-asda-greenwashing-investigatio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12</Pages>
  <Words>3367</Words>
  <Characters>19196</Characters>
  <Application>Microsoft Office Word</Application>
  <DocSecurity>0</DocSecurity>
  <Lines>159</Lines>
  <Paragraphs>45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Executive Summary</vt:lpstr>
      <vt:lpstr>Introduction</vt:lpstr>
      <vt:lpstr>Main Findings</vt:lpstr>
      <vt:lpstr>Proposed Green Practice Initiative to Address the Gap</vt:lpstr>
      <vt:lpstr>Conclusion </vt:lpstr>
      <vt:lpstr>References</vt:lpstr>
    </vt:vector>
  </TitlesOfParts>
  <Company/>
  <LinksUpToDate>false</LinksUpToDate>
  <CharactersWithSpaces>22518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2024-11-15T13:48:00Z</dcterms:created>
  <dcterms:modified xsi:type="dcterms:W3CDTF">2024-11-15T16:00:00Z</dcterms:modified>
</cp:coreProperties>
</file>