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B002C" w14:textId="77777777" w:rsidR="00004A52" w:rsidRPr="00004A52" w:rsidRDefault="00004A52" w:rsidP="00004A52">
      <w:pPr>
        <w:keepNext/>
        <w:suppressAutoHyphens/>
        <w:autoSpaceDN w:val="0"/>
        <w:spacing w:before="240" w:after="60" w:line="240" w:lineRule="auto"/>
        <w:textAlignment w:val="baseline"/>
        <w:outlineLvl w:val="1"/>
        <w:rPr>
          <w:rFonts w:ascii="Calibri Light" w:eastAsia="Times New Roman" w:hAnsi="Calibri Light" w:cs="Times New Roman"/>
          <w:b/>
          <w:bCs/>
          <w:iCs/>
          <w:sz w:val="36"/>
          <w:szCs w:val="28"/>
        </w:rPr>
      </w:pPr>
      <w:bookmarkStart w:id="0" w:name="_Toc56523010"/>
      <w:bookmarkStart w:id="1" w:name="_Toc56523292"/>
      <w:bookmarkStart w:id="2" w:name="_Toc57910100"/>
      <w:bookmarkStart w:id="3" w:name="_Toc58251316"/>
      <w:bookmarkStart w:id="4" w:name="_Toc72413641"/>
      <w:r w:rsidRPr="00004A52">
        <w:rPr>
          <w:rFonts w:ascii="Calibri Light" w:eastAsia="Times New Roman" w:hAnsi="Calibri Light" w:cs="Times New Roman"/>
          <w:b/>
          <w:bCs/>
          <w:iCs/>
          <w:sz w:val="36"/>
          <w:szCs w:val="28"/>
        </w:rPr>
        <w:t>CHAPTER 4: METHODS</w:t>
      </w:r>
      <w:bookmarkEnd w:id="0"/>
      <w:bookmarkEnd w:id="1"/>
      <w:bookmarkEnd w:id="2"/>
      <w:bookmarkEnd w:id="3"/>
      <w:bookmarkEnd w:id="4"/>
    </w:p>
    <w:p w14:paraId="34C25880" w14:textId="77777777" w:rsidR="00004A52" w:rsidRPr="00004A52" w:rsidRDefault="00004A52" w:rsidP="00004A52">
      <w:pPr>
        <w:suppressAutoHyphens/>
        <w:autoSpaceDN w:val="0"/>
        <w:spacing w:line="249" w:lineRule="auto"/>
        <w:textAlignment w:val="baseline"/>
        <w:rPr>
          <w:rFonts w:ascii="Calibri" w:eastAsia="Calibri" w:hAnsi="Calibri" w:cs="Times New Roman"/>
        </w:rPr>
      </w:pPr>
    </w:p>
    <w:p w14:paraId="1EC9E90A"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color w:val="FF0000"/>
          <w:sz w:val="24"/>
          <w:szCs w:val="24"/>
        </w:rPr>
      </w:pPr>
      <w:r w:rsidRPr="00004A52">
        <w:rPr>
          <w:rFonts w:ascii="Calibri" w:eastAsia="Calibri" w:hAnsi="Calibri" w:cs="Times New Roman"/>
          <w:sz w:val="24"/>
          <w:szCs w:val="24"/>
        </w:rPr>
        <w:t>The intention of this chapter is to present the theoretical and practical dimension of the research methods and outline how they are compatible with post-critical ethnography.</w:t>
      </w:r>
      <w:r w:rsidRPr="00004A52">
        <w:rPr>
          <w:rFonts w:ascii="Calibri" w:eastAsia="Calibri" w:hAnsi="Calibri" w:cs="Times New Roman"/>
          <w:color w:val="FF0000"/>
          <w:sz w:val="24"/>
          <w:szCs w:val="24"/>
        </w:rPr>
        <w:t xml:space="preserve"> </w:t>
      </w:r>
      <w:r w:rsidRPr="00004A52">
        <w:rPr>
          <w:rFonts w:ascii="Calibri" w:eastAsia="Calibri" w:hAnsi="Calibri" w:cs="Times New Roman"/>
          <w:sz w:val="24"/>
          <w:szCs w:val="24"/>
        </w:rPr>
        <w:t xml:space="preserve"> The ethical considerations and the trustworthiness of the research are also presented.</w:t>
      </w:r>
      <w:r w:rsidRPr="00004A52">
        <w:rPr>
          <w:rFonts w:ascii="Calibri" w:eastAsia="Calibri" w:hAnsi="Calibri" w:cs="Times New Roman"/>
          <w:color w:val="FF0000"/>
          <w:sz w:val="24"/>
          <w:szCs w:val="24"/>
        </w:rPr>
        <w:t xml:space="preserve"> </w:t>
      </w:r>
      <w:r w:rsidRPr="00004A52">
        <w:rPr>
          <w:rFonts w:ascii="Calibri" w:eastAsia="Calibri" w:hAnsi="Calibri" w:cs="Times New Roman"/>
          <w:sz w:val="24"/>
          <w:szCs w:val="24"/>
        </w:rPr>
        <w:t>The objective of doing so is to demonstrate research transparency. Therefore, this will be an honest account of the research procedure and include the difficulties encountered as well as the successes. In short, this is an account of what I intended to do and how it actually happened.</w:t>
      </w:r>
    </w:p>
    <w:p w14:paraId="42FDE37F"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210D6830" w14:textId="77777777" w:rsidR="00004A52" w:rsidRPr="00004A52" w:rsidRDefault="00004A52" w:rsidP="00004A52">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5" w:name="_Toc56523011"/>
      <w:bookmarkStart w:id="6" w:name="_Toc56523293"/>
      <w:bookmarkStart w:id="7" w:name="_Toc57910101"/>
      <w:bookmarkStart w:id="8" w:name="_Toc58251317"/>
      <w:bookmarkStart w:id="9" w:name="_Toc72413642"/>
      <w:r w:rsidRPr="00004A52">
        <w:rPr>
          <w:rFonts w:ascii="Calibri Light" w:eastAsia="Times New Roman" w:hAnsi="Calibri Light" w:cs="Times New Roman"/>
          <w:b/>
          <w:bCs/>
          <w:sz w:val="28"/>
          <w:szCs w:val="26"/>
        </w:rPr>
        <w:t>4.1 Research Procedure</w:t>
      </w:r>
      <w:bookmarkEnd w:id="5"/>
      <w:bookmarkEnd w:id="6"/>
      <w:bookmarkEnd w:id="7"/>
      <w:bookmarkEnd w:id="8"/>
      <w:bookmarkEnd w:id="9"/>
    </w:p>
    <w:p w14:paraId="1A62C63E"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000000"/>
          <w:sz w:val="24"/>
          <w:szCs w:val="24"/>
        </w:rPr>
      </w:pPr>
      <w:r w:rsidRPr="00004A52">
        <w:rPr>
          <w:rFonts w:ascii="Calibri" w:eastAsia="Calibri" w:hAnsi="Calibri" w:cs="Times New Roman"/>
          <w:color w:val="000000"/>
          <w:sz w:val="24"/>
          <w:szCs w:val="24"/>
        </w:rPr>
        <w:t>I started the PhD in the Autumn of 2018 and contacted potential FE colleges about my research in the Spring of 2019. Six colleges and one university in South Wales offering counselling courses were identified. The university was discounted as I wanted to focus on FE colleges and one FE College was discounted as it offered only introductory counselling skills courses. I initially contacted the colleges by telephone and if interest was shown, I sent a follow-up email. Three colleges indicated an initial interest in being involved, however one of those colleges did not return two further emails. I then met with the course leaders from ‘Welsh College A’ and ‘Welsh College B’ who both showed enthusiasm and interest in the research and agreed that once ethical approval was granted, I could potentially meet with students on their courses, hold interviews on site and attend seminars.  Both ‘Welsh College A’ and ‘Welsh College B’ were located in former coal-mining towns in South Wales.</w:t>
      </w:r>
    </w:p>
    <w:p w14:paraId="5A5BF2F7"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000000"/>
          <w:sz w:val="24"/>
          <w:szCs w:val="24"/>
        </w:rPr>
      </w:pPr>
    </w:p>
    <w:p w14:paraId="1484E1A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color w:val="000000"/>
          <w:sz w:val="24"/>
          <w:szCs w:val="24"/>
        </w:rPr>
        <w:lastRenderedPageBreak/>
        <w:t xml:space="preserve">I was initially reluctant to use ‘Welsh College A’ as this is where I did my own training and where I worked as a temporary associate lecturer for four months in 2018. Whilst I would be researching a new group of students whom I had never met before, I was concerned that my familiarity with the college, the staff and the course itself may be an ethical consideration. However, developing awareness about ethnographic research, specifically the role of the participant-observer </w:t>
      </w:r>
      <w:r w:rsidRPr="00004A52">
        <w:rPr>
          <w:rFonts w:ascii="Calibri" w:eastAsia="Calibri" w:hAnsi="Calibri" w:cs="Times New Roman"/>
          <w:sz w:val="24"/>
          <w:szCs w:val="24"/>
        </w:rPr>
        <w:t>(Angrosino, 2007) and</w:t>
      </w:r>
      <w:r w:rsidRPr="00004A52">
        <w:rPr>
          <w:rFonts w:ascii="Calibri" w:eastAsia="Calibri" w:hAnsi="Calibri" w:cs="Times New Roman"/>
          <w:color w:val="000000"/>
          <w:sz w:val="24"/>
          <w:szCs w:val="24"/>
        </w:rPr>
        <w:t xml:space="preserve"> critical theory’s notion of immanent critique</w:t>
      </w:r>
      <w:r w:rsidRPr="00004A52">
        <w:rPr>
          <w:rFonts w:ascii="Calibri" w:eastAsia="Calibri" w:hAnsi="Calibri" w:cs="Times New Roman"/>
          <w:sz w:val="24"/>
          <w:szCs w:val="24"/>
        </w:rPr>
        <w:t>, or the understanding of a culture through an internalised standpoint (Stirk, 1992; Sabia, 2010; Wrenn, 2016), led me to the conclusion that my pre-existing understanding of the ‘culture’ of ‘Welsh College A’ was a solid foundation to conduct the fieldwork.</w:t>
      </w:r>
      <w:r w:rsidRPr="00004A52">
        <w:rPr>
          <w:rFonts w:ascii="Calibri" w:eastAsia="Calibri" w:hAnsi="Calibri" w:cs="Times New Roman"/>
          <w:color w:val="000000"/>
          <w:sz w:val="24"/>
          <w:szCs w:val="24"/>
        </w:rPr>
        <w:t xml:space="preserve"> Indeed, it has been suggested that because of temporal and financial factors associated with conducting research, choosing a field site where the researcher has a ‘fighting chance of fitting in’ (Angrosino, 2007, p. 29) is important; choosing ‘Welsh College A’ was a means of achieving this. </w:t>
      </w:r>
      <w:r w:rsidRPr="00004A52">
        <w:rPr>
          <w:rFonts w:ascii="Calibri" w:eastAsia="Calibri" w:hAnsi="Calibri" w:cs="Times New Roman"/>
          <w:sz w:val="24"/>
          <w:szCs w:val="24"/>
        </w:rPr>
        <w:t xml:space="preserve">Given my connection to ‘Welsh College A’, the course leader offered opportunities to attend lectures with the students, give feedback when they practised their counselling skills in training triads, and to join students during breaks. ‘Welsh College A’ required a Disclosure and Barring Service check and to have a copy of the ethics form I submitted to the university. Additionally, I was required to sign a contract which outlined that a reciprocal relationship between the college and the ‘graduate resident’ was expected. This entailed the college facilitating the researcher in their research but with the expectation that the researcher would share their experiences with the college students. As I intended to do this anyway as a way of ‘giving back’ to the students to thank them for allowing to become a part of their community for eight weeks, I was happy to agree to the terms of the contract. </w:t>
      </w:r>
    </w:p>
    <w:p w14:paraId="48D150B5"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0070C0"/>
          <w:sz w:val="24"/>
          <w:szCs w:val="24"/>
        </w:rPr>
      </w:pPr>
    </w:p>
    <w:p w14:paraId="2111FA7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lastRenderedPageBreak/>
        <w:t xml:space="preserve">Information about the participants and more detail about the ethnographic fieldwork will be outlined in Chapter 5 (Section 5.1). However, when I attended ‘Welsh College A’ in December 2018, the group comprised of 17 students, 16 women and one man (one female student left the course in January 2020). Most of the students were in their 40s, with the youngest member being 29 and the oldest 54.  In accordance with the equal and emancipatory aim of the research paradigm (Thomas, 2009; Strydom, 2011; Scotland, 2012), I gave the students the power to decide with their tutor how often I could attend; weekly or fortnightly. They chose for me to attend weekly from the Spring Term of 2020. </w:t>
      </w:r>
    </w:p>
    <w:p w14:paraId="49C23804"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C00000"/>
          <w:sz w:val="24"/>
          <w:szCs w:val="24"/>
        </w:rPr>
      </w:pPr>
    </w:p>
    <w:p w14:paraId="3AEBBF4E"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Having been given such a rich opportunity for a protracted period of observation, I decided to focus solely on ‘Welsh College A’, whose counselling courses are BACP accredited. I joined the group in January 2020 to become a part of the culture and held the interviews toward the end of February and the beginning of March. This gave six weeks of observational fieldwork and an opportunity for the group to become familiar with me. It was felt this would allow the group a more informed decision as to whether to participate with the interviews and for those who did participate, the established rapport between us may create a dynamic where they felt ‘safe’ to share their honest thoughts about ‘race’, racism and whiteness. The last two weeks were spent conducting the interviews. </w:t>
      </w:r>
    </w:p>
    <w:p w14:paraId="0116E29D" w14:textId="77777777" w:rsidR="00004A52" w:rsidRPr="00004A52" w:rsidRDefault="00004A52" w:rsidP="00004A52">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10" w:name="_Toc56523009"/>
      <w:bookmarkStart w:id="11" w:name="_Toc56523291"/>
      <w:bookmarkStart w:id="12" w:name="_Toc57910099"/>
      <w:bookmarkStart w:id="13" w:name="_Toc58251315"/>
      <w:bookmarkStart w:id="14" w:name="_Toc72413643"/>
      <w:r w:rsidRPr="00004A52">
        <w:rPr>
          <w:rFonts w:ascii="Calibri Light" w:eastAsia="Times New Roman" w:hAnsi="Calibri Light" w:cs="Times New Roman"/>
          <w:b/>
          <w:bCs/>
          <w:sz w:val="28"/>
          <w:szCs w:val="26"/>
        </w:rPr>
        <w:t>4.2 Research Methods</w:t>
      </w:r>
      <w:bookmarkEnd w:id="10"/>
      <w:bookmarkEnd w:id="11"/>
      <w:bookmarkEnd w:id="12"/>
      <w:bookmarkEnd w:id="13"/>
      <w:bookmarkEnd w:id="14"/>
      <w:r w:rsidRPr="00004A52">
        <w:rPr>
          <w:rFonts w:ascii="Calibri Light" w:eastAsia="Times New Roman" w:hAnsi="Calibri Light" w:cs="Times New Roman"/>
          <w:b/>
          <w:bCs/>
          <w:sz w:val="28"/>
          <w:szCs w:val="26"/>
        </w:rPr>
        <w:t xml:space="preserve"> </w:t>
      </w:r>
    </w:p>
    <w:p w14:paraId="66005B41"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color w:val="0070C0"/>
          <w:sz w:val="24"/>
          <w:szCs w:val="24"/>
        </w:rPr>
      </w:pPr>
      <w:r w:rsidRPr="00004A52">
        <w:rPr>
          <w:rFonts w:ascii="Calibri" w:eastAsia="Calibri" w:hAnsi="Calibri" w:cs="Times New Roman"/>
          <w:sz w:val="24"/>
          <w:szCs w:val="24"/>
        </w:rPr>
        <w:t xml:space="preserve">The methods selected for this research reflect these same themes of equality and emancipation found throughout the research paradigm. The method used in this research was participant-observation which encompassed semi-structured interviews and document analysis. Each component of participant-observation will be discussed separately for clarity regarding their application. The participant-observation took </w:t>
      </w:r>
      <w:r w:rsidRPr="00004A52">
        <w:rPr>
          <w:rFonts w:ascii="Calibri" w:eastAsia="Calibri" w:hAnsi="Calibri" w:cs="Times New Roman"/>
          <w:sz w:val="24"/>
          <w:szCs w:val="24"/>
        </w:rPr>
        <w:lastRenderedPageBreak/>
        <w:t>place over a period of six weeks and the interviews were conducted over two weeks at ‘Welsh College A’. In accordance with post-critical ethnography advocating researcher reflexivity and consideration of positionality (Noblit, Flores and Murillo, 2004; Anders, 2019), researcher reflexivity was also understood as an integral method.  Reflexivity was woven throughout all stages of the research process, from the initial decision to not interview participants of colour lest it provoke racial trauma (Carter, 2007) to impact of writing the discussion of the findings (Chapter 6, Section 6.1) and the overall emotional impact of the research on my own well-being (Smith, 2021, Appendix vi)</w:t>
      </w:r>
      <w:r w:rsidRPr="00004A52">
        <w:rPr>
          <w:rFonts w:ascii="Calibri" w:eastAsia="Calibri" w:hAnsi="Calibri" w:cs="Times New Roman"/>
          <w:color w:val="0070C0"/>
          <w:sz w:val="24"/>
          <w:szCs w:val="24"/>
        </w:rPr>
        <w:t xml:space="preserve">. </w:t>
      </w:r>
    </w:p>
    <w:p w14:paraId="36B9ABA0"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color w:val="0070C0"/>
          <w:sz w:val="24"/>
          <w:szCs w:val="24"/>
        </w:rPr>
      </w:pPr>
    </w:p>
    <w:p w14:paraId="0BF9E45B"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In their book introducing post-critical ethnography, Noblit, Flores and Murillo (2004) have focused on its theoretical possibilities rather than its practical application. Although, it does includes examples of post-critical ethnography that used poetry (Flores, 2004; Glesne, 2004; Peters, 2004) and autoethnography (Patterson and Rayle, 2004). Arts-based methods have been used elsewhere (Anders and Lester, 2015). Similarly, whilst Anders (2019) traces the theoretical lineage of post-critical methodology, potential suitable methods were not discussed. As a novice researcher uncertain of the appropriate methods that align with post-critical ethnography, I decided to use the traditional triptych of ethnographic research methods: interviews, observation and document analysis (Angrosino, 2007). However, these methods were combined with the principles of post-critical ethnography, particularly the notion of </w:t>
      </w:r>
      <w:bookmarkStart w:id="15" w:name="_Hlk70619908"/>
      <w:r w:rsidRPr="00004A52">
        <w:rPr>
          <w:rFonts w:ascii="Calibri" w:eastAsia="Calibri" w:hAnsi="Calibri" w:cs="Times New Roman"/>
          <w:sz w:val="24"/>
          <w:szCs w:val="24"/>
        </w:rPr>
        <w:t>morality, researcher reflexivity and careful representation of the participants (Noblit, Flores and Murillo, 2004; Anders, 2019)</w:t>
      </w:r>
      <w:bookmarkEnd w:id="15"/>
      <w:r w:rsidRPr="00004A52">
        <w:rPr>
          <w:rFonts w:ascii="Calibri" w:eastAsia="Calibri" w:hAnsi="Calibri" w:cs="Times New Roman"/>
          <w:sz w:val="24"/>
          <w:szCs w:val="24"/>
        </w:rPr>
        <w:t xml:space="preserve">. As Anders states (2019, p. 18), what unites post-critical ethnographic research is the belief that it is a ‘moral activity and representations are always partial, positional, and personal’. It was understood that </w:t>
      </w:r>
      <w:r w:rsidRPr="00004A52">
        <w:rPr>
          <w:rFonts w:ascii="Calibri" w:eastAsia="Calibri" w:hAnsi="Calibri" w:cs="Times New Roman"/>
          <w:sz w:val="24"/>
          <w:szCs w:val="24"/>
        </w:rPr>
        <w:lastRenderedPageBreak/>
        <w:t xml:space="preserve">the methods used were partial, in that they would capture a partial representation of the participants at a specific moment in time, my positionality would influence the application of the methods, i.e., I may ‘see’ and not ‘see’ things according to my theoretical and personal positionality, and it was personal through the subjective epistemology and relational dynamic between myself and the participants. </w:t>
      </w:r>
    </w:p>
    <w:p w14:paraId="0CBA38A0"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5F1B0320" w14:textId="77777777" w:rsidR="00004A52" w:rsidRPr="00004A52" w:rsidRDefault="00004A52" w:rsidP="00004A52">
      <w:pPr>
        <w:keepNext/>
        <w:suppressAutoHyphens/>
        <w:autoSpaceDN w:val="0"/>
        <w:spacing w:before="240" w:after="60" w:line="249" w:lineRule="auto"/>
        <w:textAlignment w:val="baseline"/>
        <w:outlineLvl w:val="3"/>
        <w:rPr>
          <w:rFonts w:ascii="Calibri" w:eastAsia="Times New Roman" w:hAnsi="Calibri" w:cs="Times New Roman"/>
          <w:bCs/>
          <w:sz w:val="28"/>
          <w:szCs w:val="28"/>
          <w:u w:val="single"/>
        </w:rPr>
      </w:pPr>
      <w:r w:rsidRPr="00004A52">
        <w:rPr>
          <w:rFonts w:ascii="Calibri" w:eastAsia="Times New Roman" w:hAnsi="Calibri" w:cs="Times New Roman"/>
          <w:bCs/>
          <w:sz w:val="28"/>
          <w:szCs w:val="28"/>
          <w:u w:val="single"/>
        </w:rPr>
        <w:t xml:space="preserve">Participant-Observation </w:t>
      </w:r>
    </w:p>
    <w:p w14:paraId="2A53DAE3"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Traditionally, ethnographic research was seen as an objective research method, whereas current sociological ethnographers are encouraged to consider their role in the research (Angrosino and Rosenberg, 2011). One way of achieving this reflexive stance is through participant-observation, whereby the researcher becomes integrated and engaged with the people they are studying, building relationships and taking part in activities relevant to the group (Angrosino, 2007). Participant-observation has been termed the definitive ethnographic research method (Murchison, 2010). Supporting this, participant-observation has been called ‘the most natural and the most challenging of data collection methods’ (Guest, Namey and Mitchell, 2013, p. 75). The former relates the familiar human endeavour of understanding human behaviour, usually through familial and interpersonal relationships, and the latter relates to the challenge of trying to organise this fluctuating process (Guest, Namey, and Mitchell, 2013). </w:t>
      </w:r>
    </w:p>
    <w:p w14:paraId="6E00FE65"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372C50EB"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Offering clarity around the method, Guest, Namey and Mitchell (2013; Table 15) present the three key elements of participant-observation:</w:t>
      </w:r>
    </w:p>
    <w:p w14:paraId="3A291453" w14:textId="77777777" w:rsidR="00004A52" w:rsidRPr="00004A52" w:rsidRDefault="00004A52" w:rsidP="00004A52">
      <w:pPr>
        <w:keepNext/>
        <w:suppressAutoHyphens/>
        <w:autoSpaceDN w:val="0"/>
        <w:spacing w:after="200" w:line="240" w:lineRule="auto"/>
        <w:textAlignment w:val="baseline"/>
        <w:rPr>
          <w:rFonts w:ascii="Calibri" w:eastAsia="Calibri" w:hAnsi="Calibri" w:cs="Times New Roman"/>
          <w:i/>
          <w:iCs/>
          <w:color w:val="44546A" w:themeColor="text2"/>
          <w:sz w:val="24"/>
          <w:szCs w:val="24"/>
        </w:rPr>
      </w:pPr>
      <w:bookmarkStart w:id="16" w:name="_Toc72253529"/>
      <w:bookmarkStart w:id="17" w:name="_Toc72253851"/>
      <w:bookmarkStart w:id="18" w:name="_Toc72253873"/>
      <w:bookmarkStart w:id="19" w:name="_Toc72324676"/>
      <w:r w:rsidRPr="00004A52">
        <w:rPr>
          <w:rFonts w:ascii="Calibri" w:eastAsia="Calibri" w:hAnsi="Calibri" w:cs="Times New Roman"/>
          <w:i/>
          <w:iCs/>
          <w:color w:val="44546A" w:themeColor="text2"/>
          <w:sz w:val="24"/>
          <w:szCs w:val="24"/>
        </w:rPr>
        <w:lastRenderedPageBreak/>
        <w:t xml:space="preserve">Table </w:t>
      </w:r>
      <w:r w:rsidRPr="00004A52">
        <w:rPr>
          <w:rFonts w:ascii="Calibri" w:eastAsia="Calibri" w:hAnsi="Calibri" w:cs="Times New Roman"/>
          <w:i/>
          <w:iCs/>
          <w:color w:val="44546A" w:themeColor="text2"/>
          <w:sz w:val="24"/>
          <w:szCs w:val="24"/>
        </w:rPr>
        <w:fldChar w:fldCharType="begin"/>
      </w:r>
      <w:r w:rsidRPr="00004A52">
        <w:rPr>
          <w:rFonts w:ascii="Calibri" w:eastAsia="Calibri" w:hAnsi="Calibri" w:cs="Times New Roman"/>
          <w:i/>
          <w:iCs/>
          <w:color w:val="44546A" w:themeColor="text2"/>
          <w:sz w:val="24"/>
          <w:szCs w:val="24"/>
        </w:rPr>
        <w:instrText xml:space="preserve"> SEQ Table \* ARABIC </w:instrText>
      </w:r>
      <w:r w:rsidRPr="00004A52">
        <w:rPr>
          <w:rFonts w:ascii="Calibri" w:eastAsia="Calibri" w:hAnsi="Calibri" w:cs="Times New Roman"/>
          <w:i/>
          <w:iCs/>
          <w:color w:val="44546A" w:themeColor="text2"/>
          <w:sz w:val="24"/>
          <w:szCs w:val="24"/>
        </w:rPr>
        <w:fldChar w:fldCharType="separate"/>
      </w:r>
      <w:r w:rsidRPr="00004A52">
        <w:rPr>
          <w:rFonts w:ascii="Calibri" w:eastAsia="Calibri" w:hAnsi="Calibri" w:cs="Times New Roman"/>
          <w:i/>
          <w:iCs/>
          <w:noProof/>
          <w:color w:val="44546A" w:themeColor="text2"/>
          <w:sz w:val="24"/>
          <w:szCs w:val="24"/>
        </w:rPr>
        <w:t>15</w:t>
      </w:r>
      <w:r w:rsidRPr="00004A52">
        <w:rPr>
          <w:rFonts w:ascii="Calibri" w:eastAsia="Calibri" w:hAnsi="Calibri" w:cs="Times New Roman"/>
          <w:i/>
          <w:iCs/>
          <w:color w:val="44546A" w:themeColor="text2"/>
          <w:sz w:val="24"/>
          <w:szCs w:val="24"/>
        </w:rPr>
        <w:fldChar w:fldCharType="end"/>
      </w:r>
      <w:r w:rsidRPr="00004A52">
        <w:rPr>
          <w:rFonts w:ascii="Calibri" w:eastAsia="Calibri" w:hAnsi="Calibri" w:cs="Times New Roman"/>
          <w:i/>
          <w:iCs/>
          <w:color w:val="44546A" w:themeColor="text2"/>
          <w:sz w:val="24"/>
          <w:szCs w:val="24"/>
        </w:rPr>
        <w:t xml:space="preserve"> Summary of the Three Key Elements of Participant-Observation:</w:t>
      </w:r>
      <w:bookmarkEnd w:id="16"/>
      <w:bookmarkEnd w:id="17"/>
      <w:bookmarkEnd w:id="18"/>
      <w:bookmarkEnd w:id="19"/>
    </w:p>
    <w:tbl>
      <w:tblPr>
        <w:tblW w:w="0" w:type="auto"/>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4228"/>
        <w:gridCol w:w="4231"/>
      </w:tblGrid>
      <w:tr w:rsidR="00004A52" w:rsidRPr="00004A52" w14:paraId="4B292EC7" w14:textId="77777777" w:rsidTr="00C75158">
        <w:tc>
          <w:tcPr>
            <w:tcW w:w="4228" w:type="dxa"/>
            <w:shd w:val="clear" w:color="auto" w:fill="auto"/>
          </w:tcPr>
          <w:p w14:paraId="54FD7C88"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Key Element</w:t>
            </w:r>
          </w:p>
        </w:tc>
        <w:tc>
          <w:tcPr>
            <w:tcW w:w="4231" w:type="dxa"/>
            <w:shd w:val="clear" w:color="auto" w:fill="auto"/>
          </w:tcPr>
          <w:p w14:paraId="1B9F5915"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Description</w:t>
            </w:r>
          </w:p>
        </w:tc>
      </w:tr>
      <w:tr w:rsidR="00004A52" w:rsidRPr="00004A52" w14:paraId="5BF00BF3" w14:textId="77777777" w:rsidTr="00C75158">
        <w:tc>
          <w:tcPr>
            <w:tcW w:w="4228" w:type="dxa"/>
            <w:shd w:val="clear" w:color="auto" w:fill="F2F2F2"/>
          </w:tcPr>
          <w:p w14:paraId="05F47252"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 xml:space="preserve">Getting into the location of whatever aspects of the human experience you wish to study </w:t>
            </w:r>
          </w:p>
        </w:tc>
        <w:tc>
          <w:tcPr>
            <w:tcW w:w="4231" w:type="dxa"/>
            <w:shd w:val="clear" w:color="auto" w:fill="F2F2F2"/>
          </w:tcPr>
          <w:p w14:paraId="0DD26818"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The location where the participant-observation takes place in.</w:t>
            </w:r>
          </w:p>
        </w:tc>
      </w:tr>
      <w:tr w:rsidR="00004A52" w:rsidRPr="00004A52" w14:paraId="44103A46" w14:textId="77777777" w:rsidTr="00C75158">
        <w:tc>
          <w:tcPr>
            <w:tcW w:w="4228" w:type="dxa"/>
            <w:shd w:val="clear" w:color="auto" w:fill="auto"/>
          </w:tcPr>
          <w:p w14:paraId="23076210"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Building rapport with the participants</w:t>
            </w:r>
          </w:p>
        </w:tc>
        <w:tc>
          <w:tcPr>
            <w:tcW w:w="4231" w:type="dxa"/>
            <w:shd w:val="clear" w:color="auto" w:fill="auto"/>
          </w:tcPr>
          <w:p w14:paraId="6D49D228"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Being accepted and trusted by the participants </w:t>
            </w:r>
          </w:p>
        </w:tc>
      </w:tr>
      <w:tr w:rsidR="00004A52" w:rsidRPr="00004A52" w14:paraId="0649E3EC" w14:textId="77777777" w:rsidTr="00C75158">
        <w:tc>
          <w:tcPr>
            <w:tcW w:w="4228" w:type="dxa"/>
            <w:shd w:val="clear" w:color="auto" w:fill="F2F2F2"/>
          </w:tcPr>
          <w:p w14:paraId="3D985F14"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Spending enough time interacting to get the data needed</w:t>
            </w:r>
          </w:p>
        </w:tc>
        <w:tc>
          <w:tcPr>
            <w:tcW w:w="4231" w:type="dxa"/>
            <w:shd w:val="clear" w:color="auto" w:fill="F2F2F2"/>
          </w:tcPr>
          <w:p w14:paraId="19845F54"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Give time to building rapport and observing / participating to have various experiences and interactions with the participants. This could be anywhere from days to years.</w:t>
            </w:r>
          </w:p>
        </w:tc>
      </w:tr>
    </w:tbl>
    <w:p w14:paraId="5BB9965F" w14:textId="77777777" w:rsidR="00004A52" w:rsidRPr="00004A52" w:rsidRDefault="00004A52" w:rsidP="00004A52">
      <w:pPr>
        <w:suppressAutoHyphens/>
        <w:autoSpaceDN w:val="0"/>
        <w:spacing w:after="0" w:line="480" w:lineRule="auto"/>
        <w:jc w:val="right"/>
        <w:textAlignment w:val="baseline"/>
        <w:rPr>
          <w:rFonts w:ascii="Calibri" w:eastAsia="Calibri" w:hAnsi="Calibri" w:cs="Times New Roman"/>
          <w:sz w:val="24"/>
          <w:szCs w:val="24"/>
        </w:rPr>
      </w:pPr>
      <w:r w:rsidRPr="00004A52">
        <w:rPr>
          <w:rFonts w:ascii="Calibri" w:eastAsia="Calibri" w:hAnsi="Calibri" w:cs="Times New Roman"/>
          <w:i/>
          <w:iCs/>
          <w:sz w:val="24"/>
          <w:szCs w:val="24"/>
        </w:rPr>
        <w:t xml:space="preserve">(adapted from </w:t>
      </w:r>
      <w:r w:rsidRPr="00004A52">
        <w:rPr>
          <w:rFonts w:ascii="Calibri" w:eastAsia="Calibri" w:hAnsi="Calibri" w:cs="Times New Roman"/>
          <w:sz w:val="24"/>
          <w:szCs w:val="24"/>
        </w:rPr>
        <w:t>Guest, Namey and Mitchell, 2013, pp. 76-77)</w:t>
      </w:r>
    </w:p>
    <w:p w14:paraId="79CA98D8"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6C568A9B"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The objective of participant-observation is that through immersive integration with a group, culture or situation, the researcher will be able to identify patterns of behaviour that may first appear as indistinguishable actions (Spradley, 2016). The need for rapport and time for this to happen is important. For this research, I spent eight weeks with the trainee counsellors in ‘Welsh College A’ and the intention was that relationships would build through sharing my experiences of being a trainee and then qualified counsellor. </w:t>
      </w:r>
    </w:p>
    <w:p w14:paraId="4F104B20"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3F1EFD57"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Although taking an anthropological stance, Shah (2017, p. 46) argues that participant-observation is a ‘potentially revolutionary praxis’. By this, it is meant that it challenges the researcher’s assumptions through ‘democratic’ (Shah, 2017, p. 47) engagement with participants. This can facilitate ways to confront power and authority (Shah, 2017). As this research is located in a critical theory research paradigm, which questions notions of power and is concerned with equality, emancipation and transformation (Thomas, 2009; Strydom, 2011; Scotland, 2012), the concept of </w:t>
      </w:r>
      <w:r w:rsidRPr="00004A52">
        <w:rPr>
          <w:rFonts w:ascii="Calibri" w:eastAsia="Calibri" w:hAnsi="Calibri" w:cs="Times New Roman"/>
          <w:sz w:val="24"/>
          <w:szCs w:val="24"/>
        </w:rPr>
        <w:lastRenderedPageBreak/>
        <w:t xml:space="preserve">participant-observation as a democratic and revolutionary method (Shah, 2017) corresponds with the chosen critical paradigm of this research (Chapter 3). </w:t>
      </w:r>
    </w:p>
    <w:p w14:paraId="22E9CFF8"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7EDC1D01"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Supporting this notion of participant-observation being a ‘democratic’ method (Shah, 2017, p. 47), Katz (2019, p. 16) also refers to it as ‘democratic’, giving the researcher a sense of freedom in their approach. However, this sense of autonomy can leave the novice researcher experiencing challenges in deciding who they are in the field, how they should interact with participants and how to understand the work they are producing (Katz, 2019). Consequently, prior to embarking on the role of participant-observer, I decided that I would answer participants’ questions openly and honestly, interactions would be done based on the principles of equality, empowerment and kindness and the research was understood as an emancipatory, political activity centred around social justice. </w:t>
      </w:r>
    </w:p>
    <w:p w14:paraId="5D51AD3E"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2170035C"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This intention of transparency toward the research participants in my role of participant-observer, stands in accordance with an overt position through explicitly stating the reasons for my presence, in contrast to the covert stance of concealing the purpose of the researchers’ presence and the focus of their research (DeWalt and DeWalt, 2011). A covert approach to participant-observations has been called unethical (DeWalt and DeWalt, 2011) and as the methodology is understood as a ‘moral activity’ (Nobilt, Flores and Murillo, 2004, p. 24), with responsibility toward the participants (Lester and Anders, 2018), it was felt an overt participant-observer role was ethically compatible to the methodology used. </w:t>
      </w:r>
    </w:p>
    <w:p w14:paraId="613DA01C"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14343B26"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lastRenderedPageBreak/>
        <w:t xml:space="preserve">Therefore, whilst participant-observation is not a straightforward method given the seeming ambiguity in regard to practical application, it does allow for ‘the most direct understanding of the phenomena under study’ (Murchison, 2010, p. 91). This direct connection to the participants, its compatibility to the research paradigm meant it was an appropriate method for this research. </w:t>
      </w:r>
    </w:p>
    <w:p w14:paraId="32CDE6A4"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2015E025" w14:textId="77777777" w:rsidR="00004A52" w:rsidRPr="00004A52" w:rsidRDefault="00004A52" w:rsidP="00004A52">
      <w:pPr>
        <w:keepNext/>
        <w:suppressAutoHyphens/>
        <w:autoSpaceDN w:val="0"/>
        <w:spacing w:after="240" w:line="250" w:lineRule="auto"/>
        <w:textAlignment w:val="baseline"/>
        <w:outlineLvl w:val="3"/>
        <w:rPr>
          <w:rFonts w:ascii="Calibri" w:eastAsia="Times New Roman" w:hAnsi="Calibri" w:cs="Times New Roman"/>
          <w:bCs/>
          <w:sz w:val="28"/>
          <w:szCs w:val="28"/>
          <w:u w:val="single"/>
        </w:rPr>
      </w:pPr>
      <w:r w:rsidRPr="00004A52">
        <w:rPr>
          <w:rFonts w:ascii="Calibri" w:eastAsia="Times New Roman" w:hAnsi="Calibri" w:cs="Times New Roman"/>
          <w:bCs/>
          <w:sz w:val="28"/>
          <w:szCs w:val="28"/>
          <w:u w:val="single"/>
        </w:rPr>
        <w:t xml:space="preserve">Semi-structured interviews </w:t>
      </w:r>
    </w:p>
    <w:p w14:paraId="0244B89F"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The research interviews were conducted by using semi-structured interviews and was influenced by feminist research theory. Whilst feminist research is not the theoretical lens used in this research, it does provide relevant interviewing principles based on equality, which echo the critical research paradigm.</w:t>
      </w:r>
      <w:r w:rsidRPr="00004A52">
        <w:rPr>
          <w:rFonts w:ascii="Calibri" w:eastAsia="Calibri" w:hAnsi="Calibri" w:cs="Times New Roman"/>
          <w:color w:val="0070C0"/>
          <w:sz w:val="24"/>
          <w:szCs w:val="24"/>
        </w:rPr>
        <w:t xml:space="preserve"> </w:t>
      </w:r>
      <w:r w:rsidRPr="00004A52">
        <w:rPr>
          <w:rFonts w:ascii="Calibri" w:eastAsia="Calibri" w:hAnsi="Calibri" w:cs="Times New Roman"/>
          <w:sz w:val="24"/>
          <w:szCs w:val="24"/>
        </w:rPr>
        <w:t>The suitability of using semi-structured interviewing, as influenced by feminist theory, in post-critical ethnographic research has been recognised given that both approaches seek to challenge power, oppression and call for researcher reflexivity (Anders, 2019, pp. 5-6).</w:t>
      </w:r>
      <w:r w:rsidRPr="00004A52">
        <w:rPr>
          <w:rFonts w:ascii="Calibri" w:eastAsia="Calibri" w:hAnsi="Calibri" w:cs="Times New Roman"/>
          <w:color w:val="0070C0"/>
          <w:sz w:val="24"/>
          <w:szCs w:val="24"/>
        </w:rPr>
        <w:t xml:space="preserve"> </w:t>
      </w:r>
      <w:r w:rsidRPr="00004A52">
        <w:rPr>
          <w:rFonts w:ascii="Calibri" w:eastAsia="Calibri" w:hAnsi="Calibri" w:cs="Times New Roman"/>
          <w:sz w:val="24"/>
          <w:szCs w:val="24"/>
        </w:rPr>
        <w:t xml:space="preserve"> At the forefront of feminist research interviewing was Oakley (1981), who argued that research interviewing was traditionally based on a masculine paradigm, where objectivity prevailed. To overcome this, Oakley (1981) suggests a non-hierarchical, collaborative dynamic between researcher and participant, as well as personal investment by the researcher. In the same way, feminist theory advocates equality between researcher and participant (Ormston </w:t>
      </w:r>
      <w:r w:rsidRPr="00004A52">
        <w:rPr>
          <w:rFonts w:ascii="Calibri" w:eastAsia="Calibri" w:hAnsi="Calibri" w:cs="Times New Roman"/>
          <w:i/>
          <w:iCs/>
          <w:sz w:val="24"/>
          <w:szCs w:val="24"/>
        </w:rPr>
        <w:t>et al</w:t>
      </w:r>
      <w:r w:rsidRPr="00004A52">
        <w:rPr>
          <w:rFonts w:ascii="Calibri" w:eastAsia="Calibri" w:hAnsi="Calibri" w:cs="Times New Roman"/>
          <w:sz w:val="24"/>
          <w:szCs w:val="24"/>
        </w:rPr>
        <w:t>, 2014) and is conducted reflexively and relationally (</w:t>
      </w:r>
      <w:r w:rsidRPr="00004A52">
        <w:rPr>
          <w:rFonts w:ascii="Calibri" w:eastAsia="Calibri" w:hAnsi="Calibri" w:cs="Calibri"/>
          <w:sz w:val="24"/>
          <w:szCs w:val="24"/>
        </w:rPr>
        <w:t xml:space="preserve">DeVault and Gross, 2007).  To achieve this, I was able to transfer my training as a counsellor to the role of researcher and interviewer. This was done using active listening skills, whereby one listens to what is being said and what is not being said, and the ability to ask questions that deepened the conversation whilst keeping the participant emotionally safe. </w:t>
      </w:r>
      <w:r w:rsidRPr="00004A52">
        <w:rPr>
          <w:rFonts w:ascii="Calibri" w:eastAsia="Calibri" w:hAnsi="Calibri" w:cs="Times New Roman"/>
          <w:sz w:val="24"/>
          <w:szCs w:val="24"/>
        </w:rPr>
        <w:t xml:space="preserve">Indeed, it has been suggested that ‘the gathering of stories </w:t>
      </w:r>
      <w:r w:rsidRPr="00004A52">
        <w:rPr>
          <w:rFonts w:ascii="Calibri" w:eastAsia="Calibri" w:hAnsi="Calibri" w:cs="Times New Roman"/>
          <w:sz w:val="24"/>
          <w:szCs w:val="24"/>
        </w:rPr>
        <w:lastRenderedPageBreak/>
        <w:t xml:space="preserve">through conversation (or other means) is familiar and comparatively easy’ for counsellors turned researchers (Etherington, 2004, p. 80). </w:t>
      </w:r>
    </w:p>
    <w:p w14:paraId="216B62B0"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2FB5B2E3"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In this research, semi-structured interviewing was understood as a method which would allow the participants voices to be heard and I would ‘follow’ their answers to ensure relationality and equality. Similarly, when reproducing the excerpts from the interviews in Chapter 5, the decision was made to use lengthy verbatim extracts from the interviews to represent their voices accurately, in line with post-critical ethnography’s idea of representation </w:t>
      </w:r>
      <w:bookmarkStart w:id="20" w:name="_Hlk59270015"/>
      <w:r w:rsidRPr="00004A52">
        <w:rPr>
          <w:rFonts w:ascii="Calibri" w:eastAsia="Calibri" w:hAnsi="Calibri" w:cs="Times New Roman"/>
          <w:sz w:val="24"/>
          <w:szCs w:val="24"/>
        </w:rPr>
        <w:t>(Noblit, Flores and Murillo, 2004; Anders 2019)</w:t>
      </w:r>
      <w:bookmarkEnd w:id="20"/>
      <w:r w:rsidRPr="00004A52">
        <w:rPr>
          <w:rFonts w:ascii="Calibri" w:eastAsia="Calibri" w:hAnsi="Calibri" w:cs="Times New Roman"/>
          <w:sz w:val="24"/>
          <w:szCs w:val="24"/>
        </w:rPr>
        <w:t>. This meant that the interviews were situated as a significant method to ethically represent the participants. In addition, reflexivity (see below), was used in the semi-structured interviews to consider the role I was playing in the interview process. For example, my own reaction to one participant’s use of discriminatory racial language (Chapter 4, Section 4.4) and some participants’ hostility to being asked about being white (Chapter 6, Section 6.4). This reflexive consideration of my role in the interview process also falls in line with post-critical ethnography’s emphasis on the researcher positionality and reflexivity (Noblit, Flores and Murillo, 2004; Anders 2019). In this way, the methodological principles have been applied to the method.</w:t>
      </w:r>
      <w:r w:rsidRPr="00004A52">
        <w:rPr>
          <w:rFonts w:ascii="Calibri" w:eastAsia="Calibri" w:hAnsi="Calibri" w:cs="Times New Roman"/>
          <w:color w:val="0070C0"/>
          <w:sz w:val="24"/>
          <w:szCs w:val="24"/>
        </w:rPr>
        <w:t xml:space="preserve"> </w:t>
      </w:r>
    </w:p>
    <w:p w14:paraId="689C7ABD" w14:textId="77777777" w:rsidR="00004A52" w:rsidRPr="00004A52" w:rsidRDefault="00004A52" w:rsidP="00004A52">
      <w:pPr>
        <w:suppressAutoHyphens/>
        <w:autoSpaceDN w:val="0"/>
        <w:spacing w:after="0" w:line="480" w:lineRule="auto"/>
        <w:textAlignment w:val="baseline"/>
        <w:rPr>
          <w:rFonts w:ascii="Calibri" w:eastAsia="Calibri" w:hAnsi="Calibri" w:cs="Calibri"/>
          <w:sz w:val="24"/>
          <w:szCs w:val="24"/>
        </w:rPr>
      </w:pPr>
    </w:p>
    <w:p w14:paraId="561DA16A" w14:textId="77777777" w:rsidR="00004A52" w:rsidRPr="00004A52" w:rsidRDefault="00004A52" w:rsidP="00004A52">
      <w:pPr>
        <w:keepNext/>
        <w:suppressAutoHyphens/>
        <w:autoSpaceDN w:val="0"/>
        <w:spacing w:after="240" w:line="250" w:lineRule="auto"/>
        <w:textAlignment w:val="baseline"/>
        <w:outlineLvl w:val="3"/>
        <w:rPr>
          <w:rFonts w:ascii="Calibri" w:eastAsia="Times New Roman" w:hAnsi="Calibri" w:cs="Times New Roman"/>
          <w:bCs/>
          <w:sz w:val="28"/>
          <w:szCs w:val="28"/>
          <w:u w:val="single"/>
        </w:rPr>
      </w:pPr>
      <w:r w:rsidRPr="00004A52">
        <w:rPr>
          <w:rFonts w:ascii="Calibri" w:eastAsia="Times New Roman" w:hAnsi="Calibri" w:cs="Times New Roman"/>
          <w:bCs/>
          <w:sz w:val="28"/>
          <w:szCs w:val="28"/>
          <w:u w:val="single"/>
        </w:rPr>
        <w:t>Reflexivity</w:t>
      </w:r>
    </w:p>
    <w:p w14:paraId="49C649E8"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Reflexivity is a core part of post-critical ethnography (Noblit, Flores and Murillo, 2004; Anders, 2019) as well as an essential component of counselling training, when the trainee is expected to work through personal difficulties and consider their position in relation to theory and practice (Hedges, 2010). Therefore, becoming a reflexive researcher and </w:t>
      </w:r>
      <w:r w:rsidRPr="00004A52">
        <w:rPr>
          <w:rFonts w:ascii="Calibri" w:eastAsia="Calibri" w:hAnsi="Calibri" w:cs="Times New Roman"/>
          <w:sz w:val="24"/>
          <w:szCs w:val="24"/>
        </w:rPr>
        <w:lastRenderedPageBreak/>
        <w:t xml:space="preserve">articulating this reflexivity, felt a natural extension of a process I have been engaged in since 2013. Etherington (2004), herself a trained psychotherapist turned researcher, recognised this transferable skill across seemingly disparate disciplines. Similarly, Kara (2015, p. 72) acknowledges that the practice of reflexivity can connect social research and reflective professional practice.  </w:t>
      </w:r>
    </w:p>
    <w:p w14:paraId="570E206C"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53FEB297"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Reflexivity has so far been demonstrated by outlining the personal background to this research and my positionality (Chapter 1, Sections 1.1 and 1.5), the reasons for selecting the research paradigm (Chapter 3) and will also be expressed in Chapter 6 (Sections 6.1 and 6.4) when reflecting on the socio-political context of the research and the feelings which ensued from participants’ reaction to being asked about whiteness. It has also been expressed elsewhere when considering the emotional impact of conducting research (Smith, 2021; Appendix vi).</w:t>
      </w:r>
    </w:p>
    <w:p w14:paraId="6D161F2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04B5DBE9"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Reflexivity has been referred to as ‘the capacity of the researcher to acknowledge how their own experiences and contexts (which might be fluid and changing) inform the process and outcomes of inquiry’ (Etherington, 2004, pp. 31-32). Further, reflexivity is not simply self-reflection, which relates to thinking about our actions, but refers to a critical examination of our experience (May and Perry, 2017). Therefore, the use of reflexivity in this research relates not only to an ongoing critical consideration of how my positionality relates to this research, but also to being unambiguous about the biases that I brought to this research. In Chapter 1, I explained my theoretical and personal positionality (Section 1.5), as well as the circumstances that led to this research project (Section 1.1). The continuing examination of this position is interspersed throughout the research. Emirbayer and Desmond (2015, p. 43) </w:t>
      </w:r>
      <w:r w:rsidRPr="00004A52">
        <w:rPr>
          <w:rFonts w:ascii="Calibri" w:eastAsia="Calibri" w:hAnsi="Calibri" w:cs="Times New Roman"/>
          <w:sz w:val="24"/>
          <w:szCs w:val="24"/>
        </w:rPr>
        <w:lastRenderedPageBreak/>
        <w:t xml:space="preserve">state the researcher’s intellectual biases need to be exposed. It is this spirit and in the quest for researcher reflexivity that I outline the conscious biases that were brought to this research. </w:t>
      </w:r>
    </w:p>
    <w:p w14:paraId="4FC22AB9"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66EDD412"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This research commenced during a period of dealing with vicarious traumatisation (McCann and Pearlman, 1990; Smith, 2021, see Appendix vi) and the decision to stop counselling practice indefinitely. This was a challenging time and my feelings toward the counselling profession were that of disillusionment (Smith, 2020). However, by the Autumn of 2019, these feelings had dissipated and whilst I felt I could not participate in the profession anymore, the negative feelings toward the profession had subsided as the fieldwork commenced. This coincided with my self-perception developing: </w:t>
      </w:r>
    </w:p>
    <w:p w14:paraId="4CEDA0B6" w14:textId="77777777" w:rsidR="00004A52" w:rsidRPr="00004A52" w:rsidRDefault="00004A52" w:rsidP="00004A52">
      <w:pPr>
        <w:suppressAutoHyphens/>
        <w:autoSpaceDN w:val="0"/>
        <w:spacing w:after="0" w:line="240" w:lineRule="auto"/>
        <w:ind w:left="567" w:right="567"/>
        <w:textAlignment w:val="baseline"/>
        <w:rPr>
          <w:rFonts w:ascii="Calibri" w:eastAsia="Calibri" w:hAnsi="Calibri" w:cs="Times New Roman"/>
          <w:sz w:val="24"/>
          <w:szCs w:val="24"/>
        </w:rPr>
      </w:pPr>
      <w:r w:rsidRPr="00004A52">
        <w:rPr>
          <w:rFonts w:ascii="Calibri" w:eastAsia="Calibri" w:hAnsi="Calibri" w:cs="Times New Roman"/>
          <w:i/>
          <w:iCs/>
          <w:sz w:val="24"/>
          <w:szCs w:val="24"/>
        </w:rPr>
        <w:t>I am no longer a counsellor who is doing research. I am now a researcher who is researching counselling</w:t>
      </w:r>
      <w:r w:rsidRPr="00004A52">
        <w:rPr>
          <w:rFonts w:ascii="Calibri" w:eastAsia="Calibri" w:hAnsi="Calibri" w:cs="Times New Roman"/>
          <w:sz w:val="24"/>
          <w:szCs w:val="24"/>
        </w:rPr>
        <w:t xml:space="preserve"> (Smith, 06.06.19)</w:t>
      </w:r>
    </w:p>
    <w:p w14:paraId="533B4EB7"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2547B233"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The change of self-perception was integral in the approach toward the research. The epochal realisation that I am a researcher who was once a counsellor allowed a feeling of insider/outsider status to the counselling profession, whereby I understood its culture, practices and norms but did not feel invested in it or a representative of it. Therefore, this allowed a critical approach whilst recognising the subjective experiences brought to this research.  </w:t>
      </w:r>
    </w:p>
    <w:p w14:paraId="4A8C21B3"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7CF59B54"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Another potential bias is that my counselling training was undertaken at the college researched, meaning there is a familiarity with the environment, staff, course and the process of training itself. My time there was a largely positive one, as it fostered my interest in academic learning and facilitated leaps in personal growth. Considering the </w:t>
      </w:r>
      <w:r w:rsidRPr="00004A52">
        <w:rPr>
          <w:rFonts w:ascii="Calibri" w:eastAsia="Calibri" w:hAnsi="Calibri" w:cs="Times New Roman"/>
          <w:sz w:val="24"/>
          <w:szCs w:val="24"/>
        </w:rPr>
        <w:lastRenderedPageBreak/>
        <w:t xml:space="preserve">notion of immanent critique, which encourages the understanding of a culture by using the resources from within it (Sabia, 2010), in line with my epistemological stance of subjectivity allows this potential bias to be embraced through utilising my internalised position as a way of understanding the culture. </w:t>
      </w:r>
    </w:p>
    <w:p w14:paraId="7554D468"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52659364"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As ‘race’ is focus of the research question, it is pertinent to consider reflexivity in relation to racial positionality. Milner (2007) put forward a non-linear framework for researchers in relation to racial and cultural positionality, influenced by critical race theory. This framework is intended to alleviate ‘dangers seen, unseen and unforeseen’ (Milner, 2007, p. 388; Table 16) that may occur in the research process if the researcher does not consider their own positionality:</w:t>
      </w:r>
    </w:p>
    <w:p w14:paraId="1DD435AD" w14:textId="77777777" w:rsidR="00004A52" w:rsidRPr="00004A52" w:rsidRDefault="00004A52" w:rsidP="00004A52">
      <w:pPr>
        <w:keepNext/>
        <w:suppressAutoHyphens/>
        <w:autoSpaceDN w:val="0"/>
        <w:spacing w:after="200" w:line="240" w:lineRule="auto"/>
        <w:textAlignment w:val="baseline"/>
        <w:rPr>
          <w:rFonts w:ascii="Calibri" w:eastAsia="Calibri" w:hAnsi="Calibri" w:cs="Times New Roman"/>
          <w:i/>
          <w:iCs/>
          <w:color w:val="44546A" w:themeColor="text2"/>
          <w:sz w:val="24"/>
          <w:szCs w:val="24"/>
        </w:rPr>
      </w:pPr>
      <w:bookmarkStart w:id="21" w:name="_Toc72253530"/>
      <w:bookmarkStart w:id="22" w:name="_Toc72253852"/>
      <w:bookmarkStart w:id="23" w:name="_Toc72253874"/>
      <w:bookmarkStart w:id="24" w:name="_Toc72324677"/>
      <w:bookmarkStart w:id="25" w:name="_Hlk67128244"/>
      <w:r w:rsidRPr="00004A52">
        <w:rPr>
          <w:rFonts w:ascii="Calibri" w:eastAsia="Calibri" w:hAnsi="Calibri" w:cs="Times New Roman"/>
          <w:i/>
          <w:iCs/>
          <w:color w:val="44546A" w:themeColor="text2"/>
          <w:sz w:val="24"/>
          <w:szCs w:val="24"/>
        </w:rPr>
        <w:t xml:space="preserve">Table </w:t>
      </w:r>
      <w:r w:rsidRPr="00004A52">
        <w:rPr>
          <w:rFonts w:ascii="Calibri" w:eastAsia="Calibri" w:hAnsi="Calibri" w:cs="Times New Roman"/>
          <w:i/>
          <w:iCs/>
          <w:color w:val="44546A" w:themeColor="text2"/>
          <w:sz w:val="24"/>
          <w:szCs w:val="24"/>
        </w:rPr>
        <w:fldChar w:fldCharType="begin"/>
      </w:r>
      <w:r w:rsidRPr="00004A52">
        <w:rPr>
          <w:rFonts w:ascii="Calibri" w:eastAsia="Calibri" w:hAnsi="Calibri" w:cs="Times New Roman"/>
          <w:i/>
          <w:iCs/>
          <w:color w:val="44546A" w:themeColor="text2"/>
          <w:sz w:val="24"/>
          <w:szCs w:val="24"/>
        </w:rPr>
        <w:instrText xml:space="preserve"> SEQ Table \* ARABIC </w:instrText>
      </w:r>
      <w:r w:rsidRPr="00004A52">
        <w:rPr>
          <w:rFonts w:ascii="Calibri" w:eastAsia="Calibri" w:hAnsi="Calibri" w:cs="Times New Roman"/>
          <w:i/>
          <w:iCs/>
          <w:color w:val="44546A" w:themeColor="text2"/>
          <w:sz w:val="24"/>
          <w:szCs w:val="24"/>
        </w:rPr>
        <w:fldChar w:fldCharType="separate"/>
      </w:r>
      <w:r w:rsidRPr="00004A52">
        <w:rPr>
          <w:rFonts w:ascii="Calibri" w:eastAsia="Calibri" w:hAnsi="Calibri" w:cs="Times New Roman"/>
          <w:i/>
          <w:iCs/>
          <w:noProof/>
          <w:color w:val="44546A" w:themeColor="text2"/>
          <w:sz w:val="24"/>
          <w:szCs w:val="24"/>
        </w:rPr>
        <w:t>16</w:t>
      </w:r>
      <w:r w:rsidRPr="00004A52">
        <w:rPr>
          <w:rFonts w:ascii="Calibri" w:eastAsia="Calibri" w:hAnsi="Calibri" w:cs="Times New Roman"/>
          <w:i/>
          <w:iCs/>
          <w:color w:val="44546A" w:themeColor="text2"/>
          <w:sz w:val="24"/>
          <w:szCs w:val="24"/>
        </w:rPr>
        <w:fldChar w:fldCharType="end"/>
      </w:r>
      <w:r w:rsidRPr="00004A52">
        <w:rPr>
          <w:rFonts w:ascii="Calibri" w:eastAsia="Calibri" w:hAnsi="Calibri" w:cs="Times New Roman"/>
          <w:i/>
          <w:iCs/>
          <w:color w:val="44546A" w:themeColor="text2"/>
          <w:sz w:val="24"/>
          <w:szCs w:val="24"/>
        </w:rPr>
        <w:t xml:space="preserve"> Summary of the Framework for Race, Culture and Researcher Positionality</w:t>
      </w:r>
      <w:bookmarkEnd w:id="21"/>
      <w:bookmarkEnd w:id="22"/>
      <w:bookmarkEnd w:id="23"/>
      <w:bookmarkEnd w:id="24"/>
    </w:p>
    <w:tbl>
      <w:tblPr>
        <w:tblW w:w="0" w:type="auto"/>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2127"/>
        <w:gridCol w:w="6332"/>
      </w:tblGrid>
      <w:tr w:rsidR="00004A52" w:rsidRPr="00004A52" w14:paraId="5FBDB13D" w14:textId="77777777" w:rsidTr="00C75158">
        <w:tc>
          <w:tcPr>
            <w:tcW w:w="2127" w:type="dxa"/>
            <w:shd w:val="clear" w:color="auto" w:fill="auto"/>
          </w:tcPr>
          <w:bookmarkEnd w:id="25"/>
          <w:p w14:paraId="711BF939"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Feature</w:t>
            </w:r>
          </w:p>
        </w:tc>
        <w:tc>
          <w:tcPr>
            <w:tcW w:w="6332" w:type="dxa"/>
            <w:shd w:val="clear" w:color="auto" w:fill="auto"/>
          </w:tcPr>
          <w:p w14:paraId="5934F591"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Description</w:t>
            </w:r>
          </w:p>
        </w:tc>
      </w:tr>
      <w:tr w:rsidR="00004A52" w:rsidRPr="00004A52" w14:paraId="01C83235" w14:textId="77777777" w:rsidTr="00C75158">
        <w:tc>
          <w:tcPr>
            <w:tcW w:w="2127" w:type="dxa"/>
            <w:shd w:val="clear" w:color="auto" w:fill="F2F2F2"/>
          </w:tcPr>
          <w:p w14:paraId="0B454AC7"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Researching the Self</w:t>
            </w:r>
          </w:p>
        </w:tc>
        <w:tc>
          <w:tcPr>
            <w:tcW w:w="6332" w:type="dxa"/>
            <w:shd w:val="clear" w:color="auto" w:fill="F2F2F2"/>
          </w:tcPr>
          <w:p w14:paraId="7C52710E"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Researchers question their own racial positionality by asking racially framed questions. These include considerations of how their positionality, racial understanding and beliefs can impact the research. </w:t>
            </w:r>
          </w:p>
        </w:tc>
      </w:tr>
      <w:tr w:rsidR="00004A52" w:rsidRPr="00004A52" w14:paraId="2CF08625" w14:textId="77777777" w:rsidTr="00C75158">
        <w:tc>
          <w:tcPr>
            <w:tcW w:w="2127" w:type="dxa"/>
            <w:shd w:val="clear" w:color="auto" w:fill="auto"/>
          </w:tcPr>
          <w:p w14:paraId="783AC223"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Researching the Self in Relation to Others</w:t>
            </w:r>
          </w:p>
        </w:tc>
        <w:tc>
          <w:tcPr>
            <w:tcW w:w="6332" w:type="dxa"/>
            <w:shd w:val="clear" w:color="auto" w:fill="auto"/>
          </w:tcPr>
          <w:p w14:paraId="0136C357"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Researchers reflect about how they relate to their participants and recognise the multiples identities that both researcher and participants bring to the research. Power relations between the researcher and participants are contemplated. </w:t>
            </w:r>
          </w:p>
        </w:tc>
      </w:tr>
      <w:tr w:rsidR="00004A52" w:rsidRPr="00004A52" w14:paraId="50267E72" w14:textId="77777777" w:rsidTr="00C75158">
        <w:tc>
          <w:tcPr>
            <w:tcW w:w="2127" w:type="dxa"/>
            <w:shd w:val="clear" w:color="auto" w:fill="F2F2F2"/>
          </w:tcPr>
          <w:p w14:paraId="2257135C"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Engaged Reflection and Representation</w:t>
            </w:r>
          </w:p>
        </w:tc>
        <w:tc>
          <w:tcPr>
            <w:tcW w:w="6332" w:type="dxa"/>
            <w:shd w:val="clear" w:color="auto" w:fill="F2F2F2"/>
          </w:tcPr>
          <w:p w14:paraId="018E6E34"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Researchers and participants reflect collaboratively and both voices are represented in the findings. If the researcher and the participants disagree, it should be included in the findings. </w:t>
            </w:r>
          </w:p>
        </w:tc>
      </w:tr>
      <w:tr w:rsidR="00004A52" w:rsidRPr="00004A52" w14:paraId="40A250EF" w14:textId="77777777" w:rsidTr="00C75158">
        <w:tc>
          <w:tcPr>
            <w:tcW w:w="2127" w:type="dxa"/>
            <w:shd w:val="clear" w:color="auto" w:fill="auto"/>
          </w:tcPr>
          <w:p w14:paraId="6FCDAA6D"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 w:val="24"/>
                <w:szCs w:val="24"/>
              </w:rPr>
            </w:pPr>
            <w:r w:rsidRPr="00004A52">
              <w:rPr>
                <w:rFonts w:ascii="Calibri" w:eastAsia="Calibri" w:hAnsi="Calibri" w:cs="Times New Roman"/>
                <w:b/>
                <w:bCs/>
                <w:sz w:val="24"/>
                <w:szCs w:val="24"/>
              </w:rPr>
              <w:t>Shifting from Self to System</w:t>
            </w:r>
          </w:p>
        </w:tc>
        <w:tc>
          <w:tcPr>
            <w:tcW w:w="6332" w:type="dxa"/>
            <w:shd w:val="clear" w:color="auto" w:fill="auto"/>
          </w:tcPr>
          <w:p w14:paraId="400FFE79"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The research findings are contextualised into historical, racial and socio-political realities. This allows for the awareness of the systemic racism. </w:t>
            </w:r>
          </w:p>
        </w:tc>
      </w:tr>
    </w:tbl>
    <w:p w14:paraId="2E07A6A9" w14:textId="77777777" w:rsidR="00004A52" w:rsidRPr="00004A52" w:rsidRDefault="00004A52" w:rsidP="00004A52">
      <w:pPr>
        <w:suppressAutoHyphens/>
        <w:autoSpaceDN w:val="0"/>
        <w:spacing w:after="0" w:line="480" w:lineRule="auto"/>
        <w:jc w:val="right"/>
        <w:textAlignment w:val="baseline"/>
        <w:rPr>
          <w:rFonts w:ascii="Calibri" w:eastAsia="Calibri" w:hAnsi="Calibri" w:cs="Times New Roman"/>
          <w:sz w:val="24"/>
          <w:szCs w:val="24"/>
        </w:rPr>
      </w:pPr>
      <w:r w:rsidRPr="00004A52">
        <w:rPr>
          <w:rFonts w:ascii="Calibri" w:eastAsia="Calibri" w:hAnsi="Calibri" w:cs="Times New Roman"/>
          <w:sz w:val="24"/>
          <w:szCs w:val="24"/>
        </w:rPr>
        <w:t>(</w:t>
      </w:r>
      <w:r w:rsidRPr="00004A52">
        <w:rPr>
          <w:rFonts w:ascii="Calibri" w:eastAsia="Calibri" w:hAnsi="Calibri" w:cs="Times New Roman"/>
          <w:i/>
          <w:iCs/>
          <w:sz w:val="24"/>
          <w:szCs w:val="24"/>
        </w:rPr>
        <w:t xml:space="preserve">adapted from </w:t>
      </w:r>
      <w:r w:rsidRPr="00004A52">
        <w:rPr>
          <w:rFonts w:ascii="Calibri" w:eastAsia="Calibri" w:hAnsi="Calibri" w:cs="Times New Roman"/>
          <w:sz w:val="24"/>
          <w:szCs w:val="24"/>
        </w:rPr>
        <w:t>Milner, 2007, pp. 395-397)</w:t>
      </w:r>
    </w:p>
    <w:p w14:paraId="76915FF5"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Applying Milner’s (2007) framework to this research, it can be seen that ‘researching the self’ (p. 395), in terms of my positionality is evident in Chapter 1 (Section 1.1) with a clear recounting of my largely de-racialised life pre-2015, the journey to this research topic and </w:t>
      </w:r>
      <w:r w:rsidRPr="00004A52">
        <w:rPr>
          <w:rFonts w:ascii="Calibri" w:eastAsia="Calibri" w:hAnsi="Calibri" w:cs="Times New Roman"/>
          <w:sz w:val="24"/>
          <w:szCs w:val="24"/>
        </w:rPr>
        <w:lastRenderedPageBreak/>
        <w:t xml:space="preserve">the continued reflections upon my positionality are woven throughout the thesis. The dynamics between myself and the participants will be shown in Chapter 6, particularly in relation to the question of whiteness (Section 6.4). The collaborative nature of ‘engaged reflection and representation’ (Milner, 2007, p. 396) mirrors post-critical ethnography’s central issues of representation and objectivity as they are concerned with how the participants are represented in the findings and the process of writing-up the findings. This was done with care, with the principle of ‘no-harm’ toward the participants at the forefront of the process, in line with the morality of post-critical ethnography (Noblit, Flores and Murillo, 2004). Finally, ‘shifting from self to others’ (Milner, 2007, p. 397) has been demonstrated in (Chapter 2, Sections 2.1.1 and 2.1.2) where historical and contemporary understandings of ‘race’ were presented, and the research findings which will be placed into a wider historical and socio-political context (Chapter 6). Nevertheless, despite these intentions of racial reflexivity, D’Arcangelis (2018) argues that as a white researcher she was unable to fully appreciate how her subjectivity and power would influence her research despite her efforts to the contrary. For that reason, reflexivity may only be possible if one accepts that it is a fallible process and can only work if the researcher is engaged and open to feedback. </w:t>
      </w:r>
    </w:p>
    <w:p w14:paraId="421B2D8B"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27AF0AEF" w14:textId="77777777" w:rsidR="00004A52" w:rsidRPr="00004A52" w:rsidRDefault="00004A52" w:rsidP="00004A52">
      <w:pPr>
        <w:keepNext/>
        <w:suppressAutoHyphens/>
        <w:autoSpaceDN w:val="0"/>
        <w:spacing w:before="240" w:after="60" w:line="249" w:lineRule="auto"/>
        <w:textAlignment w:val="baseline"/>
        <w:outlineLvl w:val="3"/>
        <w:rPr>
          <w:rFonts w:ascii="Calibri" w:eastAsia="Times New Roman" w:hAnsi="Calibri" w:cs="Times New Roman"/>
          <w:bCs/>
          <w:sz w:val="28"/>
          <w:szCs w:val="28"/>
          <w:u w:val="single"/>
        </w:rPr>
      </w:pPr>
      <w:r w:rsidRPr="00004A52">
        <w:rPr>
          <w:rFonts w:ascii="Calibri" w:eastAsia="Times New Roman" w:hAnsi="Calibri" w:cs="Times New Roman"/>
          <w:bCs/>
          <w:sz w:val="28"/>
          <w:szCs w:val="28"/>
          <w:u w:val="single"/>
        </w:rPr>
        <w:t>Document-analysis</w:t>
      </w:r>
    </w:p>
    <w:p w14:paraId="014339B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The final method used was document analysis. It has been argued that ‘good’ ethnographic research requires the combination of observation, interviews and what can be termed as ‘archival sources’ (Angrosino, 2007, p. 51). As mentioned above, this triptych of methods was used in this research. The primary advantage of this method is that it can allow quick and easy access to data (Braun and Clarke, 2013). This was my own experience as I asked </w:t>
      </w:r>
      <w:r w:rsidRPr="00004A52">
        <w:rPr>
          <w:rFonts w:ascii="Calibri" w:eastAsia="Calibri" w:hAnsi="Calibri" w:cs="Times New Roman"/>
          <w:sz w:val="24"/>
          <w:szCs w:val="24"/>
        </w:rPr>
        <w:lastRenderedPageBreak/>
        <w:t>the course tutor for copies of the student handbook (Student Handbook 2019/2020) and assignment briefs which he immediately gave me. I was also given handouts for the seminars I observed. However, despite the use of documents being a part of social science research, it is seldom emphasised (Prior, 2008). Despite this, ‘documents gain purchase through the work of people in context who create, interpret and promote them in specific ways’ (Wells, MacLeod and Frank, 2012, p. 120). This can be achieved through questioning the purpose of the document, as well as what has been included or excluded in it (Angrosino, 2007). The way in which the documents analysed in this research excluded ‘race’, racism and whiteness, particularly the Student Handbook 2019/2020, is discussed in Chapter 5 (Section 5.5) and in Chapter 6 (Section 6.6).</w:t>
      </w:r>
    </w:p>
    <w:p w14:paraId="0B09A827" w14:textId="77777777" w:rsidR="00004A52" w:rsidRPr="00004A52" w:rsidRDefault="00004A52" w:rsidP="00004A52">
      <w:pPr>
        <w:spacing w:before="100" w:beforeAutospacing="1" w:after="100" w:afterAutospacing="1" w:line="480" w:lineRule="auto"/>
        <w:rPr>
          <w:rFonts w:eastAsia="Times New Roman" w:cstheme="minorHAnsi"/>
          <w:sz w:val="24"/>
          <w:szCs w:val="24"/>
          <w:lang w:eastAsia="en-GB"/>
        </w:rPr>
      </w:pPr>
      <w:r w:rsidRPr="00004A52">
        <w:rPr>
          <w:rFonts w:eastAsia="Times New Roman" w:cstheme="minorHAnsi"/>
          <w:sz w:val="24"/>
          <w:szCs w:val="24"/>
          <w:lang w:eastAsia="en-GB"/>
        </w:rPr>
        <w:t>On reflection, it is recognised that less emphasis was placed on the use of document-analysis in comparison to participant-observation, semi-structured interviews and reflexivity. The reason for this is that the focus of the research was on the personal experience of the participants’ understanding of ‘race’, racism and whiteness. This aligns with post-critical ethnography’s concern with participant representation (Noblit, Flores and Murillo, 2004; Anders, 2019) which participant-observation and semi-structured interviews permitted. However, the fact that document-analysis was de-emphasised as a method is a potential limitation of this research as an equal balance to the traditional triptych of ethnographic methods was not observed.</w:t>
      </w:r>
    </w:p>
    <w:p w14:paraId="0C849A04" w14:textId="77777777" w:rsidR="00004A52" w:rsidRPr="00004A52" w:rsidRDefault="00004A52" w:rsidP="00004A52">
      <w:pPr>
        <w:spacing w:before="100" w:beforeAutospacing="1" w:after="100" w:afterAutospacing="1" w:line="480" w:lineRule="auto"/>
        <w:rPr>
          <w:rFonts w:ascii="Times New Roman" w:eastAsia="Times New Roman" w:hAnsi="Times New Roman" w:cs="Times New Roman"/>
          <w:sz w:val="24"/>
          <w:szCs w:val="24"/>
          <w:lang w:eastAsia="en-GB"/>
        </w:rPr>
      </w:pPr>
    </w:p>
    <w:p w14:paraId="5615531F" w14:textId="77777777" w:rsidR="00004A52" w:rsidRPr="00004A52" w:rsidRDefault="00004A52" w:rsidP="00004A52">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26" w:name="_Toc56523012"/>
      <w:bookmarkStart w:id="27" w:name="_Toc56523294"/>
      <w:bookmarkStart w:id="28" w:name="_Toc57910102"/>
      <w:bookmarkStart w:id="29" w:name="_Toc58251318"/>
      <w:bookmarkStart w:id="30" w:name="_Toc72413644"/>
      <w:r w:rsidRPr="00004A52">
        <w:rPr>
          <w:rFonts w:ascii="Calibri Light" w:eastAsia="Times New Roman" w:hAnsi="Calibri Light" w:cs="Times New Roman"/>
          <w:b/>
          <w:bCs/>
          <w:sz w:val="28"/>
          <w:szCs w:val="26"/>
        </w:rPr>
        <w:t>4.3 Data analysis</w:t>
      </w:r>
      <w:bookmarkEnd w:id="26"/>
      <w:bookmarkEnd w:id="27"/>
      <w:bookmarkEnd w:id="28"/>
      <w:bookmarkEnd w:id="29"/>
      <w:bookmarkEnd w:id="30"/>
      <w:r w:rsidRPr="00004A52">
        <w:rPr>
          <w:rFonts w:ascii="Calibri Light" w:eastAsia="Times New Roman" w:hAnsi="Calibri Light" w:cs="Times New Roman"/>
          <w:b/>
          <w:bCs/>
          <w:sz w:val="28"/>
          <w:szCs w:val="26"/>
        </w:rPr>
        <w:t xml:space="preserve"> </w:t>
      </w:r>
    </w:p>
    <w:p w14:paraId="0B22AF48"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The method used to analyse the data was thematic analysis. The method is most associated with Braun and Clarke (2006) who present it as an accessible and flexible method of data </w:t>
      </w:r>
      <w:r w:rsidRPr="00004A52">
        <w:rPr>
          <w:rFonts w:ascii="Calibri" w:eastAsia="Calibri" w:hAnsi="Calibri" w:cs="Times New Roman"/>
          <w:sz w:val="24"/>
          <w:szCs w:val="24"/>
        </w:rPr>
        <w:lastRenderedPageBreak/>
        <w:t xml:space="preserve">analysis </w:t>
      </w:r>
      <w:bookmarkStart w:id="31" w:name="_Hlk52469146"/>
      <w:r w:rsidRPr="00004A52">
        <w:rPr>
          <w:rFonts w:ascii="Calibri" w:eastAsia="Calibri" w:hAnsi="Calibri" w:cs="Times New Roman"/>
          <w:sz w:val="24"/>
          <w:szCs w:val="24"/>
        </w:rPr>
        <w:t>(Braun and Clarke, 2006</w:t>
      </w:r>
      <w:bookmarkEnd w:id="31"/>
      <w:r w:rsidRPr="00004A52">
        <w:rPr>
          <w:rFonts w:ascii="Calibri" w:eastAsia="Calibri" w:hAnsi="Calibri" w:cs="Times New Roman"/>
          <w:sz w:val="24"/>
          <w:szCs w:val="24"/>
        </w:rPr>
        <w:t>). In the same way that participant-observations seeks to make patterns out of information being witnessed (Spradley, 2016), thematic analysis is also concerned with identifying patterns, termed themes, in the data:</w:t>
      </w:r>
    </w:p>
    <w:p w14:paraId="4CAB253D" w14:textId="77777777" w:rsidR="00004A52" w:rsidRPr="00004A52" w:rsidRDefault="00004A52" w:rsidP="00004A52">
      <w:pPr>
        <w:suppressAutoHyphens/>
        <w:autoSpaceDN w:val="0"/>
        <w:spacing w:after="0" w:line="240" w:lineRule="auto"/>
        <w:ind w:left="567" w:right="567"/>
        <w:textAlignment w:val="baseline"/>
        <w:rPr>
          <w:rFonts w:ascii="Calibri" w:eastAsia="Calibri" w:hAnsi="Calibri" w:cs="Times New Roman"/>
          <w:sz w:val="24"/>
          <w:szCs w:val="24"/>
        </w:rPr>
      </w:pPr>
      <w:r w:rsidRPr="00004A52">
        <w:rPr>
          <w:rFonts w:ascii="Calibri" w:eastAsia="Calibri" w:hAnsi="Calibri" w:cs="Times New Roman"/>
          <w:sz w:val="24"/>
          <w:szCs w:val="24"/>
        </w:rPr>
        <w:t>A theme captures something important about the data in relation to the research question, and represents some level of patterned response or meaning within the data set (Braun and Clarke, 2006, p. 82)</w:t>
      </w:r>
    </w:p>
    <w:p w14:paraId="5CC064F5" w14:textId="77777777" w:rsidR="00004A52" w:rsidRPr="00004A52" w:rsidRDefault="00004A52" w:rsidP="00004A52">
      <w:pPr>
        <w:suppressAutoHyphens/>
        <w:autoSpaceDN w:val="0"/>
        <w:spacing w:after="0" w:line="480" w:lineRule="auto"/>
        <w:ind w:left="567" w:right="567"/>
        <w:textAlignment w:val="baseline"/>
        <w:rPr>
          <w:rFonts w:ascii="Calibri" w:eastAsia="Calibri" w:hAnsi="Calibri" w:cs="Times New Roman"/>
          <w:sz w:val="24"/>
          <w:szCs w:val="24"/>
        </w:rPr>
      </w:pPr>
    </w:p>
    <w:p w14:paraId="5BEDF600"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Another definition of a theme is that it is an evocation of the participants experience (Nowell </w:t>
      </w:r>
      <w:r w:rsidRPr="00004A52">
        <w:rPr>
          <w:rFonts w:ascii="Calibri" w:eastAsia="Calibri" w:hAnsi="Calibri" w:cs="Times New Roman"/>
          <w:i/>
          <w:iCs/>
          <w:sz w:val="24"/>
          <w:szCs w:val="24"/>
        </w:rPr>
        <w:t>et al</w:t>
      </w:r>
      <w:r w:rsidRPr="00004A52">
        <w:rPr>
          <w:rFonts w:ascii="Calibri" w:eastAsia="Calibri" w:hAnsi="Calibri" w:cs="Times New Roman"/>
          <w:sz w:val="24"/>
          <w:szCs w:val="24"/>
        </w:rPr>
        <w:t>, 2017). To capture and represent the participants experience through themes, a thematic analysis of the data is conducted, which comprises of six steps:</w:t>
      </w:r>
    </w:p>
    <w:p w14:paraId="53034686" w14:textId="77777777" w:rsidR="00004A52" w:rsidRPr="00004A52" w:rsidRDefault="00004A52" w:rsidP="00004A52">
      <w:pPr>
        <w:keepNext/>
        <w:suppressAutoHyphens/>
        <w:autoSpaceDN w:val="0"/>
        <w:spacing w:after="200" w:line="240" w:lineRule="auto"/>
        <w:textAlignment w:val="baseline"/>
        <w:rPr>
          <w:rFonts w:ascii="Calibri" w:eastAsia="Calibri" w:hAnsi="Calibri" w:cs="Times New Roman"/>
          <w:i/>
          <w:iCs/>
          <w:color w:val="44546A" w:themeColor="text2"/>
          <w:sz w:val="24"/>
          <w:szCs w:val="24"/>
        </w:rPr>
      </w:pPr>
      <w:bookmarkStart w:id="32" w:name="_Toc72253531"/>
      <w:bookmarkStart w:id="33" w:name="_Toc72253853"/>
      <w:bookmarkStart w:id="34" w:name="_Toc72253875"/>
      <w:bookmarkStart w:id="35" w:name="_Toc72324678"/>
      <w:bookmarkStart w:id="36" w:name="_Hlk67128323"/>
      <w:bookmarkStart w:id="37" w:name="_Hlk37003544"/>
      <w:r w:rsidRPr="00004A52">
        <w:rPr>
          <w:rFonts w:ascii="Calibri" w:eastAsia="Calibri" w:hAnsi="Calibri" w:cs="Times New Roman"/>
          <w:i/>
          <w:iCs/>
          <w:color w:val="44546A" w:themeColor="text2"/>
          <w:sz w:val="24"/>
          <w:szCs w:val="24"/>
        </w:rPr>
        <w:t xml:space="preserve">Table </w:t>
      </w:r>
      <w:r w:rsidRPr="00004A52">
        <w:rPr>
          <w:rFonts w:ascii="Calibri" w:eastAsia="Calibri" w:hAnsi="Calibri" w:cs="Times New Roman"/>
          <w:i/>
          <w:iCs/>
          <w:color w:val="44546A" w:themeColor="text2"/>
          <w:sz w:val="24"/>
          <w:szCs w:val="24"/>
        </w:rPr>
        <w:fldChar w:fldCharType="begin"/>
      </w:r>
      <w:r w:rsidRPr="00004A52">
        <w:rPr>
          <w:rFonts w:ascii="Calibri" w:eastAsia="Calibri" w:hAnsi="Calibri" w:cs="Times New Roman"/>
          <w:i/>
          <w:iCs/>
          <w:color w:val="44546A" w:themeColor="text2"/>
          <w:sz w:val="24"/>
          <w:szCs w:val="24"/>
        </w:rPr>
        <w:instrText xml:space="preserve"> SEQ Table \* ARABIC </w:instrText>
      </w:r>
      <w:r w:rsidRPr="00004A52">
        <w:rPr>
          <w:rFonts w:ascii="Calibri" w:eastAsia="Calibri" w:hAnsi="Calibri" w:cs="Times New Roman"/>
          <w:i/>
          <w:iCs/>
          <w:color w:val="44546A" w:themeColor="text2"/>
          <w:sz w:val="24"/>
          <w:szCs w:val="24"/>
        </w:rPr>
        <w:fldChar w:fldCharType="separate"/>
      </w:r>
      <w:r w:rsidRPr="00004A52">
        <w:rPr>
          <w:rFonts w:ascii="Calibri" w:eastAsia="Calibri" w:hAnsi="Calibri" w:cs="Times New Roman"/>
          <w:i/>
          <w:iCs/>
          <w:noProof/>
          <w:color w:val="44546A" w:themeColor="text2"/>
          <w:sz w:val="24"/>
          <w:szCs w:val="24"/>
        </w:rPr>
        <w:t>17</w:t>
      </w:r>
      <w:r w:rsidRPr="00004A52">
        <w:rPr>
          <w:rFonts w:ascii="Calibri" w:eastAsia="Calibri" w:hAnsi="Calibri" w:cs="Times New Roman"/>
          <w:i/>
          <w:iCs/>
          <w:color w:val="44546A" w:themeColor="text2"/>
          <w:sz w:val="24"/>
          <w:szCs w:val="24"/>
        </w:rPr>
        <w:fldChar w:fldCharType="end"/>
      </w:r>
      <w:r w:rsidRPr="00004A52">
        <w:rPr>
          <w:rFonts w:ascii="Calibri" w:eastAsia="Calibri" w:hAnsi="Calibri" w:cs="Times New Roman"/>
          <w:i/>
          <w:iCs/>
          <w:color w:val="44546A" w:themeColor="text2"/>
          <w:sz w:val="24"/>
          <w:szCs w:val="24"/>
        </w:rPr>
        <w:t xml:space="preserve"> Six steps of Thematic Analysis</w:t>
      </w:r>
      <w:bookmarkEnd w:id="32"/>
      <w:bookmarkEnd w:id="33"/>
      <w:bookmarkEnd w:id="34"/>
      <w:bookmarkEnd w:id="35"/>
    </w:p>
    <w:tbl>
      <w:tblPr>
        <w:tblW w:w="0" w:type="auto"/>
        <w:tblBorders>
          <w:top w:val="double" w:sz="4" w:space="0" w:color="auto"/>
          <w:bottom w:val="double" w:sz="4" w:space="0" w:color="auto"/>
          <w:insideH w:val="single" w:sz="6" w:space="0" w:color="auto"/>
          <w:insideV w:val="single" w:sz="6" w:space="0" w:color="auto"/>
        </w:tblBorders>
        <w:tblLook w:val="04A0" w:firstRow="1" w:lastRow="0" w:firstColumn="1" w:lastColumn="0" w:noHBand="0" w:noVBand="1"/>
      </w:tblPr>
      <w:tblGrid>
        <w:gridCol w:w="2750"/>
        <w:gridCol w:w="5709"/>
      </w:tblGrid>
      <w:tr w:rsidR="00004A52" w:rsidRPr="00004A52" w14:paraId="197FB28B" w14:textId="77777777" w:rsidTr="00C75158">
        <w:tc>
          <w:tcPr>
            <w:tcW w:w="2750" w:type="dxa"/>
            <w:shd w:val="clear" w:color="auto" w:fill="auto"/>
          </w:tcPr>
          <w:bookmarkEnd w:id="36"/>
          <w:p w14:paraId="3FB56B6E"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 xml:space="preserve">Phase </w:t>
            </w:r>
          </w:p>
        </w:tc>
        <w:tc>
          <w:tcPr>
            <w:tcW w:w="5709" w:type="dxa"/>
            <w:shd w:val="clear" w:color="auto" w:fill="auto"/>
          </w:tcPr>
          <w:p w14:paraId="2DE73241"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Description of the process</w:t>
            </w:r>
          </w:p>
        </w:tc>
      </w:tr>
      <w:tr w:rsidR="00004A52" w:rsidRPr="00004A52" w14:paraId="77184A83" w14:textId="77777777" w:rsidTr="00C75158">
        <w:tc>
          <w:tcPr>
            <w:tcW w:w="2750" w:type="dxa"/>
            <w:shd w:val="clear" w:color="auto" w:fill="F2F2F2"/>
          </w:tcPr>
          <w:p w14:paraId="52F14A8C"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1. Familiarizing yourself with your data</w:t>
            </w:r>
          </w:p>
        </w:tc>
        <w:tc>
          <w:tcPr>
            <w:tcW w:w="5709" w:type="dxa"/>
            <w:shd w:val="clear" w:color="auto" w:fill="F2F2F2"/>
          </w:tcPr>
          <w:p w14:paraId="0DC5C4B7"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Cs w:val="24"/>
              </w:rPr>
            </w:pPr>
            <w:r w:rsidRPr="00004A52">
              <w:rPr>
                <w:rFonts w:ascii="Calibri" w:eastAsia="Calibri" w:hAnsi="Calibri" w:cs="Times New Roman"/>
                <w:szCs w:val="24"/>
              </w:rPr>
              <w:t>Transcribing data (if necessary), reading and re-reading the data, noting down initial ideas.</w:t>
            </w:r>
          </w:p>
        </w:tc>
      </w:tr>
      <w:tr w:rsidR="00004A52" w:rsidRPr="00004A52" w14:paraId="3A9DCDEA" w14:textId="77777777" w:rsidTr="00C75158">
        <w:tc>
          <w:tcPr>
            <w:tcW w:w="2750" w:type="dxa"/>
            <w:shd w:val="clear" w:color="auto" w:fill="auto"/>
          </w:tcPr>
          <w:p w14:paraId="79EF7FF8"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2. Generating initial codes</w:t>
            </w:r>
          </w:p>
        </w:tc>
        <w:tc>
          <w:tcPr>
            <w:tcW w:w="5709" w:type="dxa"/>
            <w:shd w:val="clear" w:color="auto" w:fill="auto"/>
          </w:tcPr>
          <w:p w14:paraId="740D3B03"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Cs w:val="24"/>
              </w:rPr>
            </w:pPr>
            <w:r w:rsidRPr="00004A52">
              <w:rPr>
                <w:rFonts w:ascii="Calibri" w:eastAsia="Calibri" w:hAnsi="Calibri" w:cs="Times New Roman"/>
                <w:szCs w:val="24"/>
              </w:rPr>
              <w:t>Coding interesting features of the data in a systematic fashion across the entire data set, collating data relevant to each code.</w:t>
            </w:r>
          </w:p>
        </w:tc>
      </w:tr>
      <w:tr w:rsidR="00004A52" w:rsidRPr="00004A52" w14:paraId="490F71CE" w14:textId="77777777" w:rsidTr="00C75158">
        <w:tc>
          <w:tcPr>
            <w:tcW w:w="2750" w:type="dxa"/>
            <w:shd w:val="clear" w:color="auto" w:fill="F2F2F2"/>
          </w:tcPr>
          <w:p w14:paraId="52F14C2B"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3. Searching for themes</w:t>
            </w:r>
          </w:p>
        </w:tc>
        <w:tc>
          <w:tcPr>
            <w:tcW w:w="5709" w:type="dxa"/>
            <w:shd w:val="clear" w:color="auto" w:fill="F2F2F2"/>
          </w:tcPr>
          <w:p w14:paraId="0E03F660"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Cs w:val="24"/>
              </w:rPr>
            </w:pPr>
            <w:r w:rsidRPr="00004A52">
              <w:rPr>
                <w:rFonts w:ascii="Calibri" w:eastAsia="Calibri" w:hAnsi="Calibri" w:cs="Times New Roman"/>
                <w:szCs w:val="24"/>
              </w:rPr>
              <w:t>Collating codes into potential themes, gathering all data relevant to each potential theme.</w:t>
            </w:r>
          </w:p>
        </w:tc>
      </w:tr>
      <w:tr w:rsidR="00004A52" w:rsidRPr="00004A52" w14:paraId="046C2A8B" w14:textId="77777777" w:rsidTr="00C75158">
        <w:tc>
          <w:tcPr>
            <w:tcW w:w="2750" w:type="dxa"/>
            <w:shd w:val="clear" w:color="auto" w:fill="auto"/>
          </w:tcPr>
          <w:p w14:paraId="708DB6C3"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4. Reviewing themes</w:t>
            </w:r>
          </w:p>
        </w:tc>
        <w:tc>
          <w:tcPr>
            <w:tcW w:w="5709" w:type="dxa"/>
            <w:shd w:val="clear" w:color="auto" w:fill="auto"/>
          </w:tcPr>
          <w:p w14:paraId="07A94942"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Cs w:val="24"/>
              </w:rPr>
            </w:pPr>
            <w:r w:rsidRPr="00004A52">
              <w:rPr>
                <w:rFonts w:ascii="Calibri" w:eastAsia="Calibri" w:hAnsi="Calibri" w:cs="Times New Roman"/>
                <w:szCs w:val="24"/>
              </w:rPr>
              <w:t>Checking if the themes work in relation to the coded extracts (Level 1) and the entire data set (Level 2), generating a thematic ‘map’ of the analysis.</w:t>
            </w:r>
          </w:p>
        </w:tc>
      </w:tr>
      <w:tr w:rsidR="00004A52" w:rsidRPr="00004A52" w14:paraId="322B4FFD" w14:textId="77777777" w:rsidTr="00C75158">
        <w:tc>
          <w:tcPr>
            <w:tcW w:w="2750" w:type="dxa"/>
            <w:shd w:val="clear" w:color="auto" w:fill="F2F2F2"/>
          </w:tcPr>
          <w:p w14:paraId="44A8C780"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5. Defining and naming themes</w:t>
            </w:r>
          </w:p>
        </w:tc>
        <w:tc>
          <w:tcPr>
            <w:tcW w:w="5709" w:type="dxa"/>
            <w:shd w:val="clear" w:color="auto" w:fill="F2F2F2"/>
          </w:tcPr>
          <w:p w14:paraId="19FA4B66"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Cs w:val="24"/>
              </w:rPr>
            </w:pPr>
            <w:r w:rsidRPr="00004A52">
              <w:rPr>
                <w:rFonts w:ascii="Calibri" w:eastAsia="Calibri" w:hAnsi="Calibri" w:cs="Times New Roman"/>
                <w:szCs w:val="24"/>
              </w:rPr>
              <w:t>Ongoing analysis to refine the specifics of each theme, and the overall story the analysis tells, generating clear definitions and names for each theme</w:t>
            </w:r>
          </w:p>
        </w:tc>
      </w:tr>
      <w:tr w:rsidR="00004A52" w:rsidRPr="00004A52" w14:paraId="0D012C9D" w14:textId="77777777" w:rsidTr="00C75158">
        <w:tc>
          <w:tcPr>
            <w:tcW w:w="2750" w:type="dxa"/>
            <w:shd w:val="clear" w:color="auto" w:fill="auto"/>
          </w:tcPr>
          <w:p w14:paraId="42A85EC6" w14:textId="77777777" w:rsidR="00004A52" w:rsidRPr="00004A52" w:rsidRDefault="00004A52" w:rsidP="00004A52">
            <w:pPr>
              <w:suppressAutoHyphens/>
              <w:autoSpaceDN w:val="0"/>
              <w:spacing w:after="0" w:line="240" w:lineRule="auto"/>
              <w:textAlignment w:val="baseline"/>
              <w:rPr>
                <w:rFonts w:ascii="Calibri" w:eastAsia="Calibri" w:hAnsi="Calibri" w:cs="Times New Roman"/>
                <w:b/>
                <w:bCs/>
                <w:szCs w:val="24"/>
              </w:rPr>
            </w:pPr>
            <w:r w:rsidRPr="00004A52">
              <w:rPr>
                <w:rFonts w:ascii="Calibri" w:eastAsia="Calibri" w:hAnsi="Calibri" w:cs="Times New Roman"/>
                <w:b/>
                <w:bCs/>
                <w:szCs w:val="24"/>
              </w:rPr>
              <w:t>6. Producing the report</w:t>
            </w:r>
          </w:p>
        </w:tc>
        <w:tc>
          <w:tcPr>
            <w:tcW w:w="5709" w:type="dxa"/>
            <w:shd w:val="clear" w:color="auto" w:fill="auto"/>
          </w:tcPr>
          <w:p w14:paraId="50489ECE" w14:textId="77777777" w:rsidR="00004A52" w:rsidRPr="00004A52" w:rsidRDefault="00004A52" w:rsidP="00004A52">
            <w:pPr>
              <w:suppressAutoHyphens/>
              <w:autoSpaceDN w:val="0"/>
              <w:spacing w:after="0" w:line="240" w:lineRule="auto"/>
              <w:textAlignment w:val="baseline"/>
              <w:rPr>
                <w:rFonts w:ascii="Calibri" w:eastAsia="Calibri" w:hAnsi="Calibri" w:cs="Times New Roman"/>
                <w:szCs w:val="24"/>
              </w:rPr>
            </w:pPr>
            <w:r w:rsidRPr="00004A52">
              <w:rPr>
                <w:rFonts w:ascii="Calibri" w:eastAsia="Calibri" w:hAnsi="Calibri" w:cs="Times New Roman"/>
                <w:szCs w:val="24"/>
              </w:rPr>
              <w:t>The final opportunity for analysis. Selection of vivid, compelling extract examples, final analysis of selected extracts, relating the analysis back to the research question and literature, producing a scholarly report of the analysis.</w:t>
            </w:r>
          </w:p>
        </w:tc>
      </w:tr>
    </w:tbl>
    <w:p w14:paraId="01194C78" w14:textId="77777777" w:rsidR="00004A52" w:rsidRPr="00004A52" w:rsidRDefault="00004A52" w:rsidP="00004A52">
      <w:pPr>
        <w:suppressAutoHyphens/>
        <w:autoSpaceDN w:val="0"/>
        <w:spacing w:after="0" w:line="480" w:lineRule="auto"/>
        <w:jc w:val="right"/>
        <w:textAlignment w:val="baseline"/>
        <w:rPr>
          <w:rFonts w:ascii="Calibri" w:eastAsia="Calibri" w:hAnsi="Calibri" w:cs="Times New Roman"/>
          <w:sz w:val="24"/>
          <w:szCs w:val="24"/>
        </w:rPr>
      </w:pPr>
      <w:r w:rsidRPr="00004A52">
        <w:rPr>
          <w:rFonts w:ascii="Calibri" w:eastAsia="Calibri" w:hAnsi="Calibri" w:cs="Times New Roman"/>
          <w:sz w:val="24"/>
          <w:szCs w:val="24"/>
        </w:rPr>
        <w:t>(</w:t>
      </w:r>
      <w:r w:rsidRPr="00004A52">
        <w:rPr>
          <w:rFonts w:ascii="Calibri" w:eastAsia="Calibri" w:hAnsi="Calibri" w:cs="Times New Roman"/>
          <w:i/>
          <w:iCs/>
          <w:sz w:val="24"/>
          <w:szCs w:val="24"/>
        </w:rPr>
        <w:t xml:space="preserve">taken from </w:t>
      </w:r>
      <w:r w:rsidRPr="00004A52">
        <w:rPr>
          <w:rFonts w:ascii="Calibri" w:eastAsia="Calibri" w:hAnsi="Calibri" w:cs="Times New Roman"/>
          <w:sz w:val="24"/>
          <w:szCs w:val="24"/>
        </w:rPr>
        <w:t>Braun and Clarke, 2006, p. 87)</w:t>
      </w:r>
    </w:p>
    <w:bookmarkEnd w:id="37"/>
    <w:p w14:paraId="42974B5F"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413342B2"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Despite Braun and Clarke’s (2006) six step process, Nowell </w:t>
      </w:r>
      <w:r w:rsidRPr="00004A52">
        <w:rPr>
          <w:rFonts w:ascii="Calibri" w:eastAsia="Calibri" w:hAnsi="Calibri" w:cs="Times New Roman"/>
          <w:i/>
          <w:iCs/>
          <w:sz w:val="24"/>
          <w:szCs w:val="24"/>
        </w:rPr>
        <w:t>et al</w:t>
      </w:r>
      <w:r w:rsidRPr="00004A52">
        <w:rPr>
          <w:rFonts w:ascii="Calibri" w:eastAsia="Calibri" w:hAnsi="Calibri" w:cs="Times New Roman"/>
          <w:sz w:val="24"/>
          <w:szCs w:val="24"/>
        </w:rPr>
        <w:t xml:space="preserve"> (2017) state that the data analysis process must be clearly outlined to demonstrate trustworthiness yet they recognise that there is a lack of literature delineating the practical process of how to do a thematic </w:t>
      </w:r>
      <w:r w:rsidRPr="00004A52">
        <w:rPr>
          <w:rFonts w:ascii="Calibri" w:eastAsia="Calibri" w:hAnsi="Calibri" w:cs="Times New Roman"/>
          <w:sz w:val="24"/>
          <w:szCs w:val="24"/>
        </w:rPr>
        <w:lastRenderedPageBreak/>
        <w:t>analysis, thus potentially missing the standard trustworthiness.  Research trustworthiness will be considered later in this chapter (Section 4.5)</w:t>
      </w:r>
    </w:p>
    <w:p w14:paraId="66927B08"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1C86CFFA"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Arguably, one way to demonstrate research trustworthiness is through Braun and Clarke’s (2006) emphasis on the importance of explicitly stating the theoretical assumptions of the research in which thematic analysis is being used. Chapter 3 achieves this. Specifically, this relates to the concept that this research is located in principles of emancipation and transformation (Strydom, 2011; Scotland, 2012). Additionally, the methodology is seen as a ‘moral activity’ (Noblit, Flores and Murillo, 2004, p. 24), with responsibility to the participants’ welfare </w:t>
      </w:r>
      <w:bookmarkStart w:id="38" w:name="_Hlk35871562"/>
      <w:r w:rsidRPr="00004A52">
        <w:rPr>
          <w:rFonts w:ascii="Calibri" w:eastAsia="Calibri" w:hAnsi="Calibri" w:cs="Times New Roman"/>
          <w:sz w:val="24"/>
          <w:szCs w:val="24"/>
        </w:rPr>
        <w:t>(Noblit, Flores and Murillo, 2004; Lester and Anders, 2018)</w:t>
      </w:r>
      <w:bookmarkEnd w:id="38"/>
      <w:r w:rsidRPr="00004A52">
        <w:rPr>
          <w:rFonts w:ascii="Calibri" w:eastAsia="Calibri" w:hAnsi="Calibri" w:cs="Times New Roman"/>
          <w:sz w:val="24"/>
          <w:szCs w:val="24"/>
        </w:rPr>
        <w:t>. An example of this is the feeling of responsibility brought to transcribing the research interviews, a process referred to as ‘arduous and time-consuming’ (Magnusson and Marecek, 2015, p. 73). Despite the laborious nature of transcribing the interviews, it was felt that it was not merely the first step of thematic analysis (Braun and Clarke, 2006, p. 87), but accurately capturing the participants’ words was an ethical necessity through which responsibility to the participants would be demonstrated (Lester and Anders, 2018) in regard to their representation (Noblit, Flores and Murillo, 2004). Further, the participants’ voices were privileged through using accurate verbatim extracts when disseminating the findings in Chapter 5</w:t>
      </w:r>
      <w:r w:rsidRPr="00004A52">
        <w:rPr>
          <w:rFonts w:ascii="Calibri" w:eastAsia="Calibri" w:hAnsi="Calibri" w:cs="Times New Roman"/>
          <w:color w:val="0070C0"/>
          <w:sz w:val="24"/>
          <w:szCs w:val="24"/>
        </w:rPr>
        <w:t xml:space="preserve">. </w:t>
      </w:r>
      <w:r w:rsidRPr="00004A52">
        <w:rPr>
          <w:rFonts w:ascii="Calibri" w:eastAsia="Calibri" w:hAnsi="Calibri" w:cs="Times New Roman"/>
          <w:sz w:val="24"/>
          <w:szCs w:val="24"/>
        </w:rPr>
        <w:t xml:space="preserve">Analysis followed the process outlined by Braun and Clarke (2006), as described above (Table 17). The data analysis was done by hand. Initially, the interview transcripts and fieldnotes were coded by highlighting interesting statements, then those statements were then grouped together into categories, such as ‘learning’, ‘race’, ‘whiteness’, ‘racism’. These were then given temporary thematic names, for example, the code ‘whiteness’ was given the name ‘controversial whiteness’, which fell in line with </w:t>
      </w:r>
      <w:r w:rsidRPr="00004A52">
        <w:rPr>
          <w:rFonts w:ascii="Calibri" w:eastAsia="Calibri" w:hAnsi="Calibri" w:cs="Times New Roman"/>
          <w:sz w:val="24"/>
          <w:szCs w:val="24"/>
        </w:rPr>
        <w:lastRenderedPageBreak/>
        <w:t xml:space="preserve">generating themes (Braun and Clarke, 2006). This process was then repeated to ensure that the data was thoroughly analysed, and the initial codes were refined, with ‘controversial whiteness’ being divided into ‘white racism’, ‘newness’ and ‘identity’.  The initial themes were then reviewed and refined (Braun and Clarke, 2006) by identifying whether the themes supported and represented the data. Next, themes were ‘defined and named’ (Braun and Clarke, 2006) with ‘controversial whiteness’ becoming ‘White (Un)Awareness’, and subthemes ‘newness’ and ‘identity’ being recategorized into ‘whiteness as meaningless’, ‘reverse racism’ and ‘complicated recognition of whiteness’ (see Chapter 5, Table 18 for research themes). </w:t>
      </w:r>
    </w:p>
    <w:p w14:paraId="7AE57D23"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50FEA751"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Once these themes and subthemes were generated, named, and defined, the process was repeated (except for the coding process) to ensure rigour. Finally, ‘producing the report’ (Braun and Clarke, 2006) could take place; this is outlined in Chapter 5 (analysis of findings) and Chapter 6 (discussion of findings). </w:t>
      </w:r>
    </w:p>
    <w:p w14:paraId="5465B527"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5CE37421"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FF0000"/>
          <w:sz w:val="24"/>
          <w:szCs w:val="24"/>
        </w:rPr>
      </w:pPr>
      <w:r w:rsidRPr="00004A52">
        <w:rPr>
          <w:rFonts w:ascii="Calibri" w:eastAsia="Calibri" w:hAnsi="Calibri" w:cs="Times New Roman"/>
          <w:sz w:val="24"/>
          <w:szCs w:val="24"/>
        </w:rPr>
        <w:t>Additionally, after the data analysis was completed and the themes had been produced, it was intended that ‘member checking’ (Stake, 1995) would take place. This was envisioned as a way to demonstrate responsibility and care towards the participants (Lester and Anders, 2018). However, due to the Covid-19 pandemic it was not possible to do this in face-to-face, as originally intended. Instead, I produced a report of the findings which summarised each theme and gave brief notes on the supporting literature to provide the participants with a wider theoretical context (Appendix ii). The participants were given four weeks to respond. Member checking is discussed in relation to research trustworthiness (Section 4.5).</w:t>
      </w:r>
    </w:p>
    <w:p w14:paraId="1CEB037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0070C0"/>
          <w:sz w:val="24"/>
          <w:szCs w:val="24"/>
        </w:rPr>
      </w:pPr>
    </w:p>
    <w:p w14:paraId="7EF087CD" w14:textId="77777777" w:rsidR="00004A52" w:rsidRPr="00004A52" w:rsidRDefault="00004A52" w:rsidP="00004A52">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39" w:name="_Toc56523013"/>
      <w:bookmarkStart w:id="40" w:name="_Toc56523295"/>
      <w:bookmarkStart w:id="41" w:name="_Toc57910103"/>
      <w:bookmarkStart w:id="42" w:name="_Toc58251319"/>
      <w:bookmarkStart w:id="43" w:name="_Toc72413645"/>
      <w:r w:rsidRPr="00004A52">
        <w:rPr>
          <w:rFonts w:ascii="Calibri Light" w:eastAsia="Times New Roman" w:hAnsi="Calibri Light" w:cs="Times New Roman"/>
          <w:b/>
          <w:bCs/>
          <w:sz w:val="28"/>
          <w:szCs w:val="26"/>
        </w:rPr>
        <w:t>4.4 Research Ethics</w:t>
      </w:r>
      <w:bookmarkEnd w:id="39"/>
      <w:bookmarkEnd w:id="40"/>
      <w:bookmarkEnd w:id="41"/>
      <w:bookmarkEnd w:id="42"/>
      <w:bookmarkEnd w:id="43"/>
      <w:r w:rsidRPr="00004A52">
        <w:rPr>
          <w:rFonts w:ascii="Calibri Light" w:eastAsia="Times New Roman" w:hAnsi="Calibri Light" w:cs="Times New Roman"/>
          <w:b/>
          <w:bCs/>
          <w:sz w:val="28"/>
          <w:szCs w:val="26"/>
        </w:rPr>
        <w:t xml:space="preserve"> </w:t>
      </w:r>
    </w:p>
    <w:p w14:paraId="6C96BDAE"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For this research, ethics were understood by separating them in terms of the procedural and the practice </w:t>
      </w:r>
      <w:bookmarkStart w:id="44" w:name="_Hlk52439971"/>
      <w:r w:rsidRPr="00004A52">
        <w:rPr>
          <w:rFonts w:ascii="Calibri" w:eastAsia="Calibri" w:hAnsi="Calibri" w:cs="Times New Roman"/>
          <w:sz w:val="24"/>
          <w:szCs w:val="24"/>
        </w:rPr>
        <w:t>(Guillemin and Gillam, 2004)</w:t>
      </w:r>
      <w:bookmarkEnd w:id="44"/>
      <w:r w:rsidRPr="00004A52">
        <w:rPr>
          <w:rFonts w:ascii="Calibri" w:eastAsia="Calibri" w:hAnsi="Calibri" w:cs="Times New Roman"/>
          <w:sz w:val="24"/>
          <w:szCs w:val="24"/>
        </w:rPr>
        <w:t xml:space="preserve">. The former refers to formalised ethics procedures through university ethics committees and the latter to ‘microethics’ </w:t>
      </w:r>
      <w:bookmarkStart w:id="45" w:name="_Hlk23267225"/>
      <w:r w:rsidRPr="00004A52">
        <w:rPr>
          <w:rFonts w:ascii="Calibri" w:eastAsia="Calibri" w:hAnsi="Calibri" w:cs="Times New Roman"/>
          <w:sz w:val="24"/>
          <w:szCs w:val="24"/>
        </w:rPr>
        <w:t xml:space="preserve">(Guillemin and Gillam, 2004, p. 265) </w:t>
      </w:r>
      <w:bookmarkEnd w:id="45"/>
      <w:r w:rsidRPr="00004A52">
        <w:rPr>
          <w:rFonts w:ascii="Calibri" w:eastAsia="Calibri" w:hAnsi="Calibri" w:cs="Times New Roman"/>
          <w:sz w:val="24"/>
          <w:szCs w:val="24"/>
        </w:rPr>
        <w:t xml:space="preserve">or the everyday ethical moments of research. </w:t>
      </w:r>
    </w:p>
    <w:p w14:paraId="6DF79FF0"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4FBFB16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The procedural ethics were guided by the University of Wales, Trinity Saint David (UWTSD). This was achieved through gaining ethical approval for the research and then through adherence to the ‘Research Ethics &amp; Integrity Code of Practice’, in particular the fundamental principles for research </w:t>
      </w:r>
      <w:bookmarkStart w:id="46" w:name="_Hlk52440186"/>
      <w:r w:rsidRPr="00004A52">
        <w:rPr>
          <w:rFonts w:ascii="Calibri" w:eastAsia="Calibri" w:hAnsi="Calibri" w:cs="Times New Roman"/>
          <w:sz w:val="24"/>
          <w:szCs w:val="24"/>
        </w:rPr>
        <w:t>(UWTSD, 2017,</w:t>
      </w:r>
      <w:bookmarkEnd w:id="46"/>
      <w:r w:rsidRPr="00004A52">
        <w:rPr>
          <w:rFonts w:ascii="Calibri" w:eastAsia="Calibri" w:hAnsi="Calibri" w:cs="Times New Roman"/>
          <w:sz w:val="24"/>
          <w:szCs w:val="24"/>
        </w:rPr>
        <w:t xml:space="preserve"> pp. 3-4). In essence, the research principles maintain that no harm should be done to participants and their well-being is at the forefront of the research process, this includes the right to withdraw from the research at any time (UWTSD, 2017). The first step to ensuring this is to gain informed consent from the research participants. Informed consent requires giving participants relevant information about the research, ensuring it is uncoerced and is given by someone who has the capacity to do so (UWTSD, 2017, p. 15).</w:t>
      </w:r>
    </w:p>
    <w:p w14:paraId="08056F99"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5396F661"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To enable informed consent, I gave a PowerPoint presentation to the group of potential research participants at ‘Welsh College A’ one month before the participant-observation fieldwork was due to commence. In that presentation, I described:</w:t>
      </w:r>
    </w:p>
    <w:p w14:paraId="6176D11C"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 What a PhD was.</w:t>
      </w:r>
    </w:p>
    <w:p w14:paraId="26411243"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 My background as a counsellor and former member of the course.</w:t>
      </w:r>
    </w:p>
    <w:p w14:paraId="29666E2E"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 The research questions.</w:t>
      </w:r>
    </w:p>
    <w:p w14:paraId="599DAC62"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 The principles of the research.</w:t>
      </w:r>
    </w:p>
    <w:p w14:paraId="10EB04FF"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 How confidentiality and anonymity would be assured.</w:t>
      </w:r>
    </w:p>
    <w:p w14:paraId="232B5280"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lastRenderedPageBreak/>
        <w:t xml:space="preserve"> The potential pros and cons of being involved in the research.</w:t>
      </w:r>
    </w:p>
    <w:p w14:paraId="5008C440" w14:textId="77777777" w:rsidR="00004A52" w:rsidRPr="00004A52" w:rsidRDefault="00004A52" w:rsidP="00004A52">
      <w:pPr>
        <w:numPr>
          <w:ilvl w:val="0"/>
          <w:numId w:val="8"/>
        </w:numPr>
        <w:suppressAutoHyphens/>
        <w:autoSpaceDN w:val="0"/>
        <w:spacing w:after="0" w:line="240" w:lineRule="auto"/>
        <w:ind w:left="924" w:right="567" w:hanging="357"/>
        <w:textAlignment w:val="baseline"/>
        <w:rPr>
          <w:rFonts w:ascii="Calibri" w:eastAsia="Calibri" w:hAnsi="Calibri" w:cs="Times New Roman"/>
          <w:sz w:val="24"/>
          <w:szCs w:val="24"/>
        </w:rPr>
      </w:pPr>
      <w:r w:rsidRPr="00004A52">
        <w:rPr>
          <w:rFonts w:ascii="Calibri" w:eastAsia="Calibri" w:hAnsi="Calibri" w:cs="Times New Roman"/>
          <w:sz w:val="24"/>
          <w:szCs w:val="24"/>
        </w:rPr>
        <w:t>The right to not take part and the right to withdraw at any time.</w:t>
      </w:r>
    </w:p>
    <w:p w14:paraId="7B5DBD96"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563F2ABD"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I also handed out consent forms and information sheets (Appendix i).</w:t>
      </w:r>
      <w:r w:rsidRPr="00004A52">
        <w:rPr>
          <w:rFonts w:ascii="Calibri" w:eastAsia="Calibri" w:hAnsi="Calibri" w:cs="Times New Roman"/>
          <w:color w:val="FF0000"/>
          <w:sz w:val="24"/>
          <w:szCs w:val="24"/>
        </w:rPr>
        <w:t xml:space="preserve"> </w:t>
      </w:r>
      <w:r w:rsidRPr="00004A52">
        <w:rPr>
          <w:rFonts w:ascii="Calibri" w:eastAsia="Calibri" w:hAnsi="Calibri" w:cs="Times New Roman"/>
          <w:sz w:val="24"/>
          <w:szCs w:val="24"/>
        </w:rPr>
        <w:t xml:space="preserve">It was made clear to students that they could withdraw consent at any time. It was reiterated that if they were to allow me to take part in any lectures, skills practice and join them on breaks etc., that they had the right to ask me to leave and I would respect that. After the presentation, I spent time answering the students’ questions, most of which were centred on my work as a trauma counsellor. I then spent the rest of the day with the class helping with their counselling skills practise on the understanding that this was a ‘getting to know’ one another opportunity and I would not be conducting informal interviews and recording any conversations. This was viewed as a part of gaining informed consent as the students had an opportunity to experience what it may be like to have me present and what I could ‘give back’ to them in terms of sharing my counselling experience and knowledge. </w:t>
      </w:r>
    </w:p>
    <w:p w14:paraId="50576941"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446DBF3A"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However, gaining informed consent may not be as straightforward as it appears. Alldred and Gillies (2012) argue that obtaining informed consent is predicated on a rationalist basis, in that it is assumed the potential participant is able to make a rational and purely cognitive decision about whether to take part in the research. This solely intellectual approach can neglect the emotional and contextual factors that may influence the potential participants’ decision (Alldred and Gillies, 2012). Indeed, I was aware that the group of trainees being asked to participate were a relatively new group of students who may want to impress their tutor by agreeing, and perhaps felt peer pressure to take part in the research. To assuage this, the consent forms </w:t>
      </w:r>
      <w:r w:rsidRPr="00004A52">
        <w:rPr>
          <w:rFonts w:ascii="Calibri" w:eastAsia="Calibri" w:hAnsi="Calibri" w:cs="Times New Roman"/>
          <w:sz w:val="24"/>
          <w:szCs w:val="24"/>
        </w:rPr>
        <w:lastRenderedPageBreak/>
        <w:t xml:space="preserve">(Appendix i) were given in early December 2019 but were not required to be signed and handed in until one week later, thus giving the students time to decide whether to participate. However, all of the students in attendance on the day of my presentation signed and returned the forms. Consent forms were taken by other students to give to those absent and I returned the following week to collect those forms, however these students were not in attendance. Consequently, on my first day of fieldwork, I spoke to the two students and explained the research, I said they could take their time deciding whether to participate and I would not record anything they said or observations I had made until I had the consent forms. Whilst they both immediately verbally consented, I waited until the forms were signed and returned the following week before recording data relating to them.  </w:t>
      </w:r>
    </w:p>
    <w:p w14:paraId="414DDB07"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62D875E8"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To employ the ‘practice’ element of </w:t>
      </w:r>
      <w:bookmarkStart w:id="47" w:name="_Hlk23230567"/>
      <w:r w:rsidRPr="00004A52">
        <w:rPr>
          <w:rFonts w:ascii="Calibri" w:eastAsia="Calibri" w:hAnsi="Calibri" w:cs="Times New Roman"/>
          <w:sz w:val="24"/>
          <w:szCs w:val="24"/>
        </w:rPr>
        <w:t xml:space="preserve">Guillemin and Gillam’s (2004) </w:t>
      </w:r>
      <w:bookmarkEnd w:id="47"/>
      <w:r w:rsidRPr="00004A52">
        <w:rPr>
          <w:rFonts w:ascii="Calibri" w:eastAsia="Calibri" w:hAnsi="Calibri" w:cs="Times New Roman"/>
          <w:sz w:val="24"/>
          <w:szCs w:val="24"/>
        </w:rPr>
        <w:t>understanding of research ethics, or dealing with mircoethics, the use of reflexivity is recommended as an important part of ethical decision making:</w:t>
      </w:r>
    </w:p>
    <w:p w14:paraId="2530215F" w14:textId="77777777" w:rsidR="00004A52" w:rsidRPr="00004A52" w:rsidRDefault="00004A52" w:rsidP="00004A52">
      <w:pPr>
        <w:suppressAutoHyphens/>
        <w:autoSpaceDN w:val="0"/>
        <w:spacing w:after="0" w:line="240" w:lineRule="auto"/>
        <w:ind w:left="567" w:right="567"/>
        <w:textAlignment w:val="baseline"/>
        <w:rPr>
          <w:rFonts w:ascii="Calibri" w:eastAsia="Calibri" w:hAnsi="Calibri" w:cs="Times New Roman"/>
          <w:sz w:val="24"/>
          <w:szCs w:val="24"/>
        </w:rPr>
      </w:pPr>
      <w:r w:rsidRPr="00004A52">
        <w:rPr>
          <w:rFonts w:ascii="Calibri" w:eastAsia="Calibri" w:hAnsi="Calibri" w:cs="Times New Roman"/>
          <w:sz w:val="24"/>
          <w:szCs w:val="24"/>
        </w:rPr>
        <w:t>Being reflexive in an ethical sense means acknowledging and being sensitized (</w:t>
      </w:r>
      <w:r w:rsidRPr="00004A52">
        <w:rPr>
          <w:rFonts w:ascii="Calibri" w:eastAsia="Calibri" w:hAnsi="Calibri" w:cs="Times New Roman"/>
          <w:i/>
          <w:iCs/>
          <w:sz w:val="24"/>
          <w:szCs w:val="24"/>
        </w:rPr>
        <w:t>sic</w:t>
      </w:r>
      <w:r w:rsidRPr="00004A52">
        <w:rPr>
          <w:rFonts w:ascii="Calibri" w:eastAsia="Calibri" w:hAnsi="Calibri" w:cs="Times New Roman"/>
          <w:sz w:val="24"/>
          <w:szCs w:val="24"/>
        </w:rPr>
        <w:t xml:space="preserve">) to the microethical dimensions of research practice and in doing so, being alert to and prepared for ways of dealing with the ethical tensions that arise </w:t>
      </w:r>
      <w:bookmarkStart w:id="48" w:name="_Hlk23268220"/>
      <w:r w:rsidRPr="00004A52">
        <w:rPr>
          <w:rFonts w:ascii="Calibri" w:eastAsia="Calibri" w:hAnsi="Calibri" w:cs="Times New Roman"/>
          <w:sz w:val="24"/>
          <w:szCs w:val="24"/>
        </w:rPr>
        <w:t>(</w:t>
      </w:r>
      <w:bookmarkStart w:id="49" w:name="_Hlk23230898"/>
      <w:r w:rsidRPr="00004A52">
        <w:rPr>
          <w:rFonts w:ascii="Calibri" w:eastAsia="Calibri" w:hAnsi="Calibri" w:cs="Times New Roman"/>
          <w:sz w:val="24"/>
          <w:szCs w:val="24"/>
        </w:rPr>
        <w:t xml:space="preserve">Guillemin and Gillam, 2004, </w:t>
      </w:r>
      <w:bookmarkEnd w:id="49"/>
      <w:r w:rsidRPr="00004A52">
        <w:rPr>
          <w:rFonts w:ascii="Calibri" w:eastAsia="Calibri" w:hAnsi="Calibri" w:cs="Times New Roman"/>
          <w:sz w:val="24"/>
          <w:szCs w:val="24"/>
        </w:rPr>
        <w:t>p. 279)</w:t>
      </w:r>
      <w:bookmarkEnd w:id="48"/>
    </w:p>
    <w:p w14:paraId="427CF60E" w14:textId="77777777" w:rsidR="00004A52" w:rsidRPr="00004A52" w:rsidRDefault="00004A52" w:rsidP="00004A52">
      <w:pPr>
        <w:suppressAutoHyphens/>
        <w:autoSpaceDN w:val="0"/>
        <w:spacing w:after="0" w:line="480" w:lineRule="auto"/>
        <w:ind w:left="567" w:right="567"/>
        <w:textAlignment w:val="baseline"/>
        <w:rPr>
          <w:rFonts w:ascii="Calibri" w:eastAsia="Calibri" w:hAnsi="Calibri" w:cs="Times New Roman"/>
          <w:sz w:val="24"/>
          <w:szCs w:val="24"/>
        </w:rPr>
      </w:pPr>
    </w:p>
    <w:p w14:paraId="4EF847EF"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As reflexivity is an integral component to the methodology used in this research (Noblit, Flores and Murillo, 2004; Anders, 2019) it therefore seems appropriate to take a reflexive stance to research ethics, particularly in relation to the everyday interactions with the research participants. Supporting this, Lincoln (2009) also states that reflexivity is a facet of contemporary qualitative research ethics. </w:t>
      </w:r>
    </w:p>
    <w:p w14:paraId="25EC754A"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7B5C6D13"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lastRenderedPageBreak/>
        <w:t xml:space="preserve">Whilst being a reflexive researcher is the recommended method of ethical research, Guillemin and Gillam (2004) do not provide a practical solution in how to tackle ‘ethical moments’ in research. However, Ryen (2009) argues that the research paradigm and research ethics are linked, with solutions to ethical dilemmas being found in the epistemological stance. The epistemology of this research is subjectivism (O’Reilly and Kiyimba, 2015) which allows various perceptions of the factors which shape a person’s reality (Denzin and Lincoln, 2011). Specifically, theorised subjectivity (Letherby, 2013) echoes the importance of researcher reflexivity and awareness of both politics and the emotional impact of research. Moreover, critical research is predicated on principles of equality, justice and mutuality (Thomas, 2009). Therefore, when describing the underlying principles of this research to the potential participants, they were told that they were </w:t>
      </w:r>
      <w:bookmarkStart w:id="50" w:name="_Hlk52383162"/>
      <w:r w:rsidRPr="00004A52">
        <w:rPr>
          <w:rFonts w:ascii="Calibri" w:eastAsia="Calibri" w:hAnsi="Calibri" w:cs="Times New Roman"/>
          <w:sz w:val="24"/>
          <w:szCs w:val="24"/>
        </w:rPr>
        <w:t>‘</w:t>
      </w:r>
      <w:bookmarkStart w:id="51" w:name="_Hlk23344777"/>
      <w:r w:rsidRPr="00004A52">
        <w:rPr>
          <w:rFonts w:ascii="Calibri" w:eastAsia="Calibri" w:hAnsi="Calibri" w:cs="Times New Roman"/>
          <w:sz w:val="24"/>
          <w:szCs w:val="24"/>
        </w:rPr>
        <w:t>ethical, equal, reflexive and relational’</w:t>
      </w:r>
      <w:bookmarkEnd w:id="50"/>
      <w:bookmarkEnd w:id="51"/>
      <w:r w:rsidRPr="00004A52">
        <w:rPr>
          <w:rFonts w:ascii="Calibri" w:eastAsia="Calibri" w:hAnsi="Calibri" w:cs="Times New Roman"/>
          <w:sz w:val="24"/>
          <w:szCs w:val="24"/>
        </w:rPr>
        <w:t xml:space="preserve">. This maxim was the ‘solution’ (Ryen, 2009) to the practice ethics of this research. </w:t>
      </w:r>
    </w:p>
    <w:p w14:paraId="23D15FE6"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3258C6E8"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To complement the use of reflexivity and research paradigm in ethical research practice, the ‘ethics of care’ (Gilligan, 1982) was an influence in the day-to-day interactions with the participants. This was developed by Gilligan (1982) who argued that women make ethical judgements based upon relational dynamics rather than purely intellectual rules. Thus, rendering empathy and compassion as integral to ethical decision making. Developed by feminist theorists, it emphasises that ethical decisions are based upon what is right, what is good and takes into consideration the relationship between the researcher and participants (Hammersley and Traianou, 2012). Therefore, ethics of care in relation to research is not driven by a set of rules but are guided by notions of care, compassion and acting in ways that are most </w:t>
      </w:r>
      <w:r w:rsidRPr="00004A52">
        <w:rPr>
          <w:rFonts w:ascii="Calibri" w:eastAsia="Calibri" w:hAnsi="Calibri" w:cs="Times New Roman"/>
          <w:sz w:val="24"/>
          <w:szCs w:val="24"/>
        </w:rPr>
        <w:lastRenderedPageBreak/>
        <w:t xml:space="preserve">beneficial to the participant(s) (Wiles, 2013). An example of employing ethics of care to a mircoethical situation (Guillemin and Gillam, 2004) occurred when talking to Bella and Jayne about a group discussion that had taken place. Bella became upset about what she felt were exclusionary statements made by some members of the group. Bella was able to recognise that her strong reaction was linked to a recent bereavement. I decided to stop taking fieldnotes, despite the conversation being relevant to my research, and gave time for Bella to talk about her bereavement.  This approach echoed the ethical maxim of this research: ethical, equal, reflexive and relational. </w:t>
      </w:r>
    </w:p>
    <w:p w14:paraId="12D38FA5"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593A6CDB"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Ethical considerations specifically related to ‘race’ research were also relevant. It has been questioned whether shared whiteness is enough to form a connection between participant and researcher, thus allowing racial similarity to transcend differences such as class and gender (Gallagher, 2008).  In doing so, it is open to debate whether the white anti-racist researcher is truly challenging racial hierarchy or simply reproducing it (</w:t>
      </w:r>
      <w:bookmarkStart w:id="52" w:name="_Hlk35770517"/>
      <w:r w:rsidRPr="00004A52">
        <w:rPr>
          <w:rFonts w:ascii="Calibri" w:eastAsia="Calibri" w:hAnsi="Calibri" w:cs="Times New Roman"/>
          <w:sz w:val="24"/>
          <w:szCs w:val="24"/>
        </w:rPr>
        <w:t>Gallagher, 2008</w:t>
      </w:r>
      <w:bookmarkEnd w:id="52"/>
      <w:r w:rsidRPr="00004A52">
        <w:rPr>
          <w:rFonts w:ascii="Calibri" w:eastAsia="Calibri" w:hAnsi="Calibri" w:cs="Times New Roman"/>
          <w:sz w:val="24"/>
          <w:szCs w:val="24"/>
        </w:rPr>
        <w:t xml:space="preserve">). Moreover: </w:t>
      </w:r>
    </w:p>
    <w:p w14:paraId="316EE513" w14:textId="77777777" w:rsidR="00004A52" w:rsidRPr="00004A52" w:rsidRDefault="00004A52" w:rsidP="00004A52">
      <w:pPr>
        <w:suppressAutoHyphens/>
        <w:autoSpaceDN w:val="0"/>
        <w:spacing w:after="0" w:line="240" w:lineRule="auto"/>
        <w:ind w:left="567" w:right="567"/>
        <w:textAlignment w:val="baseline"/>
        <w:rPr>
          <w:rFonts w:ascii="Calibri" w:eastAsia="Calibri" w:hAnsi="Calibri" w:cs="Times New Roman"/>
          <w:sz w:val="24"/>
          <w:szCs w:val="24"/>
        </w:rPr>
      </w:pPr>
      <w:r w:rsidRPr="00004A52">
        <w:rPr>
          <w:rFonts w:ascii="Calibri" w:eastAsia="Calibri" w:hAnsi="Calibri" w:cs="Times New Roman"/>
          <w:sz w:val="24"/>
          <w:szCs w:val="24"/>
        </w:rPr>
        <w:t>one’s whiteness becomes a form of methodological capital researchers can use to question whites about the meaning they attach to their race (Gallagher, 2008, p. 170)</w:t>
      </w:r>
    </w:p>
    <w:p w14:paraId="0656E9BD"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4F51B759"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As both myself and the participants were white, this contention was relevant. Before starting the fieldwork, I was concerned that I may hear views about ‘race’ and racism that were offensive, and whether my whiteness and not challenging racist comments would be viewed as complicity based upon a shared skin colour. Lester, Anders and Mariner (2018) have discussed their own experiences as white post-critical </w:t>
      </w:r>
      <w:r w:rsidRPr="00004A52">
        <w:rPr>
          <w:rFonts w:ascii="Calibri" w:eastAsia="Calibri" w:hAnsi="Calibri" w:cs="Times New Roman"/>
          <w:sz w:val="24"/>
          <w:szCs w:val="24"/>
        </w:rPr>
        <w:lastRenderedPageBreak/>
        <w:t>ethnographers by taking on board Bell’s (1992) argument that white people need to work with other white people in the fight against white supremacy. Consequently, the ‘methodological capital’ (Gallagher, 2008, p. 170) of whiteness was understood in terms of researcher and participants shared whiteness providing the participants with an opportunity to discuss ‘race’, racism and whiteness relationally, in a way that they may not feel able to do with a researcher of colour.</w:t>
      </w:r>
    </w:p>
    <w:p w14:paraId="0CF3BA4F"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7D3F2E87"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One such example was Phil’s use of, and etymological misunderstanding of, the word ‘Paki’. This was something which felt uncomfortable in the moment, when transcribing it and even its inclusion here in the thesis. However, I have decided to include it as an example of how a white researcher, interviewing a white person about ‘race’, may encounter such moments and the effect they have on the researcher. </w:t>
      </w:r>
    </w:p>
    <w:p w14:paraId="7BE8FC55" w14:textId="77777777" w:rsidR="00004A52" w:rsidRPr="00004A52" w:rsidRDefault="00004A52" w:rsidP="00004A52">
      <w:pPr>
        <w:suppressAutoHyphens/>
        <w:autoSpaceDN w:val="0"/>
        <w:spacing w:after="120" w:line="240" w:lineRule="auto"/>
        <w:ind w:left="1287" w:right="567" w:hanging="720"/>
        <w:textAlignment w:val="baseline"/>
        <w:rPr>
          <w:rFonts w:ascii="Calibri" w:eastAsia="Calibri" w:hAnsi="Calibri" w:cs="Times New Roman"/>
          <w:sz w:val="24"/>
          <w:szCs w:val="24"/>
        </w:rPr>
      </w:pPr>
      <w:r w:rsidRPr="00004A52">
        <w:rPr>
          <w:rFonts w:ascii="Calibri" w:eastAsia="Calibri" w:hAnsi="Calibri" w:cs="Times New Roman"/>
          <w:b/>
          <w:bCs/>
          <w:sz w:val="24"/>
          <w:szCs w:val="24"/>
        </w:rPr>
        <w:t>Phil:</w:t>
      </w:r>
      <w:r w:rsidRPr="00004A52">
        <w:rPr>
          <w:rFonts w:ascii="Calibri" w:eastAsia="Calibri" w:hAnsi="Calibri" w:cs="Times New Roman"/>
          <w:sz w:val="24"/>
          <w:szCs w:val="24"/>
        </w:rPr>
        <w:t xml:space="preserve">    …So, I looked into it years ago, the term ‘Paki’, if you were called a ‘Paki’ as a Pakistani, it was a kind of dignified title for the Pakistanis who were referred to as ‘Paki’, there was a sense of they've achieved something, they've got some kind of status. Whereas now it's become a derogatory term and it's become offensive. So, it's twisted on them. So, it's like, well, it’s twisted. So, was it derogatory back then? While they saw it inside as a status.</w:t>
      </w:r>
    </w:p>
    <w:p w14:paraId="34253C7F" w14:textId="77777777" w:rsidR="00004A52" w:rsidRPr="00004A52" w:rsidRDefault="00004A52" w:rsidP="00004A52">
      <w:pPr>
        <w:suppressAutoHyphens/>
        <w:autoSpaceDN w:val="0"/>
        <w:spacing w:after="120" w:line="240" w:lineRule="auto"/>
        <w:ind w:left="1287" w:right="567" w:hanging="720"/>
        <w:textAlignment w:val="baseline"/>
        <w:rPr>
          <w:rFonts w:ascii="Calibri" w:eastAsia="Calibri" w:hAnsi="Calibri" w:cs="Times New Roman"/>
          <w:sz w:val="24"/>
          <w:szCs w:val="24"/>
        </w:rPr>
      </w:pPr>
      <w:r w:rsidRPr="00004A52">
        <w:rPr>
          <w:rFonts w:ascii="Calibri" w:eastAsia="Calibri" w:hAnsi="Calibri" w:cs="Times New Roman"/>
          <w:b/>
          <w:bCs/>
          <w:sz w:val="24"/>
          <w:szCs w:val="24"/>
        </w:rPr>
        <w:t>RS:</w:t>
      </w:r>
      <w:r w:rsidRPr="00004A52">
        <w:rPr>
          <w:rFonts w:ascii="Calibri" w:eastAsia="Calibri" w:hAnsi="Calibri" w:cs="Times New Roman"/>
          <w:b/>
          <w:bCs/>
          <w:sz w:val="24"/>
          <w:szCs w:val="24"/>
        </w:rPr>
        <w:tab/>
      </w:r>
      <w:r w:rsidRPr="00004A52">
        <w:rPr>
          <w:rFonts w:ascii="Calibri" w:eastAsia="Calibri" w:hAnsi="Calibri" w:cs="Times New Roman"/>
          <w:sz w:val="24"/>
          <w:szCs w:val="24"/>
        </w:rPr>
        <w:t>How do you know that? That they saw it that way?</w:t>
      </w:r>
    </w:p>
    <w:p w14:paraId="138E921B" w14:textId="77777777" w:rsidR="00004A52" w:rsidRPr="00004A52" w:rsidRDefault="00004A52" w:rsidP="00004A52">
      <w:pPr>
        <w:suppressAutoHyphens/>
        <w:autoSpaceDN w:val="0"/>
        <w:spacing w:after="120" w:line="240" w:lineRule="auto"/>
        <w:ind w:left="1287" w:right="567" w:hanging="720"/>
        <w:textAlignment w:val="baseline"/>
        <w:rPr>
          <w:rFonts w:ascii="Calibri" w:eastAsia="Calibri" w:hAnsi="Calibri" w:cs="Times New Roman"/>
          <w:sz w:val="24"/>
          <w:szCs w:val="24"/>
        </w:rPr>
      </w:pPr>
      <w:r w:rsidRPr="00004A52">
        <w:rPr>
          <w:rFonts w:ascii="Calibri" w:eastAsia="Calibri" w:hAnsi="Calibri" w:cs="Times New Roman"/>
          <w:b/>
          <w:bCs/>
          <w:sz w:val="24"/>
          <w:szCs w:val="24"/>
        </w:rPr>
        <w:t>Phil:</w:t>
      </w:r>
      <w:r w:rsidRPr="00004A52">
        <w:rPr>
          <w:rFonts w:ascii="Calibri" w:eastAsia="Calibri" w:hAnsi="Calibri" w:cs="Times New Roman"/>
          <w:sz w:val="24"/>
          <w:szCs w:val="24"/>
        </w:rPr>
        <w:tab/>
        <w:t>I researched it. I Googled it. I think it came up on a question, on something like University Challenge originally, and I was like ‘that can't be true, physically, that can't be true’ and I then Googled it and a couple of sites come up and I'm quite… what’s the word? I’m quite…a curious sort of person.</w:t>
      </w:r>
    </w:p>
    <w:p w14:paraId="5F87D19A" w14:textId="77777777" w:rsidR="00004A52" w:rsidRPr="00004A52" w:rsidRDefault="00004A52" w:rsidP="00004A52">
      <w:pPr>
        <w:suppressAutoHyphens/>
        <w:autoSpaceDN w:val="0"/>
        <w:spacing w:after="120" w:line="240" w:lineRule="auto"/>
        <w:ind w:left="1287" w:right="567" w:hanging="720"/>
        <w:textAlignment w:val="baseline"/>
        <w:rPr>
          <w:rFonts w:ascii="Calibri" w:eastAsia="Calibri" w:hAnsi="Calibri" w:cs="Times New Roman"/>
          <w:sz w:val="24"/>
          <w:szCs w:val="24"/>
        </w:rPr>
      </w:pPr>
    </w:p>
    <w:p w14:paraId="7880D8D5"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In the moment, I felt shocked at the unabashed use of the word. In hindsight, I wish I challenged the notion that such an offensive word would have been used on a primetime quiz show and also asked about the websites that made the claims Phil said they did. Instead, I allowed the interview to continue. I have toyed with its inclusion in </w:t>
      </w:r>
      <w:r w:rsidRPr="00004A52">
        <w:rPr>
          <w:rFonts w:ascii="Calibri" w:eastAsia="Calibri" w:hAnsi="Calibri" w:cs="Times New Roman"/>
          <w:sz w:val="24"/>
          <w:szCs w:val="24"/>
        </w:rPr>
        <w:lastRenderedPageBreak/>
        <w:t>the thesis; however, it illustrates a part of the interview process where I felt complicit in a conversation that was racially offensive and inaccurate, whilst simultaneously recognising that our shared whiteness may have allowed Phil to be open and forthright with his language. It also shows how white researchers may have a place in researching ‘race’ with white participants, in that participants may reveal more in an ‘unfiltered’ way and while we may vehemently disagree with the language and sentiment, we may not experience such statements in an emotionally painful way. This stands in comparison to Jayakumar and Adamian’s (2017) experience, who found that they had to take breaks when analysing their data about white participants’ colour-blind attitudes, as it was triggering for them. Further, Phil’s language did not result in personal racial trauma (</w:t>
      </w:r>
      <w:bookmarkStart w:id="53" w:name="_Hlk71210610"/>
      <w:r w:rsidRPr="00004A52">
        <w:rPr>
          <w:rFonts w:ascii="Calibri" w:eastAsia="Calibri" w:hAnsi="Calibri" w:cs="Times New Roman"/>
          <w:sz w:val="24"/>
          <w:szCs w:val="24"/>
        </w:rPr>
        <w:t>Carter, 2007</w:t>
      </w:r>
      <w:bookmarkEnd w:id="53"/>
      <w:r w:rsidRPr="00004A52">
        <w:rPr>
          <w:rFonts w:ascii="Calibri" w:eastAsia="Calibri" w:hAnsi="Calibri" w:cs="Times New Roman"/>
          <w:sz w:val="24"/>
          <w:szCs w:val="24"/>
        </w:rPr>
        <w:t xml:space="preserve">; Hemmings and Evans, 2018). This exchange with Phil shows how the ‘methodological capital’ (Gallagher, 2008, p. 170) of whiteness can produce powerful and challenging comments. </w:t>
      </w:r>
    </w:p>
    <w:p w14:paraId="020B660F"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0A56F889"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One way for the white researcher to use their whiteness ethically and effectively, is through being aware of their racial identity. Helms (2017) argues that the development of a white racial identity is an ethical component to ‘race’ research, as white researchers can neglect the role of their own whiteness. Locating my own white racial identity by using Helms (1990) framework, is an example of ethical reflexivity. At the start of the PhD, I feel I was in the ‘pseudo-independent’ phase (Helms, 1990, pp. 61-62), particularly through the process of self-examination. Reading and writing the literature review (Chapter 2) facilitated a transition to the immersion-emersion phase (Helms, 1990, p. 62), as I had engaged in a deep self-re-education about ‘race’, racism and whiteness. However, these were not static phases, as I felt that I would transition </w:t>
      </w:r>
      <w:r w:rsidRPr="00004A52">
        <w:rPr>
          <w:rFonts w:ascii="Calibri" w:eastAsia="Calibri" w:hAnsi="Calibri" w:cs="Times New Roman"/>
          <w:sz w:val="24"/>
          <w:szCs w:val="24"/>
        </w:rPr>
        <w:lastRenderedPageBreak/>
        <w:t xml:space="preserve">between the two as I questioned my own whiteness and learned more about ‘race’, racism and whiteness. Nonetheless, the awareness of white racial identity theory (Helms, 1990) and the self-perception of being in the immersion-emersion phase (Helms, 1990, p. 62) when starting the data collection, meant that I entered the field self-aware of my own white racial identity. </w:t>
      </w:r>
      <w:bookmarkStart w:id="54" w:name="_Hlk32220055"/>
      <w:r w:rsidRPr="00004A52">
        <w:rPr>
          <w:rFonts w:ascii="Calibri" w:eastAsia="Calibri" w:hAnsi="Calibri" w:cs="Times New Roman"/>
          <w:sz w:val="24"/>
          <w:szCs w:val="24"/>
        </w:rPr>
        <w:t xml:space="preserve">However, the fluidity of developing white racial awareness was demonstrated when commencing the writing of Chapter 6 and the reflexive exploration of that period is seen as an expression of research ethics (see Chapter 6, Section 6.1) </w:t>
      </w:r>
    </w:p>
    <w:bookmarkEnd w:id="54"/>
    <w:p w14:paraId="45896442"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42D80332"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There were no serious ethical concerns raised during the research. However, there were ongoing microethical</w:t>
      </w:r>
      <w:r w:rsidRPr="00004A52">
        <w:rPr>
          <w:rFonts w:ascii="Calibri" w:eastAsia="Calibri" w:hAnsi="Calibri" w:cs="Calibri"/>
          <w:sz w:val="24"/>
          <w:szCs w:val="24"/>
        </w:rPr>
        <w:t xml:space="preserve"> </w:t>
      </w:r>
      <w:bookmarkStart w:id="55" w:name="_Hlk32220583"/>
      <w:r w:rsidRPr="00004A52">
        <w:rPr>
          <w:rFonts w:ascii="Calibri" w:eastAsia="Calibri" w:hAnsi="Calibri" w:cs="Calibri"/>
          <w:sz w:val="24"/>
          <w:szCs w:val="24"/>
        </w:rPr>
        <w:t xml:space="preserve">(Guillemin and Gillam, 2004) </w:t>
      </w:r>
      <w:bookmarkEnd w:id="55"/>
      <w:r w:rsidRPr="00004A52">
        <w:rPr>
          <w:rFonts w:ascii="Calibri" w:eastAsia="Calibri" w:hAnsi="Calibri" w:cs="Times New Roman"/>
          <w:sz w:val="24"/>
          <w:szCs w:val="24"/>
        </w:rPr>
        <w:t>decisions that I took during the eight weeks I spent with participants. As previously explained, I stopped a conversation with Bella and Jayne about their feelings around statements made in class discussion when Bella became upset, despite the conversation being related to the research. If a participant mentioned something private about another participant, I did not record it as the information did not come directly from the student concerned. On one occasion, something was said by a participant about a sensitive issue during class discussion and I was concerned that it may have affected another participant who had previously disclosed their personal experience related to that issue. During the break, I spoke to the student to see how they were feeling and assured them that whatever they said would not be recorded</w:t>
      </w:r>
      <w:r w:rsidRPr="00004A52">
        <w:rPr>
          <w:rFonts w:ascii="Calibri" w:eastAsia="Calibri" w:hAnsi="Calibri" w:cs="Calibri"/>
          <w:sz w:val="24"/>
          <w:szCs w:val="24"/>
        </w:rPr>
        <w:t>.</w:t>
      </w:r>
      <w:r w:rsidRPr="00004A52">
        <w:rPr>
          <w:rFonts w:ascii="Calibri" w:eastAsia="Calibri" w:hAnsi="Calibri" w:cs="Times New Roman"/>
          <w:sz w:val="24"/>
          <w:szCs w:val="24"/>
        </w:rPr>
        <w:t xml:space="preserve"> On another occasion, I asked Marie, as the youngest member of the group and the person who had mentioned ‘race’ in class (see Chapter 5, Sections 5.1 and 5.4), whether I could interview her for the research, as she had previously given her consent. Marie agreed </w:t>
      </w:r>
      <w:r w:rsidRPr="00004A52">
        <w:rPr>
          <w:rFonts w:ascii="Calibri" w:eastAsia="Calibri" w:hAnsi="Calibri" w:cs="Times New Roman"/>
          <w:sz w:val="24"/>
          <w:szCs w:val="24"/>
        </w:rPr>
        <w:lastRenderedPageBreak/>
        <w:t xml:space="preserve">to this and we decided I would interview her the following week. However, Marie then became tearful and asked to speak to me privately about her challenging personal circumstances. We spoke at length and I gave Marie details of the college counselling service. Later that day, I took Marie aside to check how she was and said that whilst I appreciated her willingness to participate in an interview, I recognised that she was under a lot of pressure in her life, and I did not want to add that by interviewing her. Marie agreed and thanked me for prioritising her feelings. These ongoing decisions could not have been anticipated prior to the fieldwork, were taken in the moment and are examples of microethics in action (Guillemin and Gillam, 2004). The decisions were motivated by care and compassion for the participants in line with ethics of care (Gilligan, 1982) and were done so through prioritising what was most beneficial to them, rather than the research (Wiles, 2013). </w:t>
      </w:r>
    </w:p>
    <w:p w14:paraId="73FF6DCD"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29244D1B" w14:textId="77777777" w:rsidR="00004A52" w:rsidRPr="00004A52" w:rsidRDefault="00004A52" w:rsidP="00004A52">
      <w:pPr>
        <w:keepNext/>
        <w:suppressAutoHyphens/>
        <w:autoSpaceDN w:val="0"/>
        <w:spacing w:before="240" w:after="60" w:line="249" w:lineRule="auto"/>
        <w:textAlignment w:val="baseline"/>
        <w:outlineLvl w:val="2"/>
        <w:rPr>
          <w:rFonts w:ascii="Calibri Light" w:eastAsia="Times New Roman" w:hAnsi="Calibri Light" w:cs="Times New Roman"/>
          <w:b/>
          <w:bCs/>
          <w:sz w:val="28"/>
          <w:szCs w:val="26"/>
        </w:rPr>
      </w:pPr>
      <w:bookmarkStart w:id="56" w:name="_Toc56523014"/>
      <w:bookmarkStart w:id="57" w:name="_Toc56523296"/>
      <w:bookmarkStart w:id="58" w:name="_Toc57910104"/>
      <w:bookmarkStart w:id="59" w:name="_Toc58251320"/>
      <w:bookmarkStart w:id="60" w:name="_Toc72413646"/>
      <w:r w:rsidRPr="00004A52">
        <w:rPr>
          <w:rFonts w:ascii="Calibri Light" w:eastAsia="Times New Roman" w:hAnsi="Calibri Light" w:cs="Times New Roman"/>
          <w:b/>
          <w:bCs/>
          <w:sz w:val="28"/>
          <w:szCs w:val="26"/>
        </w:rPr>
        <w:t>4.5 Trustworthiness</w:t>
      </w:r>
      <w:bookmarkEnd w:id="56"/>
      <w:bookmarkEnd w:id="57"/>
      <w:bookmarkEnd w:id="58"/>
      <w:bookmarkEnd w:id="59"/>
      <w:bookmarkEnd w:id="60"/>
      <w:r w:rsidRPr="00004A52">
        <w:rPr>
          <w:rFonts w:ascii="Calibri Light" w:eastAsia="Times New Roman" w:hAnsi="Calibri Light" w:cs="Times New Roman"/>
          <w:b/>
          <w:bCs/>
          <w:sz w:val="28"/>
          <w:szCs w:val="26"/>
        </w:rPr>
        <w:t xml:space="preserve"> </w:t>
      </w:r>
    </w:p>
    <w:p w14:paraId="70AED38E"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Evaluating the quality of qualitative research can be challenging as a definitive criterion does not exist (Braun and Clarke, 2013). Further, the criteria used to judge quantitative research: reliability, validity and generalisability, are not suitable for qualitative research (Braun and Clarke, 2013). Instead, the notion of ‘trustworthiness’ provides a way for qualitative researchers to demonstrate the value of their work outside of ‘ill-fitting quantitative parameters’ (Given and Saumure, 2008, p. 896). Indeed, trustworthiness has been called the ‘bedrock’ of qualitative research (Birt </w:t>
      </w:r>
      <w:r w:rsidRPr="00004A52">
        <w:rPr>
          <w:rFonts w:ascii="Calibri" w:eastAsia="Calibri" w:hAnsi="Calibri" w:cs="Times New Roman"/>
          <w:i/>
          <w:iCs/>
          <w:sz w:val="24"/>
          <w:szCs w:val="24"/>
        </w:rPr>
        <w:t>et al</w:t>
      </w:r>
      <w:r w:rsidRPr="00004A52">
        <w:rPr>
          <w:rFonts w:ascii="Calibri" w:eastAsia="Calibri" w:hAnsi="Calibri" w:cs="Times New Roman"/>
          <w:sz w:val="24"/>
          <w:szCs w:val="24"/>
        </w:rPr>
        <w:t>, 2016, p. 1802).  One way trustworthiness can be established is through detailing the research process and being honest about any dilemmas that transpired during the research (</w:t>
      </w:r>
      <w:bookmarkStart w:id="61" w:name="_Hlk23765832"/>
      <w:r w:rsidRPr="00004A52">
        <w:rPr>
          <w:rFonts w:ascii="Calibri" w:eastAsia="Calibri" w:hAnsi="Calibri" w:cs="Calibri"/>
          <w:color w:val="222222"/>
          <w:sz w:val="24"/>
          <w:szCs w:val="24"/>
          <w:shd w:val="clear" w:color="auto" w:fill="FFFFFF"/>
        </w:rPr>
        <w:t>Saldaña, 2014</w:t>
      </w:r>
      <w:bookmarkEnd w:id="61"/>
      <w:r w:rsidRPr="00004A52">
        <w:rPr>
          <w:rFonts w:ascii="Calibri" w:eastAsia="Calibri" w:hAnsi="Calibri" w:cs="Calibri"/>
          <w:color w:val="222222"/>
          <w:sz w:val="24"/>
          <w:szCs w:val="24"/>
          <w:shd w:val="clear" w:color="auto" w:fill="FFFFFF"/>
        </w:rPr>
        <w:t>)</w:t>
      </w:r>
      <w:r w:rsidRPr="00004A52">
        <w:rPr>
          <w:rFonts w:ascii="Calibri" w:eastAsia="Calibri" w:hAnsi="Calibri" w:cs="Times New Roman"/>
          <w:sz w:val="24"/>
          <w:szCs w:val="24"/>
        </w:rPr>
        <w:t xml:space="preserve">; in essence one way to be trustworthy is to be transparent. This research has outlined the research paradigm (Chapter 3), providing a </w:t>
      </w:r>
      <w:r w:rsidRPr="00004A52">
        <w:rPr>
          <w:rFonts w:ascii="Calibri" w:eastAsia="Calibri" w:hAnsi="Calibri" w:cs="Times New Roman"/>
          <w:sz w:val="24"/>
          <w:szCs w:val="24"/>
        </w:rPr>
        <w:lastRenderedPageBreak/>
        <w:t>rationale for its selection. Researcher reflexivity, particularly around positionality and bias, is demonstrated throughout, as are any encounters with dilemmas or challenges related to the research. This is one way in which trustworthiness has been established in this doctoral research. I will explore a personal challenge that I faced during the research in Chapter 7 (Section 7.8 and Smith, 2021, see Appendix vi).</w:t>
      </w:r>
    </w:p>
    <w:p w14:paraId="7DF6EB1D"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04A6B38C"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Member checking</w:t>
      </w:r>
      <w:r w:rsidRPr="00004A52">
        <w:rPr>
          <w:rFonts w:ascii="Calibri" w:eastAsia="Calibri" w:hAnsi="Calibri" w:cs="Times New Roman"/>
          <w:strike/>
          <w:sz w:val="24"/>
          <w:szCs w:val="24"/>
        </w:rPr>
        <w:t xml:space="preserve"> </w:t>
      </w:r>
      <w:r w:rsidRPr="00004A52">
        <w:rPr>
          <w:rFonts w:ascii="Calibri" w:eastAsia="Calibri" w:hAnsi="Calibri" w:cs="Times New Roman"/>
          <w:sz w:val="24"/>
          <w:szCs w:val="24"/>
        </w:rPr>
        <w:t xml:space="preserve">can be another way to achieve trustworthiness. Braun and Clarke (2013) suggest that it is a frequently used method in qualitative research to demonstrate trustworthiness. However, whilst this is a common approach to ensure that the research is trustworthy, Richards (2015) recognises that it can also be complicated. Therefore, and in line with research transparency, member checking was used in this research alongside the use of triangulation and crystallization (Richards, 2003; Ellingson, 2009, see below). </w:t>
      </w:r>
    </w:p>
    <w:p w14:paraId="0A42A6A7"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3A000F43"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Member checking refers to the researcher returning to participants to check their analysis with them to ensure that their views have been represented fairly and can be done through a written report or an oral presentation (Braun and Clarke, 2013). Member checking can be seen as an ethical decision, rather than a solely epistemological one (Schwandt, 2007, p. 188). It is this notion of member checking as an ethical consideration that underscored its use in this research. To that end, member checking can be viewed as an expression of the critical research paradigm, with participants’ voices and opinions being empowered through the opportunity to give feedback, demonstrating the principles of critical theory such as equality, justice and mutuality (Thomas, 2009). Similarly, it was also viewed as an extension of the ‘representation’ in post-critical ethnography (Noblit, Flores and Murillo, 2004, p. 24), or how the participants are portrayed in the research, by giving them a ‘right of reply’ </w:t>
      </w:r>
      <w:r w:rsidRPr="00004A52">
        <w:rPr>
          <w:rFonts w:ascii="Calibri" w:eastAsia="Calibri" w:hAnsi="Calibri" w:cs="Times New Roman"/>
          <w:sz w:val="24"/>
          <w:szCs w:val="24"/>
        </w:rPr>
        <w:lastRenderedPageBreak/>
        <w:t>before the findings were submitted for examination. Accordingly, ‘member checking’ was seen in light of Tracy’s (2010, p. 844) preferred term of ‘member reflections’ which departs from a seemingly positivist idea of checking for one truth and allows space for multiple realities and ‘</w:t>
      </w:r>
      <w:r w:rsidRPr="00004A52">
        <w:rPr>
          <w:rFonts w:ascii="Calibri" w:eastAsia="Calibri" w:hAnsi="Calibri" w:cs="Times New Roman"/>
          <w:i/>
          <w:iCs/>
          <w:sz w:val="24"/>
          <w:szCs w:val="24"/>
        </w:rPr>
        <w:t xml:space="preserve">collaboration </w:t>
      </w:r>
      <w:r w:rsidRPr="00004A52">
        <w:rPr>
          <w:rFonts w:ascii="Calibri" w:eastAsia="Calibri" w:hAnsi="Calibri" w:cs="Times New Roman"/>
          <w:sz w:val="24"/>
          <w:szCs w:val="24"/>
        </w:rPr>
        <w:t xml:space="preserve">and reflexive </w:t>
      </w:r>
      <w:r w:rsidRPr="00004A52">
        <w:rPr>
          <w:rFonts w:ascii="Calibri" w:eastAsia="Calibri" w:hAnsi="Calibri" w:cs="Times New Roman"/>
          <w:i/>
          <w:iCs/>
          <w:sz w:val="24"/>
          <w:szCs w:val="24"/>
        </w:rPr>
        <w:t>elaboration</w:t>
      </w:r>
      <w:r w:rsidRPr="00004A52">
        <w:rPr>
          <w:rFonts w:ascii="Calibri" w:eastAsia="Calibri" w:hAnsi="Calibri" w:cs="Times New Roman"/>
          <w:sz w:val="24"/>
          <w:szCs w:val="24"/>
        </w:rPr>
        <w:t xml:space="preserve">’ (Tracy, 2010, p. 844) between researcher and participants. </w:t>
      </w:r>
    </w:p>
    <w:p w14:paraId="2F5658D4"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1E9A8E8A"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FF0000"/>
          <w:sz w:val="24"/>
          <w:szCs w:val="24"/>
        </w:rPr>
      </w:pPr>
      <w:r w:rsidRPr="00004A52">
        <w:rPr>
          <w:rFonts w:ascii="Calibri" w:eastAsia="Calibri" w:hAnsi="Calibri" w:cs="Times New Roman"/>
          <w:sz w:val="24"/>
          <w:szCs w:val="24"/>
        </w:rPr>
        <w:t xml:space="preserve">A way of achieving this collaboration is through using jargon free language in any discussion of the findings, asking for open comments and integrating feedback into the findings </w:t>
      </w:r>
      <w:bookmarkStart w:id="62" w:name="_Hlk52109200"/>
      <w:r w:rsidRPr="00004A52">
        <w:rPr>
          <w:rFonts w:ascii="Calibri" w:eastAsia="Calibri" w:hAnsi="Calibri" w:cs="Times New Roman"/>
          <w:sz w:val="24"/>
          <w:szCs w:val="24"/>
        </w:rPr>
        <w:t xml:space="preserve">(Birt </w:t>
      </w:r>
      <w:r w:rsidRPr="00004A52">
        <w:rPr>
          <w:rFonts w:ascii="Calibri" w:eastAsia="Calibri" w:hAnsi="Calibri" w:cs="Times New Roman"/>
          <w:i/>
          <w:iCs/>
          <w:sz w:val="24"/>
          <w:szCs w:val="24"/>
        </w:rPr>
        <w:t>et al</w:t>
      </w:r>
      <w:r w:rsidRPr="00004A52">
        <w:rPr>
          <w:rFonts w:ascii="Calibri" w:eastAsia="Calibri" w:hAnsi="Calibri" w:cs="Times New Roman"/>
          <w:sz w:val="24"/>
          <w:szCs w:val="24"/>
        </w:rPr>
        <w:t>, 2016</w:t>
      </w:r>
      <w:bookmarkEnd w:id="62"/>
      <w:r w:rsidRPr="00004A52">
        <w:rPr>
          <w:rFonts w:ascii="Calibri" w:eastAsia="Calibri" w:hAnsi="Calibri" w:cs="Times New Roman"/>
          <w:sz w:val="24"/>
          <w:szCs w:val="24"/>
        </w:rPr>
        <w:t>). Therefore, the participants were first told about member checking at the initial presentation in December 2019. This was done so potential participants would be fully informed about the overall research process and because I felt that knowing they had a ‘right of reply’ would help establish feelings of equity between us. As discussed previously (Section 4.3), a face-to-face member check was not able to take place due to the Covid-19 pandemic. Therefore, I emailed a report of the findings to the participants and the course tutor (Appendix ii).</w:t>
      </w:r>
      <w:r w:rsidRPr="00004A52">
        <w:rPr>
          <w:rFonts w:ascii="Calibri" w:eastAsia="Calibri" w:hAnsi="Calibri" w:cs="Times New Roman"/>
          <w:color w:val="FF0000"/>
          <w:sz w:val="24"/>
          <w:szCs w:val="24"/>
        </w:rPr>
        <w:t xml:space="preserve"> </w:t>
      </w:r>
      <w:r w:rsidRPr="00004A52">
        <w:rPr>
          <w:rFonts w:ascii="Calibri" w:eastAsia="Calibri" w:hAnsi="Calibri" w:cs="Times New Roman"/>
          <w:sz w:val="24"/>
          <w:szCs w:val="24"/>
        </w:rPr>
        <w:t xml:space="preserve">For three participants, their email addresses were illegible on their consent forms, so I asked the tutor of the course to forward the report to them. In line with Birt </w:t>
      </w:r>
      <w:r w:rsidRPr="00004A52">
        <w:rPr>
          <w:rFonts w:ascii="Calibri" w:eastAsia="Calibri" w:hAnsi="Calibri" w:cs="Times New Roman"/>
          <w:i/>
          <w:iCs/>
          <w:sz w:val="24"/>
          <w:szCs w:val="24"/>
        </w:rPr>
        <w:t>et al’s</w:t>
      </w:r>
      <w:r w:rsidRPr="00004A52">
        <w:rPr>
          <w:rFonts w:ascii="Calibri" w:eastAsia="Calibri" w:hAnsi="Calibri" w:cs="Times New Roman"/>
          <w:sz w:val="24"/>
          <w:szCs w:val="24"/>
        </w:rPr>
        <w:t xml:space="preserve"> (2016) recommendation of jargon free language, I tried to be succinct but also include brief notes about the relevant literature to provide the participants with a context and rationale for the themes I had identified. The participants had four weeks to respond to the research findings. However, whilst I received two replies thanking me for the email, I did not receive feedback from the participants. This may be due to the current Covid-19 pandemic, whereby the participants had more pressing concerns to deal with than providing feedback. It could be because the report was not as accessible as I had intended it to be, or perhaps because they might have disagreed with the findings and did not want to express </w:t>
      </w:r>
      <w:r w:rsidRPr="00004A52">
        <w:rPr>
          <w:rFonts w:ascii="Calibri" w:eastAsia="Calibri" w:hAnsi="Calibri" w:cs="Times New Roman"/>
          <w:sz w:val="24"/>
          <w:szCs w:val="24"/>
        </w:rPr>
        <w:lastRenderedPageBreak/>
        <w:t>this. It is a regret that the member check did not happen in the way it was intended, particularly as I had always perceived it as integral to ethical and methodological sound research.</w:t>
      </w:r>
    </w:p>
    <w:p w14:paraId="2A5B0F96" w14:textId="77777777" w:rsidR="00004A52" w:rsidRPr="00004A52" w:rsidRDefault="00004A52" w:rsidP="00004A52">
      <w:pPr>
        <w:suppressAutoHyphens/>
        <w:autoSpaceDN w:val="0"/>
        <w:spacing w:after="0" w:line="480" w:lineRule="auto"/>
        <w:textAlignment w:val="baseline"/>
        <w:rPr>
          <w:rFonts w:ascii="Calibri" w:eastAsia="Calibri" w:hAnsi="Calibri" w:cs="Times New Roman"/>
          <w:color w:val="FF0000"/>
          <w:sz w:val="24"/>
          <w:szCs w:val="24"/>
        </w:rPr>
      </w:pPr>
    </w:p>
    <w:p w14:paraId="0271C3F7"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Triangulation is the use of two or more methods of data collection to consider the research question (Braun and Clarke, 2013). It has been argued that ‘good ethnography is the result of triangulation’ (Angrosino, 2007, p. 51). Three methods of data collection were used: semi-structured interviews, participant-observation and document analysis. In this regard, triangulation was used to meet Angrosino’s (2007, p.51) standard of ‘good’ ethnography. Triangulation is used in qualitative research as it is believed that the use of multiple data collection methods, sources of data and theories will reduce bias </w:t>
      </w:r>
      <w:bookmarkStart w:id="63" w:name="_Hlk23760414"/>
      <w:r w:rsidRPr="00004A52">
        <w:rPr>
          <w:rFonts w:ascii="Calibri" w:eastAsia="Calibri" w:hAnsi="Calibri" w:cs="Times New Roman"/>
          <w:sz w:val="24"/>
          <w:szCs w:val="24"/>
        </w:rPr>
        <w:t xml:space="preserve">(Denzin 2009). </w:t>
      </w:r>
      <w:bookmarkEnd w:id="63"/>
      <w:r w:rsidRPr="00004A52">
        <w:rPr>
          <w:rFonts w:ascii="Calibri" w:eastAsia="Calibri" w:hAnsi="Calibri" w:cs="Times New Roman"/>
          <w:sz w:val="24"/>
          <w:szCs w:val="24"/>
        </w:rPr>
        <w:t xml:space="preserve">To that end, there are four types of triangulation: data, investigator, theory and methodological (Denzin 2009, p. 301), with each type advocating multiple perspectives be they practical, such as employing various data gathering techniques in various spaces, or theoretical through combining different theoretical approaches to understand the data. In that regard, the use of semi-structured interviewing, participant-observation and document analysis to collect the data, and the combination of critical whiteness studies and critical race theory for the theoretical lens, can be viewed as examples of triangulation. </w:t>
      </w:r>
    </w:p>
    <w:p w14:paraId="61777F5E"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405E3289"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p>
    <w:p w14:paraId="78C58623" w14:textId="77777777" w:rsidR="00004A52" w:rsidRPr="00004A52" w:rsidRDefault="00004A52" w:rsidP="00004A52">
      <w:pPr>
        <w:suppressAutoHyphens/>
        <w:autoSpaceDN w:val="0"/>
        <w:spacing w:after="0" w:line="480" w:lineRule="auto"/>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One way of demonstrating trustworthiness that allows for subjective perspectives is that of crystallization. Introduced by Richardson (2003) as an alternative to the more positivist approach of triangulation, it uses the metaphor of looking at research findings as if one is looking through a crystal with its fractured, multiple perspectives as a way to understand </w:t>
      </w:r>
      <w:r w:rsidRPr="00004A52">
        <w:rPr>
          <w:rFonts w:ascii="Calibri" w:eastAsia="Calibri" w:hAnsi="Calibri" w:cs="Times New Roman"/>
          <w:sz w:val="24"/>
          <w:szCs w:val="24"/>
        </w:rPr>
        <w:lastRenderedPageBreak/>
        <w:t>the ‘truth’ of the research findings. Thus offering ‘a deepened, complex, thoroughly partial understanding of the topic’ (Richardson, 2003, p. 518). This has been further redefined by Ellingson (2009) as a way of combining various forms of analysis and representation into a clear text, and/or texts, by:</w:t>
      </w:r>
    </w:p>
    <w:p w14:paraId="4CB7DAC9" w14:textId="77777777" w:rsidR="00004A52" w:rsidRPr="00004A52" w:rsidRDefault="00004A52" w:rsidP="00004A52">
      <w:pPr>
        <w:suppressAutoHyphens/>
        <w:autoSpaceDN w:val="0"/>
        <w:spacing w:after="120" w:line="240" w:lineRule="auto"/>
        <w:ind w:left="567" w:right="567"/>
        <w:textAlignment w:val="baseline"/>
        <w:rPr>
          <w:rFonts w:ascii="Calibri" w:eastAsia="Calibri" w:hAnsi="Calibri" w:cs="Times New Roman"/>
          <w:sz w:val="24"/>
          <w:szCs w:val="24"/>
        </w:rPr>
      </w:pPr>
      <w:r w:rsidRPr="00004A52">
        <w:rPr>
          <w:rFonts w:ascii="Calibri" w:eastAsia="Calibri" w:hAnsi="Calibri" w:cs="Times New Roman"/>
          <w:sz w:val="24"/>
          <w:szCs w:val="24"/>
        </w:rPr>
        <w:t>building a rich and openly partial account of a phenomenon that problematizes its own construction, highlights researchers’ vulnerabilities and positionality, makes claims about socially constructed meanings, and reveals the indeterminacy of knowledge claims even as it makes them. (Ellingson, 2009, p. 4).</w:t>
      </w:r>
    </w:p>
    <w:p w14:paraId="4451246A"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77EED6B6"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Ellingson (2009) argues that this approach is adaptable and fits well with critical paradigms, thus making it appropriate for this research. Considering Ellingson’s (2009, p. 4) definition, the use of crystallization as a way to critique the research, openly discuss my own positionality and the questioning of social constructions, reflects the transparency of this research. It does so through highlighting the challenges and limitations in the research, the use of reflexivity and the stance that ‘race’ is socially constructed. It is also acknowledged that the research findings are not necessarily </w:t>
      </w:r>
      <w:r w:rsidRPr="00004A52">
        <w:rPr>
          <w:rFonts w:ascii="Calibri" w:eastAsia="Calibri" w:hAnsi="Calibri" w:cs="Times New Roman"/>
          <w:i/>
          <w:iCs/>
          <w:sz w:val="24"/>
          <w:szCs w:val="24"/>
        </w:rPr>
        <w:t>the</w:t>
      </w:r>
      <w:r w:rsidRPr="00004A52">
        <w:rPr>
          <w:rFonts w:ascii="Calibri" w:eastAsia="Calibri" w:hAnsi="Calibri" w:cs="Times New Roman"/>
          <w:sz w:val="24"/>
          <w:szCs w:val="24"/>
        </w:rPr>
        <w:t xml:space="preserve"> truth, but </w:t>
      </w:r>
      <w:r w:rsidRPr="00004A52">
        <w:rPr>
          <w:rFonts w:ascii="Calibri" w:eastAsia="Calibri" w:hAnsi="Calibri" w:cs="Times New Roman"/>
          <w:i/>
          <w:iCs/>
          <w:sz w:val="24"/>
          <w:szCs w:val="24"/>
        </w:rPr>
        <w:t xml:space="preserve">a </w:t>
      </w:r>
      <w:r w:rsidRPr="00004A52">
        <w:rPr>
          <w:rFonts w:ascii="Calibri" w:eastAsia="Calibri" w:hAnsi="Calibri" w:cs="Times New Roman"/>
          <w:sz w:val="24"/>
          <w:szCs w:val="24"/>
        </w:rPr>
        <w:t xml:space="preserve">truth found in a particular context and time, i.e., white trainee counsellors in one college in South Wales in 2020.  </w:t>
      </w:r>
    </w:p>
    <w:p w14:paraId="20B00D03"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1CF00089"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Trustworthiness can be located in this research through the use of transparency in outlining the research process (</w:t>
      </w:r>
      <w:r w:rsidRPr="00004A52">
        <w:rPr>
          <w:rFonts w:ascii="Calibri" w:eastAsia="Calibri" w:hAnsi="Calibri" w:cs="Calibri"/>
          <w:color w:val="222222"/>
          <w:sz w:val="24"/>
          <w:szCs w:val="24"/>
          <w:shd w:val="clear" w:color="auto" w:fill="FFFFFF"/>
        </w:rPr>
        <w:t xml:space="preserve">Saldaña, 2014). Member checking was undertaken as an ethical activity (Schwandt, 2007), not a perfunctory step (Birt </w:t>
      </w:r>
      <w:r w:rsidRPr="00004A52">
        <w:rPr>
          <w:rFonts w:ascii="Calibri" w:eastAsia="Calibri" w:hAnsi="Calibri" w:cs="Calibri"/>
          <w:i/>
          <w:iCs/>
          <w:color w:val="222222"/>
          <w:sz w:val="24"/>
          <w:szCs w:val="24"/>
          <w:shd w:val="clear" w:color="auto" w:fill="FFFFFF"/>
        </w:rPr>
        <w:t>et al</w:t>
      </w:r>
      <w:r w:rsidRPr="00004A52">
        <w:rPr>
          <w:rFonts w:ascii="Calibri" w:eastAsia="Calibri" w:hAnsi="Calibri" w:cs="Calibri"/>
          <w:color w:val="222222"/>
          <w:sz w:val="24"/>
          <w:szCs w:val="24"/>
          <w:shd w:val="clear" w:color="auto" w:fill="FFFFFF"/>
        </w:rPr>
        <w:t>, 2016) and one that was undertaken based upon critical research paradigm and notions of equality and emancipation (</w:t>
      </w:r>
      <w:r w:rsidRPr="00004A52">
        <w:rPr>
          <w:rFonts w:ascii="Calibri" w:eastAsia="Calibri" w:hAnsi="Calibri" w:cs="Times New Roman"/>
          <w:sz w:val="24"/>
          <w:szCs w:val="24"/>
        </w:rPr>
        <w:t xml:space="preserve">Thomas, 2009; Strydom, 2001). Triangulation was used through the research methods of semi-structured interviews, participant-observation and </w:t>
      </w:r>
      <w:r w:rsidRPr="00004A52">
        <w:rPr>
          <w:rFonts w:ascii="Calibri" w:eastAsia="Calibri" w:hAnsi="Calibri" w:cs="Times New Roman"/>
          <w:sz w:val="24"/>
          <w:szCs w:val="24"/>
        </w:rPr>
        <w:lastRenderedPageBreak/>
        <w:t xml:space="preserve">document analysis (Denzin 2009 [1970]; Braun and Clarke, 2013). Crystallization </w:t>
      </w:r>
      <w:bookmarkStart w:id="64" w:name="_Hlk70950610"/>
      <w:r w:rsidRPr="00004A52">
        <w:rPr>
          <w:rFonts w:ascii="Calibri" w:eastAsia="Calibri" w:hAnsi="Calibri" w:cs="Times New Roman"/>
          <w:sz w:val="24"/>
          <w:szCs w:val="24"/>
        </w:rPr>
        <w:t>(Richardson, 2003; Ellingson, 2009)</w:t>
      </w:r>
      <w:bookmarkEnd w:id="64"/>
      <w:r w:rsidRPr="00004A52">
        <w:rPr>
          <w:rFonts w:ascii="Calibri" w:eastAsia="Calibri" w:hAnsi="Calibri" w:cs="Times New Roman"/>
          <w:sz w:val="24"/>
          <w:szCs w:val="24"/>
        </w:rPr>
        <w:t xml:space="preserve"> was used in relation to understand the multi-faceted perceptions of ‘truth’ by acknowledging that the subjective understandings of the participants answers to the research questions may contain multiple ‘truths’ that are valid.</w:t>
      </w:r>
    </w:p>
    <w:p w14:paraId="3E515672"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516E229D"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 xml:space="preserve">Limitations of the research are presented in Chapter 7 (Section 7.8). However, it is acknowledged that there are limitations of the methods used. The primary limitation is a lack of clarity around the most appropriate method(s) to use in post-critical ethnographic research. As a novice researcher, I took the decision to apply post-critical ethnographic principles (Noblit, Flores and Murillo, 2004; Anders, 2019) to traditional ethnographic methods (Angrosino, 2007) (Section 4.2). This may account for the lack of emphasis on document-analysis, as outlined above. Therefore, the personal decision to combine the methodology and methods used in this research may mean that a more suitable combination, that an experienced researcher would have identified, was missed. Participant-observation was undertaken over a six week period, arguably in order to become embedded in the culture of ‘Welsh College A’, this could have been done over a long period of time. However, given the re-emergence of my vicarious traumatisation </w:t>
      </w:r>
      <w:r w:rsidRPr="00004A52">
        <w:rPr>
          <w:rFonts w:ascii="Calibri" w:eastAsia="Calibri" w:hAnsi="Calibri" w:cs="Calibri"/>
          <w:sz w:val="24"/>
          <w:szCs w:val="24"/>
        </w:rPr>
        <w:t xml:space="preserve">(Smith, 2021, see Appendix vi) and the beginning of the Covid-19 pandemic, this would not have been possible. </w:t>
      </w:r>
      <w:r w:rsidRPr="00004A52">
        <w:rPr>
          <w:rFonts w:ascii="Calibri" w:eastAsia="Calibri" w:hAnsi="Calibri" w:cs="Times New Roman"/>
          <w:sz w:val="24"/>
          <w:szCs w:val="24"/>
        </w:rPr>
        <w:t xml:space="preserve">In addition, reflexivity and consideration of positionality are core components to post-critical ethnography (Noblit, Flores and Murillo, 2004; Anders, 2019) and as a method was applied during all stages of the research. However, researcher reflexivity risks ‘gratuitous self-centredness’ (Madison, 2012, p. 9). In that regard, the success of </w:t>
      </w:r>
      <w:r w:rsidRPr="00004A52">
        <w:rPr>
          <w:rFonts w:ascii="Calibri" w:eastAsia="Calibri" w:hAnsi="Calibri" w:cs="Times New Roman"/>
          <w:sz w:val="24"/>
          <w:szCs w:val="24"/>
        </w:rPr>
        <w:lastRenderedPageBreak/>
        <w:t xml:space="preserve">walking the line between critical reflexivity and egotism cannot be determined by the researcher themself. Therefore, I am open to critical feedback about the use of reflexivity in this research. Another limitation, and one imbued with regret, is that a face-to-face member check was not able to take place due to Covid-19. Inclusion of the participants’ responses to the research findings (Chapter 5) was intended as an expression of ethical research and a way to ensure full representation of their voices, in alignment with post-critical ethnographic methodology (Noblit, Flores and Murillo, 2004; Anders, 2019). </w:t>
      </w:r>
    </w:p>
    <w:p w14:paraId="0932BAA7"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p>
    <w:p w14:paraId="7A2F556E" w14:textId="77777777" w:rsidR="00004A52" w:rsidRPr="00004A52" w:rsidRDefault="00004A52" w:rsidP="00004A52">
      <w:pPr>
        <w:suppressAutoHyphens/>
        <w:autoSpaceDN w:val="0"/>
        <w:spacing w:after="0" w:line="480" w:lineRule="auto"/>
        <w:ind w:right="567"/>
        <w:textAlignment w:val="baseline"/>
        <w:rPr>
          <w:rFonts w:ascii="Calibri" w:eastAsia="Calibri" w:hAnsi="Calibri" w:cs="Times New Roman"/>
          <w:sz w:val="24"/>
          <w:szCs w:val="24"/>
        </w:rPr>
      </w:pPr>
      <w:r w:rsidRPr="00004A52">
        <w:rPr>
          <w:rFonts w:ascii="Calibri" w:eastAsia="Calibri" w:hAnsi="Calibri" w:cs="Times New Roman"/>
          <w:sz w:val="24"/>
          <w:szCs w:val="24"/>
        </w:rPr>
        <w:t>The analysis of findings will be presented in Chapter 5 and are done so with the understanding that they are my perception of the ‘truth’ and embraces the idea that the reader may find their own ‘truth’ and meaning, thus falling in line with the concept of crystallization (Richardson, 2003; Ellingson, 2009). Likewise, reflexivity is used in the discussion of the findings (Chapter 6) to express researcher positionality and not as a means to centralise myself in this research.</w:t>
      </w:r>
    </w:p>
    <w:p w14:paraId="04ED6915" w14:textId="77777777" w:rsidR="00004A52" w:rsidRPr="00004A52" w:rsidRDefault="00004A52" w:rsidP="00004A52">
      <w:pPr>
        <w:suppressAutoHyphens/>
        <w:autoSpaceDN w:val="0"/>
        <w:spacing w:line="249" w:lineRule="auto"/>
        <w:textAlignment w:val="baseline"/>
        <w:rPr>
          <w:rFonts w:ascii="Calibri" w:eastAsia="Calibri" w:hAnsi="Calibri" w:cs="Times New Roman"/>
        </w:rPr>
      </w:pPr>
    </w:p>
    <w:p w14:paraId="22E4F185" w14:textId="77777777" w:rsidR="00413A7C" w:rsidRDefault="00413A7C"/>
    <w:sectPr w:rsidR="00413A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9554C"/>
    <w:multiLevelType w:val="hybridMultilevel"/>
    <w:tmpl w:val="1DE0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F0090C"/>
    <w:multiLevelType w:val="hybridMultilevel"/>
    <w:tmpl w:val="82C2BFA6"/>
    <w:lvl w:ilvl="0" w:tplc="08090001">
      <w:start w:val="1"/>
      <w:numFmt w:val="bullet"/>
      <w:lvlText w:val=""/>
      <w:lvlJc w:val="left"/>
      <w:pPr>
        <w:ind w:left="1434" w:hanging="360"/>
      </w:pPr>
      <w:rPr>
        <w:rFonts w:ascii="Symbol" w:hAnsi="Symbol" w:hint="default"/>
      </w:r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2" w15:restartNumberingAfterBreak="0">
    <w:nsid w:val="09EF4405"/>
    <w:multiLevelType w:val="hybridMultilevel"/>
    <w:tmpl w:val="89F4E7D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D0DDD"/>
    <w:multiLevelType w:val="multilevel"/>
    <w:tmpl w:val="C35AD8E6"/>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ADC462D"/>
    <w:multiLevelType w:val="hybridMultilevel"/>
    <w:tmpl w:val="3F4E14A4"/>
    <w:lvl w:ilvl="0" w:tplc="08090001">
      <w:start w:val="1"/>
      <w:numFmt w:val="bullet"/>
      <w:lvlText w:val=""/>
      <w:lvlJc w:val="left"/>
      <w:pPr>
        <w:ind w:left="1080" w:hanging="72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BC7157"/>
    <w:multiLevelType w:val="multilevel"/>
    <w:tmpl w:val="E7CE6CBC"/>
    <w:lvl w:ilvl="0">
      <w:start w:val="2"/>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6"/>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13804797"/>
    <w:multiLevelType w:val="multilevel"/>
    <w:tmpl w:val="75AA7C2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16F435A1"/>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FD0867"/>
    <w:multiLevelType w:val="hybridMultilevel"/>
    <w:tmpl w:val="011A954A"/>
    <w:lvl w:ilvl="0" w:tplc="11229894">
      <w:start w:val="1"/>
      <w:numFmt w:val="bullet"/>
      <w:lvlText w:val=""/>
      <w:lvlJc w:val="left"/>
      <w:pPr>
        <w:ind w:left="720" w:hanging="360"/>
      </w:pPr>
      <w:rPr>
        <w:rFonts w:ascii="Symbol" w:hAnsi="Symbol"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D355D"/>
    <w:multiLevelType w:val="hybridMultilevel"/>
    <w:tmpl w:val="C13E0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E7480"/>
    <w:multiLevelType w:val="hybridMultilevel"/>
    <w:tmpl w:val="5BFA0EA2"/>
    <w:lvl w:ilvl="0" w:tplc="0809001B">
      <w:start w:val="1"/>
      <w:numFmt w:val="lowerRoman"/>
      <w:lvlText w:val="%1."/>
      <w:lvlJc w:val="righ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11" w15:restartNumberingAfterBreak="0">
    <w:nsid w:val="2733087C"/>
    <w:multiLevelType w:val="hybridMultilevel"/>
    <w:tmpl w:val="36AA9A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2" w15:restartNumberingAfterBreak="0">
    <w:nsid w:val="27743DAD"/>
    <w:multiLevelType w:val="hybridMultilevel"/>
    <w:tmpl w:val="7F3CB3E6"/>
    <w:lvl w:ilvl="0" w:tplc="93A24F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28C60046"/>
    <w:multiLevelType w:val="hybridMultilevel"/>
    <w:tmpl w:val="47BAFEA6"/>
    <w:lvl w:ilvl="0" w:tplc="B3B6F160">
      <w:start w:val="1"/>
      <w:numFmt w:val="bullet"/>
      <w:lvlText w:val="•"/>
      <w:lvlJc w:val="left"/>
      <w:pPr>
        <w:tabs>
          <w:tab w:val="num" w:pos="720"/>
        </w:tabs>
        <w:ind w:left="720" w:hanging="360"/>
      </w:pPr>
      <w:rPr>
        <w:rFonts w:ascii="Times New Roman" w:hAnsi="Times New Roman" w:hint="default"/>
      </w:rPr>
    </w:lvl>
    <w:lvl w:ilvl="1" w:tplc="A39647BC" w:tentative="1">
      <w:start w:val="1"/>
      <w:numFmt w:val="bullet"/>
      <w:lvlText w:val="•"/>
      <w:lvlJc w:val="left"/>
      <w:pPr>
        <w:tabs>
          <w:tab w:val="num" w:pos="1440"/>
        </w:tabs>
        <w:ind w:left="1440" w:hanging="360"/>
      </w:pPr>
      <w:rPr>
        <w:rFonts w:ascii="Times New Roman" w:hAnsi="Times New Roman" w:hint="default"/>
      </w:rPr>
    </w:lvl>
    <w:lvl w:ilvl="2" w:tplc="5584345C" w:tentative="1">
      <w:start w:val="1"/>
      <w:numFmt w:val="bullet"/>
      <w:lvlText w:val="•"/>
      <w:lvlJc w:val="left"/>
      <w:pPr>
        <w:tabs>
          <w:tab w:val="num" w:pos="2160"/>
        </w:tabs>
        <w:ind w:left="2160" w:hanging="360"/>
      </w:pPr>
      <w:rPr>
        <w:rFonts w:ascii="Times New Roman" w:hAnsi="Times New Roman" w:hint="default"/>
      </w:rPr>
    </w:lvl>
    <w:lvl w:ilvl="3" w:tplc="236C3202" w:tentative="1">
      <w:start w:val="1"/>
      <w:numFmt w:val="bullet"/>
      <w:lvlText w:val="•"/>
      <w:lvlJc w:val="left"/>
      <w:pPr>
        <w:tabs>
          <w:tab w:val="num" w:pos="2880"/>
        </w:tabs>
        <w:ind w:left="2880" w:hanging="360"/>
      </w:pPr>
      <w:rPr>
        <w:rFonts w:ascii="Times New Roman" w:hAnsi="Times New Roman" w:hint="default"/>
      </w:rPr>
    </w:lvl>
    <w:lvl w:ilvl="4" w:tplc="0008A8B0" w:tentative="1">
      <w:start w:val="1"/>
      <w:numFmt w:val="bullet"/>
      <w:lvlText w:val="•"/>
      <w:lvlJc w:val="left"/>
      <w:pPr>
        <w:tabs>
          <w:tab w:val="num" w:pos="3600"/>
        </w:tabs>
        <w:ind w:left="3600" w:hanging="360"/>
      </w:pPr>
      <w:rPr>
        <w:rFonts w:ascii="Times New Roman" w:hAnsi="Times New Roman" w:hint="default"/>
      </w:rPr>
    </w:lvl>
    <w:lvl w:ilvl="5" w:tplc="E7507498" w:tentative="1">
      <w:start w:val="1"/>
      <w:numFmt w:val="bullet"/>
      <w:lvlText w:val="•"/>
      <w:lvlJc w:val="left"/>
      <w:pPr>
        <w:tabs>
          <w:tab w:val="num" w:pos="4320"/>
        </w:tabs>
        <w:ind w:left="4320" w:hanging="360"/>
      </w:pPr>
      <w:rPr>
        <w:rFonts w:ascii="Times New Roman" w:hAnsi="Times New Roman" w:hint="default"/>
      </w:rPr>
    </w:lvl>
    <w:lvl w:ilvl="6" w:tplc="6D1648EA" w:tentative="1">
      <w:start w:val="1"/>
      <w:numFmt w:val="bullet"/>
      <w:lvlText w:val="•"/>
      <w:lvlJc w:val="left"/>
      <w:pPr>
        <w:tabs>
          <w:tab w:val="num" w:pos="5040"/>
        </w:tabs>
        <w:ind w:left="5040" w:hanging="360"/>
      </w:pPr>
      <w:rPr>
        <w:rFonts w:ascii="Times New Roman" w:hAnsi="Times New Roman" w:hint="default"/>
      </w:rPr>
    </w:lvl>
    <w:lvl w:ilvl="7" w:tplc="8C38CC66" w:tentative="1">
      <w:start w:val="1"/>
      <w:numFmt w:val="bullet"/>
      <w:lvlText w:val="•"/>
      <w:lvlJc w:val="left"/>
      <w:pPr>
        <w:tabs>
          <w:tab w:val="num" w:pos="5760"/>
        </w:tabs>
        <w:ind w:left="5760" w:hanging="360"/>
      </w:pPr>
      <w:rPr>
        <w:rFonts w:ascii="Times New Roman" w:hAnsi="Times New Roman" w:hint="default"/>
      </w:rPr>
    </w:lvl>
    <w:lvl w:ilvl="8" w:tplc="DDF23C9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2E2E5DD4"/>
    <w:multiLevelType w:val="hybridMultilevel"/>
    <w:tmpl w:val="BE461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F3FAC"/>
    <w:multiLevelType w:val="hybridMultilevel"/>
    <w:tmpl w:val="DC16B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47243B"/>
    <w:multiLevelType w:val="multilevel"/>
    <w:tmpl w:val="28BC2B90"/>
    <w:lvl w:ilvl="0">
      <w:start w:val="2"/>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98E2E20"/>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EE0C84"/>
    <w:multiLevelType w:val="hybridMultilevel"/>
    <w:tmpl w:val="ABD6C338"/>
    <w:lvl w:ilvl="0" w:tplc="08090001">
      <w:start w:val="1"/>
      <w:numFmt w:val="bullet"/>
      <w:lvlText w:val=""/>
      <w:lvlJc w:val="left"/>
      <w:pPr>
        <w:ind w:left="1434" w:hanging="360"/>
      </w:pPr>
      <w:rPr>
        <w:rFonts w:ascii="Symbol" w:hAnsi="Symbol" w:hint="default"/>
      </w:r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19" w15:restartNumberingAfterBreak="0">
    <w:nsid w:val="450877DB"/>
    <w:multiLevelType w:val="multilevel"/>
    <w:tmpl w:val="A238DA9E"/>
    <w:lvl w:ilvl="0">
      <w:start w:val="1"/>
      <w:numFmt w:val="decimal"/>
      <w:lvlText w:val="%1."/>
      <w:lvlJc w:val="left"/>
      <w:pPr>
        <w:ind w:left="360" w:hanging="360"/>
      </w:pPr>
      <w:rPr>
        <w:rFonts w:hint="default"/>
      </w:rPr>
    </w:lvl>
    <w:lvl w:ilvl="1">
      <w:start w:val="12"/>
      <w:numFmt w:val="decimal"/>
      <w:isLgl/>
      <w:lvlText w:val="%1.%2"/>
      <w:lvlJc w:val="left"/>
      <w:pPr>
        <w:ind w:left="480" w:hanging="48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0" w15:restartNumberingAfterBreak="0">
    <w:nsid w:val="46363E8B"/>
    <w:multiLevelType w:val="hybridMultilevel"/>
    <w:tmpl w:val="1DBC1678"/>
    <w:lvl w:ilvl="0" w:tplc="08090001">
      <w:start w:val="1"/>
      <w:numFmt w:val="bullet"/>
      <w:lvlText w:val=""/>
      <w:lvlJc w:val="left"/>
      <w:pPr>
        <w:ind w:left="1080" w:hanging="360"/>
      </w:pPr>
      <w:rPr>
        <w:rFonts w:ascii="Symbol" w:hAnsi="Symbol" w:cs="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1" w15:restartNumberingAfterBreak="0">
    <w:nsid w:val="484A05D5"/>
    <w:multiLevelType w:val="hybridMultilevel"/>
    <w:tmpl w:val="7E286A1A"/>
    <w:lvl w:ilvl="0" w:tplc="BFC8F8A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4926F6"/>
    <w:multiLevelType w:val="hybridMultilevel"/>
    <w:tmpl w:val="BCE4FB96"/>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CC7308E"/>
    <w:multiLevelType w:val="hybridMultilevel"/>
    <w:tmpl w:val="FFC6E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DB60463"/>
    <w:multiLevelType w:val="hybridMultilevel"/>
    <w:tmpl w:val="00C8479A"/>
    <w:lvl w:ilvl="0" w:tplc="0809001B">
      <w:start w:val="1"/>
      <w:numFmt w:val="lowerRoman"/>
      <w:lvlText w:val="%1."/>
      <w:lvlJc w:val="right"/>
      <w:pPr>
        <w:ind w:left="1434" w:hanging="360"/>
      </w:pPr>
    </w:lvl>
    <w:lvl w:ilvl="1" w:tplc="08090019" w:tentative="1">
      <w:start w:val="1"/>
      <w:numFmt w:val="lowerLetter"/>
      <w:lvlText w:val="%2."/>
      <w:lvlJc w:val="left"/>
      <w:pPr>
        <w:ind w:left="2154" w:hanging="360"/>
      </w:pPr>
    </w:lvl>
    <w:lvl w:ilvl="2" w:tplc="0809001B" w:tentative="1">
      <w:start w:val="1"/>
      <w:numFmt w:val="lowerRoman"/>
      <w:lvlText w:val="%3."/>
      <w:lvlJc w:val="right"/>
      <w:pPr>
        <w:ind w:left="2874" w:hanging="180"/>
      </w:pPr>
    </w:lvl>
    <w:lvl w:ilvl="3" w:tplc="0809000F" w:tentative="1">
      <w:start w:val="1"/>
      <w:numFmt w:val="decimal"/>
      <w:lvlText w:val="%4."/>
      <w:lvlJc w:val="left"/>
      <w:pPr>
        <w:ind w:left="3594" w:hanging="360"/>
      </w:pPr>
    </w:lvl>
    <w:lvl w:ilvl="4" w:tplc="08090019" w:tentative="1">
      <w:start w:val="1"/>
      <w:numFmt w:val="lowerLetter"/>
      <w:lvlText w:val="%5."/>
      <w:lvlJc w:val="left"/>
      <w:pPr>
        <w:ind w:left="4314" w:hanging="360"/>
      </w:pPr>
    </w:lvl>
    <w:lvl w:ilvl="5" w:tplc="0809001B" w:tentative="1">
      <w:start w:val="1"/>
      <w:numFmt w:val="lowerRoman"/>
      <w:lvlText w:val="%6."/>
      <w:lvlJc w:val="right"/>
      <w:pPr>
        <w:ind w:left="5034" w:hanging="180"/>
      </w:pPr>
    </w:lvl>
    <w:lvl w:ilvl="6" w:tplc="0809000F" w:tentative="1">
      <w:start w:val="1"/>
      <w:numFmt w:val="decimal"/>
      <w:lvlText w:val="%7."/>
      <w:lvlJc w:val="left"/>
      <w:pPr>
        <w:ind w:left="5754" w:hanging="360"/>
      </w:pPr>
    </w:lvl>
    <w:lvl w:ilvl="7" w:tplc="08090019" w:tentative="1">
      <w:start w:val="1"/>
      <w:numFmt w:val="lowerLetter"/>
      <w:lvlText w:val="%8."/>
      <w:lvlJc w:val="left"/>
      <w:pPr>
        <w:ind w:left="6474" w:hanging="360"/>
      </w:pPr>
    </w:lvl>
    <w:lvl w:ilvl="8" w:tplc="0809001B" w:tentative="1">
      <w:start w:val="1"/>
      <w:numFmt w:val="lowerRoman"/>
      <w:lvlText w:val="%9."/>
      <w:lvlJc w:val="right"/>
      <w:pPr>
        <w:ind w:left="7194" w:hanging="180"/>
      </w:pPr>
    </w:lvl>
  </w:abstractNum>
  <w:abstractNum w:abstractNumId="25" w15:restartNumberingAfterBreak="0">
    <w:nsid w:val="4E3B763B"/>
    <w:multiLevelType w:val="hybridMultilevel"/>
    <w:tmpl w:val="4626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16F47AE"/>
    <w:multiLevelType w:val="hybridMultilevel"/>
    <w:tmpl w:val="59FA1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DD59DE"/>
    <w:multiLevelType w:val="hybridMultilevel"/>
    <w:tmpl w:val="EBA83D0E"/>
    <w:lvl w:ilvl="0" w:tplc="08090003">
      <w:start w:val="1"/>
      <w:numFmt w:val="bullet"/>
      <w:lvlText w:val="o"/>
      <w:lvlJc w:val="left"/>
      <w:pPr>
        <w:ind w:left="1500" w:hanging="360"/>
      </w:pPr>
      <w:rPr>
        <w:rFonts w:ascii="Courier New" w:hAnsi="Courier New" w:cs="Courier New"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28" w15:restartNumberingAfterBreak="0">
    <w:nsid w:val="5A983442"/>
    <w:multiLevelType w:val="hybridMultilevel"/>
    <w:tmpl w:val="1D5004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ADD1C78"/>
    <w:multiLevelType w:val="multilevel"/>
    <w:tmpl w:val="DAB8476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CF578A0"/>
    <w:multiLevelType w:val="hybridMultilevel"/>
    <w:tmpl w:val="416EA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0C3F11"/>
    <w:multiLevelType w:val="hybridMultilevel"/>
    <w:tmpl w:val="2E8E7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2B3A4D"/>
    <w:multiLevelType w:val="hybridMultilevel"/>
    <w:tmpl w:val="D0B69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E47FF6"/>
    <w:multiLevelType w:val="hybridMultilevel"/>
    <w:tmpl w:val="C706E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3087233"/>
    <w:multiLevelType w:val="hybridMultilevel"/>
    <w:tmpl w:val="B48E2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0271CB"/>
    <w:multiLevelType w:val="hybridMultilevel"/>
    <w:tmpl w:val="7F429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1C5A3B"/>
    <w:multiLevelType w:val="hybridMultilevel"/>
    <w:tmpl w:val="9A148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583320"/>
    <w:multiLevelType w:val="hybridMultilevel"/>
    <w:tmpl w:val="FF2603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913645"/>
    <w:multiLevelType w:val="hybridMultilevel"/>
    <w:tmpl w:val="27AC7316"/>
    <w:lvl w:ilvl="0" w:tplc="CD86381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6DE826BC"/>
    <w:multiLevelType w:val="multilevel"/>
    <w:tmpl w:val="44CA59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0" w15:restartNumberingAfterBreak="0">
    <w:nsid w:val="756A3481"/>
    <w:multiLevelType w:val="hybridMultilevel"/>
    <w:tmpl w:val="C8EA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F87A82"/>
    <w:multiLevelType w:val="hybridMultilevel"/>
    <w:tmpl w:val="65BA29A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A3D5034"/>
    <w:multiLevelType w:val="multilevel"/>
    <w:tmpl w:val="20084F24"/>
    <w:lvl w:ilvl="0">
      <w:start w:val="2"/>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3" w15:restartNumberingAfterBreak="0">
    <w:nsid w:val="7EF00896"/>
    <w:multiLevelType w:val="hybridMultilevel"/>
    <w:tmpl w:val="13F28A1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6"/>
  </w:num>
  <w:num w:numId="2">
    <w:abstractNumId w:val="3"/>
  </w:num>
  <w:num w:numId="3">
    <w:abstractNumId w:val="38"/>
  </w:num>
  <w:num w:numId="4">
    <w:abstractNumId w:val="12"/>
  </w:num>
  <w:num w:numId="5">
    <w:abstractNumId w:val="15"/>
  </w:num>
  <w:num w:numId="6">
    <w:abstractNumId w:val="19"/>
  </w:num>
  <w:num w:numId="7">
    <w:abstractNumId w:val="28"/>
  </w:num>
  <w:num w:numId="8">
    <w:abstractNumId w:val="35"/>
  </w:num>
  <w:num w:numId="9">
    <w:abstractNumId w:val="8"/>
  </w:num>
  <w:num w:numId="10">
    <w:abstractNumId w:val="20"/>
  </w:num>
  <w:num w:numId="11">
    <w:abstractNumId w:val="41"/>
  </w:num>
  <w:num w:numId="12">
    <w:abstractNumId w:val="11"/>
  </w:num>
  <w:num w:numId="13">
    <w:abstractNumId w:val="43"/>
  </w:num>
  <w:num w:numId="14">
    <w:abstractNumId w:val="22"/>
  </w:num>
  <w:num w:numId="15">
    <w:abstractNumId w:val="31"/>
  </w:num>
  <w:num w:numId="16">
    <w:abstractNumId w:val="33"/>
  </w:num>
  <w:num w:numId="17">
    <w:abstractNumId w:val="32"/>
  </w:num>
  <w:num w:numId="18">
    <w:abstractNumId w:val="9"/>
  </w:num>
  <w:num w:numId="19">
    <w:abstractNumId w:val="21"/>
  </w:num>
  <w:num w:numId="20">
    <w:abstractNumId w:val="16"/>
  </w:num>
  <w:num w:numId="21">
    <w:abstractNumId w:val="42"/>
  </w:num>
  <w:num w:numId="22">
    <w:abstractNumId w:val="23"/>
  </w:num>
  <w:num w:numId="23">
    <w:abstractNumId w:val="4"/>
  </w:num>
  <w:num w:numId="24">
    <w:abstractNumId w:val="26"/>
  </w:num>
  <w:num w:numId="25">
    <w:abstractNumId w:val="5"/>
  </w:num>
  <w:num w:numId="26">
    <w:abstractNumId w:val="39"/>
  </w:num>
  <w:num w:numId="27">
    <w:abstractNumId w:val="29"/>
  </w:num>
  <w:num w:numId="28">
    <w:abstractNumId w:val="27"/>
  </w:num>
  <w:num w:numId="29">
    <w:abstractNumId w:val="2"/>
  </w:num>
  <w:num w:numId="30">
    <w:abstractNumId w:val="40"/>
  </w:num>
  <w:num w:numId="31">
    <w:abstractNumId w:val="13"/>
  </w:num>
  <w:num w:numId="32">
    <w:abstractNumId w:val="30"/>
  </w:num>
  <w:num w:numId="33">
    <w:abstractNumId w:val="17"/>
  </w:num>
  <w:num w:numId="34">
    <w:abstractNumId w:val="25"/>
  </w:num>
  <w:num w:numId="35">
    <w:abstractNumId w:val="7"/>
  </w:num>
  <w:num w:numId="36">
    <w:abstractNumId w:val="34"/>
  </w:num>
  <w:num w:numId="37">
    <w:abstractNumId w:val="36"/>
  </w:num>
  <w:num w:numId="38">
    <w:abstractNumId w:val="0"/>
  </w:num>
  <w:num w:numId="39">
    <w:abstractNumId w:val="10"/>
  </w:num>
  <w:num w:numId="40">
    <w:abstractNumId w:val="24"/>
  </w:num>
  <w:num w:numId="41">
    <w:abstractNumId w:val="18"/>
  </w:num>
  <w:num w:numId="42">
    <w:abstractNumId w:val="1"/>
  </w:num>
  <w:num w:numId="43">
    <w:abstractNumId w:val="14"/>
  </w:num>
  <w:num w:numId="44">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A52"/>
    <w:rsid w:val="00004A52"/>
    <w:rsid w:val="00413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22D6A"/>
  <w15:chartTrackingRefBased/>
  <w15:docId w15:val="{D5C2461C-5382-4777-BB93-BC1876FD3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4A52"/>
    <w:pPr>
      <w:keepNext/>
      <w:suppressAutoHyphens/>
      <w:autoSpaceDN w:val="0"/>
      <w:spacing w:before="240" w:after="60" w:line="249" w:lineRule="auto"/>
      <w:jc w:val="center"/>
      <w:textAlignment w:val="baseline"/>
      <w:outlineLvl w:val="0"/>
    </w:pPr>
    <w:rPr>
      <w:rFonts w:ascii="Calibri Light" w:eastAsia="Times New Roman" w:hAnsi="Calibri Light" w:cs="Times New Roman"/>
      <w:sz w:val="32"/>
      <w:szCs w:val="32"/>
      <w:lang w:val="en-US" w:eastAsia="en-GB"/>
    </w:rPr>
  </w:style>
  <w:style w:type="paragraph" w:styleId="Heading2">
    <w:name w:val="heading 2"/>
    <w:aliases w:val="Chapter Title"/>
    <w:basedOn w:val="Normal"/>
    <w:next w:val="Normal"/>
    <w:link w:val="Heading2Char"/>
    <w:uiPriority w:val="9"/>
    <w:unhideWhenUsed/>
    <w:qFormat/>
    <w:rsid w:val="00004A52"/>
    <w:pPr>
      <w:keepNext/>
      <w:suppressAutoHyphens/>
      <w:autoSpaceDN w:val="0"/>
      <w:spacing w:before="240" w:after="60" w:line="240" w:lineRule="auto"/>
      <w:textAlignment w:val="baseline"/>
      <w:outlineLvl w:val="1"/>
    </w:pPr>
    <w:rPr>
      <w:rFonts w:ascii="Calibri Light" w:eastAsia="Times New Roman" w:hAnsi="Calibri Light" w:cs="Times New Roman"/>
      <w:b/>
      <w:bCs/>
      <w:iCs/>
      <w:sz w:val="36"/>
      <w:szCs w:val="28"/>
    </w:rPr>
  </w:style>
  <w:style w:type="paragraph" w:styleId="Heading3">
    <w:name w:val="heading 3"/>
    <w:basedOn w:val="Normal"/>
    <w:next w:val="Normal"/>
    <w:link w:val="Heading3Char"/>
    <w:uiPriority w:val="9"/>
    <w:unhideWhenUsed/>
    <w:qFormat/>
    <w:rsid w:val="00004A52"/>
    <w:pPr>
      <w:keepNext/>
      <w:suppressAutoHyphens/>
      <w:autoSpaceDN w:val="0"/>
      <w:spacing w:before="240" w:after="60" w:line="249" w:lineRule="auto"/>
      <w:textAlignment w:val="baseline"/>
      <w:outlineLvl w:val="2"/>
    </w:pPr>
    <w:rPr>
      <w:rFonts w:ascii="Calibri Light" w:eastAsia="Times New Roman" w:hAnsi="Calibri Light" w:cs="Times New Roman"/>
      <w:b/>
      <w:bCs/>
      <w:sz w:val="28"/>
      <w:szCs w:val="26"/>
    </w:rPr>
  </w:style>
  <w:style w:type="paragraph" w:styleId="Heading4">
    <w:name w:val="heading 4"/>
    <w:basedOn w:val="Normal"/>
    <w:next w:val="Normal"/>
    <w:link w:val="Heading4Char"/>
    <w:uiPriority w:val="9"/>
    <w:unhideWhenUsed/>
    <w:qFormat/>
    <w:rsid w:val="00004A52"/>
    <w:pPr>
      <w:keepNext/>
      <w:suppressAutoHyphens/>
      <w:autoSpaceDN w:val="0"/>
      <w:spacing w:before="240" w:after="60" w:line="249" w:lineRule="auto"/>
      <w:textAlignment w:val="baseline"/>
      <w:outlineLvl w:val="3"/>
    </w:pPr>
    <w:rPr>
      <w:rFonts w:ascii="Calibri" w:eastAsia="Times New Roman" w:hAnsi="Calibri" w:cs="Times New Roman"/>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4A52"/>
    <w:rPr>
      <w:rFonts w:ascii="Calibri Light" w:eastAsia="Times New Roman" w:hAnsi="Calibri Light" w:cs="Times New Roman"/>
      <w:sz w:val="32"/>
      <w:szCs w:val="32"/>
      <w:lang w:val="en-US" w:eastAsia="en-GB"/>
    </w:rPr>
  </w:style>
  <w:style w:type="character" w:customStyle="1" w:styleId="Heading2Char">
    <w:name w:val="Heading 2 Char"/>
    <w:aliases w:val="Chapter Title Char"/>
    <w:basedOn w:val="DefaultParagraphFont"/>
    <w:link w:val="Heading2"/>
    <w:uiPriority w:val="9"/>
    <w:rsid w:val="00004A52"/>
    <w:rPr>
      <w:rFonts w:ascii="Calibri Light" w:eastAsia="Times New Roman" w:hAnsi="Calibri Light" w:cs="Times New Roman"/>
      <w:b/>
      <w:bCs/>
      <w:iCs/>
      <w:sz w:val="36"/>
      <w:szCs w:val="28"/>
    </w:rPr>
  </w:style>
  <w:style w:type="character" w:customStyle="1" w:styleId="Heading3Char">
    <w:name w:val="Heading 3 Char"/>
    <w:basedOn w:val="DefaultParagraphFont"/>
    <w:link w:val="Heading3"/>
    <w:uiPriority w:val="9"/>
    <w:rsid w:val="00004A52"/>
    <w:rPr>
      <w:rFonts w:ascii="Calibri Light" w:eastAsia="Times New Roman" w:hAnsi="Calibri Light" w:cs="Times New Roman"/>
      <w:b/>
      <w:bCs/>
      <w:sz w:val="28"/>
      <w:szCs w:val="26"/>
    </w:rPr>
  </w:style>
  <w:style w:type="character" w:customStyle="1" w:styleId="Heading4Char">
    <w:name w:val="Heading 4 Char"/>
    <w:basedOn w:val="DefaultParagraphFont"/>
    <w:link w:val="Heading4"/>
    <w:uiPriority w:val="9"/>
    <w:rsid w:val="00004A52"/>
    <w:rPr>
      <w:rFonts w:ascii="Calibri" w:eastAsia="Times New Roman" w:hAnsi="Calibri" w:cs="Times New Roman"/>
      <w:bCs/>
      <w:sz w:val="28"/>
      <w:szCs w:val="28"/>
      <w:u w:val="single"/>
    </w:rPr>
  </w:style>
  <w:style w:type="numbering" w:customStyle="1" w:styleId="NoList1">
    <w:name w:val="No List1"/>
    <w:next w:val="NoList"/>
    <w:uiPriority w:val="99"/>
    <w:semiHidden/>
    <w:unhideWhenUsed/>
    <w:rsid w:val="00004A52"/>
  </w:style>
  <w:style w:type="paragraph" w:customStyle="1" w:styleId="Heading11">
    <w:name w:val="Heading 11"/>
    <w:basedOn w:val="Normal"/>
    <w:next w:val="Normal"/>
    <w:rsid w:val="00004A52"/>
    <w:pPr>
      <w:keepNext/>
      <w:keepLines/>
      <w:suppressAutoHyphens/>
      <w:autoSpaceDN w:val="0"/>
      <w:spacing w:before="240" w:after="0" w:line="249" w:lineRule="auto"/>
      <w:textAlignment w:val="baseline"/>
      <w:outlineLvl w:val="0"/>
    </w:pPr>
    <w:rPr>
      <w:rFonts w:ascii="Calibri Light" w:eastAsia="Times New Roman" w:hAnsi="Calibri Light" w:cs="Times New Roman"/>
      <w:color w:val="2E74B5"/>
      <w:sz w:val="32"/>
      <w:szCs w:val="32"/>
      <w:lang w:val="en-US"/>
    </w:rPr>
  </w:style>
  <w:style w:type="character" w:customStyle="1" w:styleId="Hyperlink1">
    <w:name w:val="Hyperlink1"/>
    <w:rsid w:val="00004A52"/>
    <w:rPr>
      <w:color w:val="0563C1"/>
      <w:u w:val="single"/>
    </w:rPr>
  </w:style>
  <w:style w:type="character" w:customStyle="1" w:styleId="UnresolvedMention1">
    <w:name w:val="Unresolved Mention1"/>
    <w:uiPriority w:val="99"/>
    <w:rsid w:val="00004A52"/>
    <w:rPr>
      <w:color w:val="605E5C"/>
      <w:shd w:val="clear" w:color="auto" w:fill="E1DFDD"/>
    </w:rPr>
  </w:style>
  <w:style w:type="character" w:styleId="PlaceholderText">
    <w:name w:val="Placeholder Text"/>
    <w:uiPriority w:val="99"/>
    <w:rsid w:val="00004A52"/>
    <w:rPr>
      <w:color w:val="808080"/>
    </w:rPr>
  </w:style>
  <w:style w:type="character" w:customStyle="1" w:styleId="UnresolvedMention2">
    <w:name w:val="Unresolved Mention2"/>
    <w:rsid w:val="00004A52"/>
    <w:rPr>
      <w:color w:val="605E5C"/>
      <w:shd w:val="clear" w:color="auto" w:fill="E1DFDD"/>
    </w:rPr>
  </w:style>
  <w:style w:type="character" w:styleId="Hyperlink">
    <w:name w:val="Hyperlink"/>
    <w:uiPriority w:val="99"/>
    <w:rsid w:val="00004A52"/>
    <w:rPr>
      <w:color w:val="0563C1"/>
      <w:u w:val="single"/>
    </w:rPr>
  </w:style>
  <w:style w:type="character" w:customStyle="1" w:styleId="Heading1Char1">
    <w:name w:val="Heading 1 Char1"/>
    <w:rsid w:val="00004A52"/>
    <w:rPr>
      <w:rFonts w:ascii="Calibri Light" w:eastAsia="Times New Roman" w:hAnsi="Calibri Light" w:cs="Times New Roman"/>
      <w:b/>
      <w:bCs/>
      <w:kern w:val="3"/>
      <w:sz w:val="32"/>
      <w:szCs w:val="32"/>
      <w:lang w:eastAsia="en-US"/>
    </w:rPr>
  </w:style>
  <w:style w:type="character" w:styleId="CommentReference">
    <w:name w:val="annotation reference"/>
    <w:uiPriority w:val="99"/>
    <w:semiHidden/>
    <w:unhideWhenUsed/>
    <w:rsid w:val="00004A52"/>
    <w:rPr>
      <w:sz w:val="16"/>
      <w:szCs w:val="16"/>
    </w:rPr>
  </w:style>
  <w:style w:type="paragraph" w:styleId="CommentText">
    <w:name w:val="annotation text"/>
    <w:basedOn w:val="Normal"/>
    <w:link w:val="CommentTextChar"/>
    <w:uiPriority w:val="99"/>
    <w:unhideWhenUsed/>
    <w:rsid w:val="00004A52"/>
    <w:pPr>
      <w:suppressAutoHyphens/>
      <w:autoSpaceDN w:val="0"/>
      <w:spacing w:line="240" w:lineRule="auto"/>
      <w:textAlignment w:val="baseline"/>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rsid w:val="00004A52"/>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004A52"/>
    <w:rPr>
      <w:b/>
      <w:bCs/>
    </w:rPr>
  </w:style>
  <w:style w:type="character" w:customStyle="1" w:styleId="CommentSubjectChar">
    <w:name w:val="Comment Subject Char"/>
    <w:basedOn w:val="CommentTextChar"/>
    <w:link w:val="CommentSubject"/>
    <w:uiPriority w:val="99"/>
    <w:semiHidden/>
    <w:rsid w:val="00004A52"/>
    <w:rPr>
      <w:rFonts w:ascii="Calibri" w:eastAsia="Calibri" w:hAnsi="Calibri" w:cs="Times New Roman"/>
      <w:b/>
      <w:bCs/>
      <w:sz w:val="20"/>
      <w:szCs w:val="20"/>
    </w:rPr>
  </w:style>
  <w:style w:type="paragraph" w:styleId="BalloonText">
    <w:name w:val="Balloon Text"/>
    <w:basedOn w:val="Normal"/>
    <w:link w:val="BalloonTextChar"/>
    <w:uiPriority w:val="99"/>
    <w:semiHidden/>
    <w:unhideWhenUsed/>
    <w:rsid w:val="00004A52"/>
    <w:pPr>
      <w:suppressAutoHyphens/>
      <w:autoSpaceDN w:val="0"/>
      <w:spacing w:after="0" w:line="240" w:lineRule="auto"/>
      <w:textAlignment w:val="baseline"/>
    </w:pPr>
    <w:rPr>
      <w:rFonts w:ascii="Segoe UI" w:eastAsia="Calibri" w:hAnsi="Segoe UI" w:cs="Segoe UI"/>
      <w:sz w:val="18"/>
      <w:szCs w:val="18"/>
    </w:rPr>
  </w:style>
  <w:style w:type="character" w:customStyle="1" w:styleId="BalloonTextChar">
    <w:name w:val="Balloon Text Char"/>
    <w:basedOn w:val="DefaultParagraphFont"/>
    <w:link w:val="BalloonText"/>
    <w:uiPriority w:val="99"/>
    <w:semiHidden/>
    <w:rsid w:val="00004A52"/>
    <w:rPr>
      <w:rFonts w:ascii="Segoe UI" w:eastAsia="Calibri" w:hAnsi="Segoe UI" w:cs="Segoe UI"/>
      <w:sz w:val="18"/>
      <w:szCs w:val="18"/>
    </w:rPr>
  </w:style>
  <w:style w:type="numbering" w:customStyle="1" w:styleId="NoList11">
    <w:name w:val="No List11"/>
    <w:next w:val="NoList"/>
    <w:uiPriority w:val="99"/>
    <w:semiHidden/>
    <w:unhideWhenUsed/>
    <w:rsid w:val="00004A52"/>
  </w:style>
  <w:style w:type="character" w:customStyle="1" w:styleId="UnresolvedMention21">
    <w:name w:val="Unresolved Mention21"/>
    <w:uiPriority w:val="99"/>
    <w:semiHidden/>
    <w:unhideWhenUsed/>
    <w:rsid w:val="00004A52"/>
    <w:rPr>
      <w:color w:val="605E5C"/>
      <w:shd w:val="clear" w:color="auto" w:fill="E1DFDD"/>
    </w:rPr>
  </w:style>
  <w:style w:type="paragraph" w:styleId="ListParagraph">
    <w:name w:val="List Paragraph"/>
    <w:basedOn w:val="Normal"/>
    <w:qFormat/>
    <w:rsid w:val="00004A52"/>
    <w:pPr>
      <w:suppressAutoHyphens/>
      <w:autoSpaceDN w:val="0"/>
      <w:spacing w:line="240" w:lineRule="auto"/>
      <w:ind w:left="720"/>
      <w:textAlignment w:val="baseline"/>
    </w:pPr>
    <w:rPr>
      <w:rFonts w:ascii="Calibri" w:eastAsia="Calibri" w:hAnsi="Calibri" w:cs="Times New Roman"/>
    </w:rPr>
  </w:style>
  <w:style w:type="table" w:styleId="TableGrid">
    <w:name w:val="Table Grid"/>
    <w:basedOn w:val="TableNormal"/>
    <w:uiPriority w:val="59"/>
    <w:rsid w:val="00004A5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004A52"/>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NoSpacing">
    <w:name w:val="No Spacing"/>
    <w:link w:val="NoSpacingChar"/>
    <w:uiPriority w:val="1"/>
    <w:qFormat/>
    <w:rsid w:val="00004A52"/>
    <w:pPr>
      <w:spacing w:after="0" w:line="240" w:lineRule="auto"/>
    </w:pPr>
    <w:rPr>
      <w:rFonts w:ascii="Calibri" w:eastAsia="Times New Roman" w:hAnsi="Calibri" w:cs="Times New Roman"/>
      <w:lang w:val="en-US"/>
    </w:rPr>
  </w:style>
  <w:style w:type="character" w:customStyle="1" w:styleId="NoSpacingChar">
    <w:name w:val="No Spacing Char"/>
    <w:link w:val="NoSpacing"/>
    <w:uiPriority w:val="1"/>
    <w:rsid w:val="00004A52"/>
    <w:rPr>
      <w:rFonts w:ascii="Calibri" w:eastAsia="Times New Roman" w:hAnsi="Calibri" w:cs="Times New Roman"/>
      <w:lang w:val="en-US"/>
    </w:rPr>
  </w:style>
  <w:style w:type="paragraph" w:styleId="Header">
    <w:name w:val="header"/>
    <w:basedOn w:val="Normal"/>
    <w:link w:val="HeaderChar"/>
    <w:uiPriority w:val="99"/>
    <w:unhideWhenUsed/>
    <w:rsid w:val="00004A52"/>
    <w:pPr>
      <w:tabs>
        <w:tab w:val="center" w:pos="4513"/>
        <w:tab w:val="right" w:pos="9026"/>
      </w:tabs>
      <w:suppressAutoHyphens/>
      <w:autoSpaceDN w:val="0"/>
      <w:spacing w:line="249" w:lineRule="auto"/>
      <w:textAlignment w:val="baseline"/>
    </w:pPr>
    <w:rPr>
      <w:rFonts w:ascii="Calibri" w:eastAsia="Calibri" w:hAnsi="Calibri" w:cs="Times New Roman"/>
    </w:rPr>
  </w:style>
  <w:style w:type="character" w:customStyle="1" w:styleId="HeaderChar">
    <w:name w:val="Header Char"/>
    <w:basedOn w:val="DefaultParagraphFont"/>
    <w:link w:val="Header"/>
    <w:uiPriority w:val="99"/>
    <w:rsid w:val="00004A52"/>
    <w:rPr>
      <w:rFonts w:ascii="Calibri" w:eastAsia="Calibri" w:hAnsi="Calibri" w:cs="Times New Roman"/>
    </w:rPr>
  </w:style>
  <w:style w:type="paragraph" w:styleId="Footer">
    <w:name w:val="footer"/>
    <w:basedOn w:val="Normal"/>
    <w:link w:val="FooterChar"/>
    <w:uiPriority w:val="99"/>
    <w:unhideWhenUsed/>
    <w:rsid w:val="00004A52"/>
    <w:pPr>
      <w:tabs>
        <w:tab w:val="center" w:pos="4513"/>
        <w:tab w:val="right" w:pos="9026"/>
      </w:tabs>
      <w:suppressAutoHyphens/>
      <w:autoSpaceDN w:val="0"/>
      <w:spacing w:line="249" w:lineRule="auto"/>
      <w:textAlignment w:val="baseline"/>
    </w:pPr>
    <w:rPr>
      <w:rFonts w:ascii="Calibri" w:eastAsia="Calibri" w:hAnsi="Calibri" w:cs="Times New Roman"/>
    </w:rPr>
  </w:style>
  <w:style w:type="character" w:customStyle="1" w:styleId="FooterChar">
    <w:name w:val="Footer Char"/>
    <w:basedOn w:val="DefaultParagraphFont"/>
    <w:link w:val="Footer"/>
    <w:uiPriority w:val="99"/>
    <w:rsid w:val="00004A52"/>
    <w:rPr>
      <w:rFonts w:ascii="Calibri" w:eastAsia="Calibri" w:hAnsi="Calibri" w:cs="Times New Roman"/>
    </w:rPr>
  </w:style>
  <w:style w:type="paragraph" w:styleId="EndnoteText">
    <w:name w:val="endnote text"/>
    <w:basedOn w:val="Normal"/>
    <w:link w:val="EndnoteTextChar"/>
    <w:uiPriority w:val="99"/>
    <w:semiHidden/>
    <w:unhideWhenUsed/>
    <w:rsid w:val="00004A52"/>
    <w:pPr>
      <w:suppressAutoHyphens/>
      <w:autoSpaceDN w:val="0"/>
      <w:spacing w:line="249" w:lineRule="auto"/>
      <w:textAlignment w:val="baseline"/>
    </w:pPr>
    <w:rPr>
      <w:rFonts w:ascii="Calibri" w:eastAsia="Calibri" w:hAnsi="Calibri" w:cs="Times New Roman"/>
      <w:sz w:val="20"/>
      <w:szCs w:val="20"/>
    </w:rPr>
  </w:style>
  <w:style w:type="character" w:customStyle="1" w:styleId="EndnoteTextChar">
    <w:name w:val="Endnote Text Char"/>
    <w:basedOn w:val="DefaultParagraphFont"/>
    <w:link w:val="EndnoteText"/>
    <w:uiPriority w:val="99"/>
    <w:semiHidden/>
    <w:rsid w:val="00004A52"/>
    <w:rPr>
      <w:rFonts w:ascii="Calibri" w:eastAsia="Calibri" w:hAnsi="Calibri" w:cs="Times New Roman"/>
      <w:sz w:val="20"/>
      <w:szCs w:val="20"/>
    </w:rPr>
  </w:style>
  <w:style w:type="character" w:styleId="EndnoteReference">
    <w:name w:val="endnote reference"/>
    <w:uiPriority w:val="99"/>
    <w:semiHidden/>
    <w:unhideWhenUsed/>
    <w:rsid w:val="00004A52"/>
    <w:rPr>
      <w:vertAlign w:val="superscript"/>
    </w:rPr>
  </w:style>
  <w:style w:type="table" w:styleId="TableGridLight">
    <w:name w:val="Grid Table Light"/>
    <w:basedOn w:val="TableNormal"/>
    <w:uiPriority w:val="40"/>
    <w:rsid w:val="00004A52"/>
    <w:pPr>
      <w:spacing w:after="0" w:line="240" w:lineRule="auto"/>
    </w:pPr>
    <w:rPr>
      <w:rFonts w:ascii="Calibri" w:eastAsia="Calibri" w:hAnsi="Calibri" w:cs="Times New Roman"/>
      <w:sz w:val="20"/>
      <w:szCs w:val="20"/>
      <w:lang w:eastAsia="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2">
    <w:name w:val="Plain Table 2"/>
    <w:basedOn w:val="TableNormal"/>
    <w:uiPriority w:val="42"/>
    <w:rsid w:val="00004A52"/>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PlainTable11">
    <w:name w:val="Plain Table 11"/>
    <w:basedOn w:val="TableNormal"/>
    <w:next w:val="PlainTable1"/>
    <w:uiPriority w:val="41"/>
    <w:rsid w:val="00004A52"/>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2">
    <w:name w:val="Plain Table 12"/>
    <w:basedOn w:val="TableNormal"/>
    <w:next w:val="PlainTable1"/>
    <w:uiPriority w:val="41"/>
    <w:rsid w:val="00004A52"/>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2">
    <w:name w:val="No List2"/>
    <w:next w:val="NoList"/>
    <w:uiPriority w:val="99"/>
    <w:semiHidden/>
    <w:unhideWhenUsed/>
    <w:rsid w:val="00004A52"/>
  </w:style>
  <w:style w:type="table" w:customStyle="1" w:styleId="TableGrid1">
    <w:name w:val="Table Grid1"/>
    <w:basedOn w:val="TableNormal"/>
    <w:next w:val="TableGrid"/>
    <w:uiPriority w:val="39"/>
    <w:rsid w:val="00004A5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3">
    <w:name w:val="Plain Table 13"/>
    <w:basedOn w:val="TableNormal"/>
    <w:next w:val="PlainTable1"/>
    <w:uiPriority w:val="41"/>
    <w:rsid w:val="00004A52"/>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paragraph" w:styleId="TOCHeading">
    <w:name w:val="TOC Heading"/>
    <w:basedOn w:val="Heading1"/>
    <w:next w:val="Normal"/>
    <w:uiPriority w:val="39"/>
    <w:unhideWhenUsed/>
    <w:qFormat/>
    <w:rsid w:val="00004A52"/>
    <w:pPr>
      <w:keepLines/>
      <w:suppressAutoHyphens w:val="0"/>
      <w:autoSpaceDN/>
      <w:spacing w:after="0" w:line="259" w:lineRule="auto"/>
      <w:jc w:val="left"/>
      <w:textAlignment w:val="auto"/>
      <w:outlineLvl w:val="9"/>
    </w:pPr>
    <w:rPr>
      <w:color w:val="2F5496"/>
      <w:lang w:eastAsia="en-US"/>
    </w:rPr>
  </w:style>
  <w:style w:type="paragraph" w:styleId="TOC1">
    <w:name w:val="toc 1"/>
    <w:basedOn w:val="Normal"/>
    <w:next w:val="Normal"/>
    <w:autoRedefine/>
    <w:uiPriority w:val="39"/>
    <w:unhideWhenUsed/>
    <w:rsid w:val="00004A52"/>
    <w:pPr>
      <w:suppressAutoHyphens/>
      <w:autoSpaceDN w:val="0"/>
      <w:spacing w:line="249" w:lineRule="auto"/>
      <w:textAlignment w:val="baseline"/>
    </w:pPr>
    <w:rPr>
      <w:rFonts w:ascii="Calibri Light" w:eastAsia="Calibri" w:hAnsi="Calibri Light" w:cs="Times New Roman"/>
      <w:sz w:val="24"/>
    </w:rPr>
  </w:style>
  <w:style w:type="paragraph" w:styleId="TOC2">
    <w:name w:val="toc 2"/>
    <w:basedOn w:val="Normal"/>
    <w:next w:val="Normal"/>
    <w:autoRedefine/>
    <w:uiPriority w:val="39"/>
    <w:unhideWhenUsed/>
    <w:rsid w:val="00004A52"/>
    <w:pPr>
      <w:tabs>
        <w:tab w:val="right" w:leader="dot" w:pos="8449"/>
      </w:tabs>
      <w:suppressAutoHyphens/>
      <w:autoSpaceDN w:val="0"/>
      <w:spacing w:line="249" w:lineRule="auto"/>
      <w:ind w:left="220"/>
      <w:textAlignment w:val="baseline"/>
    </w:pPr>
    <w:rPr>
      <w:rFonts w:ascii="Calibri" w:eastAsia="Calibri" w:hAnsi="Calibri" w:cs="Times New Roman"/>
      <w:noProof/>
      <w:lang w:eastAsia="en-GB"/>
    </w:rPr>
  </w:style>
  <w:style w:type="paragraph" w:styleId="TOC3">
    <w:name w:val="toc 3"/>
    <w:basedOn w:val="Normal"/>
    <w:next w:val="Normal"/>
    <w:autoRedefine/>
    <w:uiPriority w:val="39"/>
    <w:unhideWhenUsed/>
    <w:rsid w:val="00004A52"/>
    <w:pPr>
      <w:tabs>
        <w:tab w:val="left" w:pos="1320"/>
        <w:tab w:val="right" w:leader="dot" w:pos="8449"/>
      </w:tabs>
      <w:suppressAutoHyphens/>
      <w:autoSpaceDN w:val="0"/>
      <w:spacing w:line="249" w:lineRule="auto"/>
      <w:ind w:left="440"/>
      <w:textAlignment w:val="baseline"/>
    </w:pPr>
    <w:rPr>
      <w:rFonts w:ascii="Calibri Light" w:eastAsia="Times New Roman" w:hAnsi="Calibri Light" w:cs="Times New Roman"/>
      <w:noProof/>
    </w:rPr>
  </w:style>
  <w:style w:type="character" w:styleId="Emphasis">
    <w:name w:val="Emphasis"/>
    <w:uiPriority w:val="20"/>
    <w:qFormat/>
    <w:rsid w:val="00004A52"/>
    <w:rPr>
      <w:i/>
      <w:iCs/>
    </w:rPr>
  </w:style>
  <w:style w:type="numbering" w:customStyle="1" w:styleId="NoList3">
    <w:name w:val="No List3"/>
    <w:next w:val="NoList"/>
    <w:uiPriority w:val="99"/>
    <w:semiHidden/>
    <w:unhideWhenUsed/>
    <w:rsid w:val="00004A52"/>
  </w:style>
  <w:style w:type="numbering" w:customStyle="1" w:styleId="NoList111">
    <w:name w:val="No List111"/>
    <w:next w:val="NoList"/>
    <w:uiPriority w:val="99"/>
    <w:semiHidden/>
    <w:unhideWhenUsed/>
    <w:rsid w:val="00004A52"/>
  </w:style>
  <w:style w:type="numbering" w:customStyle="1" w:styleId="NoList1111">
    <w:name w:val="No List1111"/>
    <w:next w:val="NoList"/>
    <w:uiPriority w:val="99"/>
    <w:semiHidden/>
    <w:unhideWhenUsed/>
    <w:rsid w:val="00004A52"/>
  </w:style>
  <w:style w:type="table" w:customStyle="1" w:styleId="TableGrid2">
    <w:name w:val="Table Grid2"/>
    <w:basedOn w:val="TableNormal"/>
    <w:next w:val="TableGrid"/>
    <w:uiPriority w:val="59"/>
    <w:rsid w:val="00004A52"/>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4">
    <w:name w:val="Plain Table 14"/>
    <w:basedOn w:val="TableNormal"/>
    <w:next w:val="PlainTable1"/>
    <w:uiPriority w:val="41"/>
    <w:rsid w:val="00004A52"/>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TableGridLight1">
    <w:name w:val="Table Grid Light1"/>
    <w:basedOn w:val="TableNormal"/>
    <w:next w:val="TableGridLight"/>
    <w:uiPriority w:val="40"/>
    <w:rsid w:val="00004A52"/>
    <w:pPr>
      <w:spacing w:after="0" w:line="240" w:lineRule="auto"/>
    </w:pPr>
    <w:rPr>
      <w:rFonts w:ascii="Calibri" w:eastAsia="Calibri" w:hAnsi="Calibri" w:cs="Times New Roman"/>
      <w:sz w:val="20"/>
      <w:szCs w:val="20"/>
      <w:lang w:eastAsia="en-GB"/>
    </w:rPr>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customStyle="1" w:styleId="PlainTable21">
    <w:name w:val="Plain Table 21"/>
    <w:basedOn w:val="TableNormal"/>
    <w:next w:val="PlainTable2"/>
    <w:uiPriority w:val="42"/>
    <w:rsid w:val="00004A52"/>
    <w:pPr>
      <w:spacing w:after="0" w:line="240" w:lineRule="auto"/>
    </w:pPr>
    <w:rPr>
      <w:rFonts w:ascii="Calibri" w:eastAsia="Calibri" w:hAnsi="Calibri" w:cs="Times New Roman"/>
      <w:sz w:val="20"/>
      <w:szCs w:val="20"/>
      <w:lang w:eastAsia="en-GB"/>
    </w:rPr>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PlainTable111">
    <w:name w:val="Plain Table 111"/>
    <w:basedOn w:val="TableNormal"/>
    <w:next w:val="PlainTable1"/>
    <w:uiPriority w:val="41"/>
    <w:rsid w:val="00004A52"/>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PlainTable121">
    <w:name w:val="Plain Table 121"/>
    <w:basedOn w:val="TableNormal"/>
    <w:next w:val="PlainTable1"/>
    <w:uiPriority w:val="41"/>
    <w:rsid w:val="00004A52"/>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21">
    <w:name w:val="No List21"/>
    <w:next w:val="NoList"/>
    <w:uiPriority w:val="99"/>
    <w:semiHidden/>
    <w:unhideWhenUsed/>
    <w:rsid w:val="00004A52"/>
  </w:style>
  <w:style w:type="table" w:customStyle="1" w:styleId="TableGrid11">
    <w:name w:val="Table Grid11"/>
    <w:basedOn w:val="TableNormal"/>
    <w:next w:val="TableGrid"/>
    <w:uiPriority w:val="39"/>
    <w:rsid w:val="00004A52"/>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31">
    <w:name w:val="Plain Table 131"/>
    <w:basedOn w:val="TableNormal"/>
    <w:next w:val="PlainTable1"/>
    <w:uiPriority w:val="41"/>
    <w:rsid w:val="00004A52"/>
    <w:pPr>
      <w:spacing w:after="0" w:line="240" w:lineRule="auto"/>
    </w:pPr>
    <w:rPr>
      <w:rFonts w:ascii="Calibri" w:eastAsia="Calibri" w:hAnsi="Calibri" w:cs="Times New Roman"/>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numbering" w:customStyle="1" w:styleId="NoList11111">
    <w:name w:val="No List11111"/>
    <w:next w:val="NoList"/>
    <w:uiPriority w:val="99"/>
    <w:semiHidden/>
    <w:unhideWhenUsed/>
    <w:rsid w:val="00004A52"/>
  </w:style>
  <w:style w:type="numbering" w:customStyle="1" w:styleId="NoList4">
    <w:name w:val="No List4"/>
    <w:next w:val="NoList"/>
    <w:uiPriority w:val="99"/>
    <w:semiHidden/>
    <w:unhideWhenUsed/>
    <w:rsid w:val="00004A52"/>
  </w:style>
  <w:style w:type="character" w:styleId="BookTitle">
    <w:name w:val="Book Title"/>
    <w:uiPriority w:val="33"/>
    <w:qFormat/>
    <w:rsid w:val="00004A52"/>
    <w:rPr>
      <w:b/>
      <w:bCs/>
      <w:i/>
      <w:iCs/>
      <w:spacing w:val="5"/>
    </w:rPr>
  </w:style>
  <w:style w:type="paragraph" w:styleId="Revision">
    <w:name w:val="Revision"/>
    <w:hidden/>
    <w:uiPriority w:val="99"/>
    <w:semiHidden/>
    <w:rsid w:val="00004A52"/>
    <w:pPr>
      <w:spacing w:after="0" w:line="240" w:lineRule="auto"/>
    </w:pPr>
    <w:rPr>
      <w:rFonts w:ascii="Calibri" w:eastAsia="Calibri" w:hAnsi="Calibri" w:cs="Times New Roman"/>
    </w:rPr>
  </w:style>
  <w:style w:type="paragraph" w:styleId="TableofFigures">
    <w:name w:val="table of figures"/>
    <w:basedOn w:val="Normal"/>
    <w:next w:val="Normal"/>
    <w:uiPriority w:val="99"/>
    <w:unhideWhenUsed/>
    <w:rsid w:val="00004A52"/>
    <w:pPr>
      <w:suppressAutoHyphens/>
      <w:autoSpaceDN w:val="0"/>
      <w:spacing w:line="249" w:lineRule="auto"/>
      <w:textAlignment w:val="baseline"/>
    </w:pPr>
    <w:rPr>
      <w:rFonts w:ascii="Calibri Light" w:eastAsia="Calibri" w:hAnsi="Calibri Light" w:cs="Times New Roman"/>
      <w:sz w:val="24"/>
    </w:rPr>
  </w:style>
  <w:style w:type="paragraph" w:styleId="NormalWeb">
    <w:name w:val="Normal (Web)"/>
    <w:basedOn w:val="Normal"/>
    <w:uiPriority w:val="99"/>
    <w:unhideWhenUsed/>
    <w:rsid w:val="00004A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ubtleEmphasis">
    <w:name w:val="Subtle Emphasis"/>
    <w:aliases w:val="Tables"/>
    <w:uiPriority w:val="19"/>
    <w:qFormat/>
    <w:rsid w:val="00004A52"/>
    <w:rPr>
      <w:rFonts w:ascii="Calibri" w:hAnsi="Calibri"/>
      <w:b/>
      <w:i/>
      <w:iCs/>
      <w:color w:val="404040"/>
      <w:sz w:val="24"/>
    </w:rPr>
  </w:style>
  <w:style w:type="character" w:customStyle="1" w:styleId="UnresolvedMention3">
    <w:name w:val="Unresolved Mention3"/>
    <w:basedOn w:val="DefaultParagraphFont"/>
    <w:uiPriority w:val="99"/>
    <w:semiHidden/>
    <w:unhideWhenUsed/>
    <w:rsid w:val="00004A52"/>
    <w:rPr>
      <w:color w:val="605E5C"/>
      <w:shd w:val="clear" w:color="auto" w:fill="E1DFDD"/>
    </w:rPr>
  </w:style>
  <w:style w:type="table" w:customStyle="1" w:styleId="TableGrid0">
    <w:name w:val="TableGrid"/>
    <w:rsid w:val="00004A52"/>
    <w:pPr>
      <w:spacing w:after="0" w:line="240" w:lineRule="auto"/>
    </w:pPr>
    <w:rPr>
      <w:rFonts w:eastAsiaTheme="minorEastAsia"/>
      <w:lang w:eastAsia="en-GB"/>
    </w:rPr>
    <w:tblPr>
      <w:tblCellMar>
        <w:top w:w="0" w:type="dxa"/>
        <w:left w:w="0" w:type="dxa"/>
        <w:bottom w:w="0" w:type="dxa"/>
        <w:right w:w="0" w:type="dxa"/>
      </w:tblCellMar>
    </w:tblPr>
  </w:style>
  <w:style w:type="paragraph" w:styleId="Caption">
    <w:name w:val="caption"/>
    <w:basedOn w:val="Normal"/>
    <w:next w:val="Normal"/>
    <w:uiPriority w:val="35"/>
    <w:unhideWhenUsed/>
    <w:qFormat/>
    <w:rsid w:val="00004A52"/>
    <w:pPr>
      <w:suppressAutoHyphens/>
      <w:autoSpaceDN w:val="0"/>
      <w:spacing w:after="200" w:line="240" w:lineRule="auto"/>
      <w:textAlignment w:val="baseline"/>
    </w:pPr>
    <w:rPr>
      <w:rFonts w:ascii="Calibri" w:eastAsia="Calibri" w:hAnsi="Calibri" w:cs="Times New Roman"/>
      <w:i/>
      <w:iCs/>
      <w:color w:val="44546A" w:themeColor="text2"/>
      <w:sz w:val="18"/>
      <w:szCs w:val="18"/>
    </w:rPr>
  </w:style>
  <w:style w:type="character" w:customStyle="1" w:styleId="UnresolvedMention4">
    <w:name w:val="Unresolved Mention4"/>
    <w:basedOn w:val="DefaultParagraphFont"/>
    <w:uiPriority w:val="99"/>
    <w:semiHidden/>
    <w:unhideWhenUsed/>
    <w:rsid w:val="00004A52"/>
    <w:rPr>
      <w:color w:val="605E5C"/>
      <w:shd w:val="clear" w:color="auto" w:fill="E1DFDD"/>
    </w:rPr>
  </w:style>
  <w:style w:type="character" w:customStyle="1" w:styleId="cf01">
    <w:name w:val="cf01"/>
    <w:basedOn w:val="DefaultParagraphFont"/>
    <w:rsid w:val="00004A52"/>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8763</Words>
  <Characters>49954</Characters>
  <Application>Microsoft Office Word</Application>
  <DocSecurity>0</DocSecurity>
  <Lines>416</Lines>
  <Paragraphs>117</Paragraphs>
  <ScaleCrop>false</ScaleCrop>
  <Company/>
  <LinksUpToDate>false</LinksUpToDate>
  <CharactersWithSpaces>58600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Kate Smith</dc:creator>
  <cp:keywords/>
  <dc:description/>
  <cp:lastModifiedBy>Ruth Kate Smith</cp:lastModifiedBy>
  <cp:revision>1</cp:revision>
  <dcterms:created xsi:type="dcterms:W3CDTF">2021-05-20T13:37:00Z</dcterms:created>
  <dcterms:modified xsi:type="dcterms:W3CDTF">2021-05-20T13:38:00Z</dcterms:modified>
</cp:coreProperties>
</file>