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280" w:line="360"/>
        <w:ind w:right="0" w:left="0" w:firstLine="0"/>
        <w:jc w:val="center"/>
        <w:rPr>
          <w:rFonts w:ascii="Arial" w:hAnsi="Arial" w:cs="Arial" w:eastAsia="Arial"/>
          <w:color w:val="000000"/>
          <w:spacing w:val="0"/>
          <w:position w:val="0"/>
          <w:sz w:val="48"/>
          <w:shd w:fill="auto" w:val="clear"/>
        </w:rPr>
      </w:pPr>
    </w:p>
    <w:p>
      <w:pPr>
        <w:spacing w:before="120" w:after="280" w:line="360"/>
        <w:ind w:right="0" w:left="0" w:firstLine="0"/>
        <w:jc w:val="center"/>
        <w:rPr>
          <w:rFonts w:ascii="Arial" w:hAnsi="Arial" w:cs="Arial" w:eastAsia="Arial"/>
          <w:color w:val="000000"/>
          <w:spacing w:val="0"/>
          <w:position w:val="0"/>
          <w:sz w:val="48"/>
          <w:shd w:fill="auto" w:val="clear"/>
        </w:rPr>
      </w:pPr>
    </w:p>
    <w:p>
      <w:pPr>
        <w:spacing w:before="120" w:after="280" w:line="360"/>
        <w:ind w:right="0" w:left="0" w:firstLine="0"/>
        <w:jc w:val="center"/>
        <w:rPr>
          <w:rFonts w:ascii="Arial" w:hAnsi="Arial" w:cs="Arial" w:eastAsia="Arial"/>
          <w:color w:val="000000"/>
          <w:spacing w:val="0"/>
          <w:position w:val="0"/>
          <w:sz w:val="48"/>
          <w:shd w:fill="auto" w:val="clear"/>
        </w:rPr>
      </w:pPr>
    </w:p>
    <w:p>
      <w:pPr>
        <w:spacing w:before="120" w:after="280" w:line="360"/>
        <w:ind w:right="0" w:left="0" w:firstLine="0"/>
        <w:jc w:val="center"/>
        <w:rPr>
          <w:rFonts w:ascii="Arial" w:hAnsi="Arial" w:cs="Arial" w:eastAsia="Arial"/>
          <w:color w:val="000000"/>
          <w:spacing w:val="0"/>
          <w:position w:val="0"/>
          <w:sz w:val="48"/>
          <w:shd w:fill="auto" w:val="clear"/>
        </w:rPr>
      </w:pPr>
      <w:r>
        <w:rPr>
          <w:rFonts w:ascii="Arial" w:hAnsi="Arial" w:cs="Arial" w:eastAsia="Arial"/>
          <w:color w:val="000000"/>
          <w:spacing w:val="0"/>
          <w:position w:val="0"/>
          <w:sz w:val="48"/>
          <w:shd w:fill="auto" w:val="clear"/>
        </w:rPr>
        <w:t xml:space="preserve">Financial Management for the Hotel Industry</w:t>
      </w:r>
    </w:p>
    <w:p>
      <w:pPr>
        <w:spacing w:before="120" w:after="280" w:line="360"/>
        <w:ind w:right="0" w:left="0" w:firstLine="0"/>
        <w:jc w:val="center"/>
        <w:rPr>
          <w:rFonts w:ascii="Arial" w:hAnsi="Arial" w:cs="Arial" w:eastAsia="Arial"/>
          <w:b/>
          <w:color w:val="000000"/>
          <w:spacing w:val="0"/>
          <w:position w:val="0"/>
          <w:sz w:val="48"/>
          <w:shd w:fill="auto" w:val="clear"/>
        </w:rPr>
      </w:pPr>
      <w:r>
        <w:rPr>
          <w:rFonts w:ascii="Arial" w:hAnsi="Arial" w:cs="Arial" w:eastAsia="Arial"/>
          <w:b/>
          <w:color w:val="000000"/>
          <w:spacing w:val="0"/>
          <w:position w:val="0"/>
          <w:sz w:val="48"/>
          <w:shd w:fill="auto" w:val="clear"/>
        </w:rPr>
        <w:t xml:space="preserve">BMIH5007</w:t>
      </w:r>
    </w:p>
    <w:p>
      <w:pPr>
        <w:spacing w:before="120" w:after="280" w:line="360"/>
        <w:ind w:right="0" w:left="0" w:firstLine="0"/>
        <w:jc w:val="center"/>
        <w:rPr>
          <w:rFonts w:ascii="Arial" w:hAnsi="Arial" w:cs="Arial" w:eastAsia="Arial"/>
          <w:b/>
          <w:color w:val="000000"/>
          <w:spacing w:val="0"/>
          <w:position w:val="0"/>
          <w:sz w:val="48"/>
          <w:shd w:fill="auto" w:val="clear"/>
        </w:rPr>
      </w:pPr>
    </w:p>
    <w:p>
      <w:pPr>
        <w:spacing w:before="120" w:after="280" w:line="360"/>
        <w:ind w:right="0" w:left="0" w:firstLine="0"/>
        <w:jc w:val="center"/>
        <w:rPr>
          <w:rFonts w:ascii="Arial" w:hAnsi="Arial" w:cs="Arial" w:eastAsia="Arial"/>
          <w:b/>
          <w:color w:val="000000"/>
          <w:spacing w:val="0"/>
          <w:position w:val="0"/>
          <w:sz w:val="48"/>
          <w:shd w:fill="auto" w:val="clear"/>
        </w:rPr>
      </w:pPr>
    </w:p>
    <w:p>
      <w:pPr>
        <w:spacing w:before="120" w:after="28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Student Name : Ramona Maria Bucur</w:t>
      </w:r>
    </w:p>
    <w:p>
      <w:pPr>
        <w:spacing w:before="120" w:after="28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Student ID : 2023040</w:t>
      </w:r>
    </w:p>
    <w:p>
      <w:pPr>
        <w:spacing w:before="120" w:after="28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Lecturers Name : Dale Clarke</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Modle title : Financial Management for the Hotel Industry ( BMIH5007 )</w:t>
        <w:t xml:space="preserve"> </w:t>
      </w:r>
    </w:p>
    <w:p>
      <w:pPr>
        <w:spacing w:before="0" w:after="160" w:line="259"/>
        <w:ind w:right="0" w:left="0" w:firstLine="0"/>
        <w:jc w:val="left"/>
        <w:rPr>
          <w:rFonts w:ascii="Times New Roman" w:hAnsi="Times New Roman" w:cs="Times New Roman" w:eastAsia="Times New Roman"/>
          <w:color w:val="000000"/>
          <w:spacing w:val="0"/>
          <w:position w:val="0"/>
          <w:sz w:val="28"/>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32"/>
          <w:shd w:fill="auto" w:val="clear"/>
        </w:rPr>
      </w:pPr>
    </w:p>
    <w:p>
      <w:pPr>
        <w:keepNext w:val="true"/>
        <w:keepLines w:val="true"/>
        <w:spacing w:before="120" w:after="0" w:line="360"/>
        <w:ind w:right="0" w:left="0" w:firstLine="0"/>
        <w:jc w:val="both"/>
        <w:rPr>
          <w:rFonts w:ascii="Times New Roman" w:hAnsi="Times New Roman" w:cs="Times New Roman" w:eastAsia="Times New Roman"/>
          <w:b/>
          <w:color w:val="000000"/>
          <w:spacing w:val="0"/>
          <w:position w:val="0"/>
          <w:sz w:val="36"/>
          <w:shd w:fill="auto" w:val="clear"/>
        </w:rPr>
      </w:pPr>
    </w:p>
    <w:p>
      <w:pPr>
        <w:keepNext w:val="true"/>
        <w:keepLines w:val="true"/>
        <w:spacing w:before="120" w:after="0" w:line="360"/>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Task 1</w:t>
      </w:r>
    </w:p>
    <w:p>
      <w:pPr>
        <w:keepNext w:val="true"/>
        <w:keepLines w:val="true"/>
        <w:spacing w:before="120" w:after="0" w:line="360"/>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Analysis of the Financial Statements</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Introduction</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Ratio analysis is a quantitative method for learning about a company's liquidity, operational efficiency, and profitability by examining financial documents such as the balance sheet and income statement. This is accomplished by employing ratios. Any thorough examination of a company's equity should begin and end with a ratio analysis of the company's financial data. By comparing line-item data from the company's financial records, ratio analysis can provide information about a company's profitability, liquidity, operational efficiency, and solvency. In the long run, it is possible to compare a company's success to that of its competitors in the same industry. Ratio analysis may be required to ensure compliance with the norms established by risk-related benchmarks issued by third parties (Van Niekerk, 2016). Although ratios are useful for gaining insight into a company, other indicators should also be considered in order to get a more complete picture of the organization's financial health. Some common examples of ratio analysis include the current ratio, the gross margin to the current-sales ratio, and the sales-to-inventory ratio (Stoutenburg, 2015).</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Through ratio analysis, investors and analysts can gain an understanding of a company's overall financial health by comparing its historical and present financial records. Using past and anticipated performance measurements, one can get insight into a company's performance evolution and forecast its future success. This data can also be used to assess how well one company is performing in comparison to its competitors in the same market. All of the numbers required to compute the ratios may be found on a company's financial records, making ratio analysis a simple tool for investors to employ (Singh, Schmidgall and Zhang, 2015). Ratios can be used to compare the performance of different companies. They look into different companies in the same field. To the same effect, they assess a company's current performance in relation to its prior performance. To make sense of ratios, it is frequently required to have a strong understanding of the underlying causes at work. This is due to the fact that management may occasionally change its approach in order to boost the company's stock price and financial statistics. In the actual world, it is uncommon to see a single ratio utilized in isolation; rather, ratios are almost always used in tandem with one another (Sheel, 2017). To better recognise red flags, it's critical to understand the ratios in each of the four previously outlined domains. The purpose of this research is to conduct an analysis of the performance of Marriott's financial ratios in 2020 and 2021. Along with determining the significance of decision making, it will also decide the constraints that are placed on ratio analysis (Hörl et al., 2013).</w:t>
        <w:t xml:space="preserve"> </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numPr>
          <w:ilvl w:val="0"/>
          <w:numId w:val="7"/>
        </w:numPr>
        <w:spacing w:before="0" w:after="0" w:line="360"/>
        <w:ind w:right="0" w:left="720" w:hanging="36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 Interpretation of Financial Ratio Performance (Marriott 2020 and 2021)</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object w:dxaOrig="8985" w:dyaOrig="7969">
          <v:rect xmlns:o="urn:schemas-microsoft-com:office:office" xmlns:v="urn:schemas-microsoft-com:vml" id="rectole0000000000" style="width:449.250000pt;height:398.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Current Ratio:</w:t>
      </w:r>
      <w:r>
        <w:rPr>
          <w:rFonts w:ascii="Times New Roman" w:hAnsi="Times New Roman" w:cs="Times New Roman" w:eastAsia="Times New Roman"/>
          <w:color w:val="000000"/>
          <w:spacing w:val="0"/>
          <w:position w:val="0"/>
          <w:sz w:val="24"/>
          <w:shd w:fill="auto" w:val="clear"/>
        </w:rPr>
        <w:t xml:space="preserve"> Current ratio measures a company's capacity to satisfy current liabilities, such as payables and loans, with current assets, such as receivables, inventories, and cash. The characteristics of a healthy current ratio vary based on context and performance. A current ratio of 1.50 or higher indicates sufficient liquidity. The greater the ratio, the greater our capacity to pay back our loans. Above data shows that current ratio is higher in the later year which is a positive change (Sheel, 2016).</w:t>
      </w:r>
    </w:p>
    <w:p>
      <w:pPr>
        <w:spacing w:before="120" w:after="28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Long-term Debt Capital: </w:t>
      </w:r>
      <w:r>
        <w:rPr>
          <w:rFonts w:ascii="Times New Roman" w:hAnsi="Times New Roman" w:cs="Times New Roman" w:eastAsia="Times New Roman"/>
          <w:color w:val="000000"/>
          <w:spacing w:val="0"/>
          <w:position w:val="0"/>
          <w:sz w:val="24"/>
          <w:shd w:fill="auto" w:val="clear"/>
        </w:rPr>
        <w:t xml:space="preserve">We can determine the company's leverage by dividing its long-term debt by its entire capital. Total debt should represent less than one percent of total capitalization. Companies with a lower ratio are more likely to be financed by shareholder equity. The fact that it is less than it was in 2020 is a positive development for Marriott (Himma, 2013).</w:t>
      </w:r>
    </w:p>
    <w:p>
      <w:pPr>
        <w:spacing w:before="120" w:after="28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Debt/ Equity Ratio:</w:t>
      </w:r>
      <w:r>
        <w:rPr>
          <w:rFonts w:ascii="Times New Roman" w:hAnsi="Times New Roman" w:cs="Times New Roman" w:eastAsia="Times New Roman"/>
          <w:color w:val="000000"/>
          <w:spacing w:val="0"/>
          <w:position w:val="0"/>
          <w:sz w:val="24"/>
          <w:shd w:fill="auto" w:val="clear"/>
        </w:rPr>
        <w:t xml:space="preserve"> This ratio measures total debt as a percentage of the sum of all owners' investments and retained earnings. Between 2 and 2.5 is commonly regarded as the ideal range. Even though it will be significantly lower in 2021 than in 2020, it is still much above average (Finnigan, 2018).</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Gross Margin: </w:t>
      </w:r>
      <w:r>
        <w:rPr>
          <w:rFonts w:ascii="Times New Roman" w:hAnsi="Times New Roman" w:cs="Times New Roman" w:eastAsia="Times New Roman"/>
          <w:color w:val="000000"/>
          <w:spacing w:val="0"/>
          <w:position w:val="0"/>
          <w:sz w:val="24"/>
          <w:shd w:fill="auto" w:val="clear"/>
        </w:rPr>
        <w:t xml:space="preserve">The gross profit margin measures the ability of a company's management to earn revenue after deducting all costs connected with manufacturing goods or rendering services. Simply put, a greater ratio indicates effective expense-to-revenue conversion by management. As a result, Marriott's profits increased in 2021 (Corgel, Lane and Woodworth, 2012).</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Operating Margin:</w:t>
      </w:r>
      <w:r>
        <w:rPr>
          <w:rFonts w:ascii="Times New Roman" w:hAnsi="Times New Roman" w:cs="Times New Roman" w:eastAsia="Times New Roman"/>
          <w:color w:val="000000"/>
          <w:spacing w:val="0"/>
          <w:position w:val="0"/>
          <w:sz w:val="24"/>
          <w:shd w:fill="auto" w:val="clear"/>
        </w:rPr>
        <w:t xml:space="preserve"> After accounting for all of the costs associated with creating a product, the operating margin reflects how much of each dollar of revenue a corporation retains. Ideal operating margin for a business is at least 15%. We anticipate an average return of 10% from businesses. Compared to 2021, when there were just 0.7946, this increase to 12.629 is an indication of Marriott's development (Chung and Yoon, 2013).</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Website: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auto" w:val="clear"/>
          </w:rPr>
          <w:t xml:space="preserve">https://macrotrends.net/definitions/terms/operating-margin/#:~:text=What%20is%20a%20good%20Operating,are%20going%20up%20or%20down.</w:t>
        </w:r>
      </w:hyperlink>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EBIT Margin:</w:t>
      </w:r>
      <w:r>
        <w:rPr>
          <w:rFonts w:ascii="Times New Roman" w:hAnsi="Times New Roman" w:cs="Times New Roman" w:eastAsia="Times New Roman"/>
          <w:color w:val="000000"/>
          <w:spacing w:val="0"/>
          <w:position w:val="0"/>
          <w:sz w:val="24"/>
          <w:shd w:fill="auto" w:val="clear"/>
        </w:rPr>
        <w:t xml:space="preserve"> With the help of this margin, investors can have a better understanding of a company's true operating expenses. A net profit margin of 10% is considered average, a margin of 20% is considered great, and a margin of 5% is considered pitifully poor (Chen and Chang, 2012). The 2021 average is set at 12%. It was unusually low in 2020, 0.7946. The increment indicated development for the company (Chung and Yoon, 2013).</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Website: </w:t>
      </w:r>
      <w:hyperlink xmlns:r="http://schemas.openxmlformats.org/officeDocument/2006/relationships" r:id="docRId3">
        <w:r>
          <w:rPr>
            <w:rFonts w:ascii="Times New Roman" w:hAnsi="Times New Roman" w:cs="Times New Roman" w:eastAsia="Times New Roman"/>
            <w:color w:val="000000"/>
            <w:spacing w:val="0"/>
            <w:position w:val="0"/>
            <w:sz w:val="24"/>
            <w:u w:val="single"/>
            <w:shd w:fill="auto" w:val="clear"/>
          </w:rPr>
          <w:t xml:space="preserve">https://corporatefinanceinstitute.com/resources/accounting/profit-margin/#:~:text=What%20is%20a%20Good%20Profit,a%205%25%20margin%20is%20low.</w:t>
        </w:r>
      </w:hyperlink>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EBITDA Margin: </w:t>
      </w:r>
      <w:r>
        <w:rPr>
          <w:rFonts w:ascii="Times New Roman" w:hAnsi="Times New Roman" w:cs="Times New Roman" w:eastAsia="Times New Roman"/>
          <w:color w:val="000000"/>
          <w:spacing w:val="0"/>
          <w:position w:val="0"/>
          <w:sz w:val="24"/>
          <w:shd w:fill="auto" w:val="clear"/>
        </w:rPr>
        <w:t xml:space="preserve">An EBITDA margin of 10% or more indicates good performance. As a result, 2021 is a favourable year. However, it was just 5% in 2020, significantly below the norm (Berezina and Cobanoglu, 2010).</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Pre-Tax Profit Margin:</w:t>
      </w:r>
      <w:r>
        <w:rPr>
          <w:rFonts w:ascii="Times New Roman" w:hAnsi="Times New Roman" w:cs="Times New Roman" w:eastAsia="Times New Roman"/>
          <w:color w:val="000000"/>
          <w:spacing w:val="0"/>
          <w:position w:val="0"/>
          <w:sz w:val="24"/>
          <w:shd w:fill="auto" w:val="clear"/>
        </w:rPr>
        <w:t xml:space="preserve"> As a metric of a business's operational efficiency, the pretax profit margin is a key indicator in the world of finance. The higher the ratio, the better. It has increased in 2021 compared to 2020 which is a positive sign (Banas and Golba, 2017). </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Net Profit Margin: </w:t>
      </w:r>
      <w:r>
        <w:rPr>
          <w:rFonts w:ascii="Times New Roman" w:hAnsi="Times New Roman" w:cs="Times New Roman" w:eastAsia="Times New Roman"/>
          <w:color w:val="000000"/>
          <w:spacing w:val="0"/>
          <w:position w:val="0"/>
          <w:sz w:val="24"/>
          <w:shd w:fill="auto" w:val="clear"/>
        </w:rPr>
        <w:t xml:space="preserve">A 10% of net profit margin is considered average. In 2021, it is 7.9% which is greater compared to the one at 2020, but still not as much as to consider good.</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Asset Turnover:</w:t>
      </w:r>
      <w:r>
        <w:rPr>
          <w:rFonts w:ascii="Times New Roman" w:hAnsi="Times New Roman" w:cs="Times New Roman" w:eastAsia="Times New Roman"/>
          <w:color w:val="000000"/>
          <w:spacing w:val="0"/>
          <w:position w:val="0"/>
          <w:sz w:val="24"/>
          <w:shd w:fill="auto" w:val="clear"/>
        </w:rPr>
        <w:t xml:space="preserve"> The asset turnover ratio measures how efficiently a company is able to convert its assets into revenue. It has increased to 0.54 in 2021 which is a positive sign as 0.25 to 0.5 is considered good ratio.</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Inventory Turnover Ratio: </w:t>
      </w:r>
      <w:r>
        <w:rPr>
          <w:rFonts w:ascii="Times New Roman" w:hAnsi="Times New Roman" w:cs="Times New Roman" w:eastAsia="Times New Roman"/>
          <w:color w:val="000000"/>
          <w:spacing w:val="0"/>
          <w:position w:val="0"/>
          <w:sz w:val="24"/>
          <w:shd w:fill="auto" w:val="clear"/>
        </w:rPr>
        <w:t xml:space="preserve">The inventory turnover rate quantifies how rapidly an organisation consumes its inventory. Between 5 and 10 is considered to be a good ratio.</w:t>
      </w:r>
    </w:p>
    <w:p>
      <w:pPr>
        <w:spacing w:before="120" w:after="28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Receivable Turnover: </w:t>
      </w:r>
      <w:r>
        <w:rPr>
          <w:rFonts w:ascii="Times New Roman" w:hAnsi="Times New Roman" w:cs="Times New Roman" w:eastAsia="Times New Roman"/>
          <w:color w:val="000000"/>
          <w:spacing w:val="0"/>
          <w:position w:val="0"/>
          <w:sz w:val="24"/>
          <w:shd w:fill="auto" w:val="clear"/>
        </w:rPr>
        <w:t xml:space="preserve">The receivables turnover ratio reveals how quickly a business is able to collect consumer debts. This ratio must be at least 1 for a company to be considered healthy. It exceeded the level of 2020 in 2021 (Adedeji, 2014).</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Days Sales in Receivables: </w:t>
      </w:r>
      <w:r>
        <w:rPr>
          <w:rFonts w:ascii="Times New Roman" w:hAnsi="Times New Roman" w:cs="Times New Roman" w:eastAsia="Times New Roman"/>
          <w:color w:val="000000"/>
          <w:spacing w:val="0"/>
          <w:position w:val="0"/>
          <w:sz w:val="24"/>
          <w:shd w:fill="auto" w:val="clear"/>
        </w:rPr>
        <w:t xml:space="preserve">A high DSO indicates that a corporation sells its items on credit and takes a long time to collect payment from its customers. This may generate cash flow problems. When the DSO is low, it shows that accounts receivables are swiftly collected. By 2021, the ratio has been lowered (Stoutenburg, 2015).</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ROE- Return on Equity:</w:t>
      </w:r>
      <w:r>
        <w:rPr>
          <w:rFonts w:ascii="Times New Roman" w:hAnsi="Times New Roman" w:cs="Times New Roman" w:eastAsia="Times New Roman"/>
          <w:color w:val="000000"/>
          <w:spacing w:val="0"/>
          <w:position w:val="0"/>
          <w:sz w:val="24"/>
          <w:shd w:fill="auto" w:val="clear"/>
        </w:rPr>
        <w:t xml:space="preserve"> Return on equity measures the effectiveness with which a company returns the investment made by its shareholders. Return on equity has significantly increased in 2021.</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Return on Tangible Equity: </w:t>
      </w:r>
      <w:r>
        <w:rPr>
          <w:rFonts w:ascii="Times New Roman" w:hAnsi="Times New Roman" w:cs="Times New Roman" w:eastAsia="Times New Roman"/>
          <w:color w:val="000000"/>
          <w:spacing w:val="0"/>
          <w:position w:val="0"/>
          <w:sz w:val="24"/>
          <w:shd w:fill="auto" w:val="clear"/>
        </w:rPr>
        <w:t xml:space="preserve">Return on tangible equity is commonly used to evaluate financial organisations and insurers. It has decreased in 2021.</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ROA- Return on Assets: </w:t>
      </w:r>
      <w:r>
        <w:rPr>
          <w:rFonts w:ascii="Times New Roman" w:hAnsi="Times New Roman" w:cs="Times New Roman" w:eastAsia="Times New Roman"/>
          <w:color w:val="000000"/>
          <w:spacing w:val="0"/>
          <w:position w:val="0"/>
          <w:sz w:val="24"/>
          <w:shd w:fill="auto" w:val="clear"/>
        </w:rPr>
        <w:t xml:space="preserve">Return on assets, as a ratio to total assets, is a measure of a company's profitability. A return on investment above 5% is considered acceptable, whereas returns exceeding 20% are regarded as outstanding (Himma, 2013).</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ROI- Return on Investment: </w:t>
      </w:r>
      <w:r>
        <w:rPr>
          <w:rFonts w:ascii="Times New Roman" w:hAnsi="Times New Roman" w:cs="Times New Roman" w:eastAsia="Times New Roman"/>
          <w:color w:val="000000"/>
          <w:spacing w:val="0"/>
          <w:position w:val="0"/>
          <w:sz w:val="24"/>
          <w:shd w:fill="auto" w:val="clear"/>
        </w:rPr>
        <w:t xml:space="preserve">The return on investment measures the profitability of an investment. A return on investment of 7% per year is seen satisfactory when investing in stocks. It has significantly increased in 2021 compared to 2020 (Stoutenburg, 2015).</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Book Value Per Share: </w:t>
      </w:r>
      <w:r>
        <w:rPr>
          <w:rFonts w:ascii="Times New Roman" w:hAnsi="Times New Roman" w:cs="Times New Roman" w:eastAsia="Times New Roman"/>
          <w:color w:val="000000"/>
          <w:spacing w:val="0"/>
          <w:position w:val="0"/>
          <w:sz w:val="24"/>
          <w:shd w:fill="auto" w:val="clear"/>
        </w:rPr>
        <w:t xml:space="preserve">This number shows the basic minimum of a company's equity as a measure of its book value per share. Below one is the best value. In 2021, it has increased.</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Operating Cash Flow Per Share: </w:t>
      </w:r>
      <w:r>
        <w:rPr>
          <w:rFonts w:ascii="Times New Roman" w:hAnsi="Times New Roman" w:cs="Times New Roman" w:eastAsia="Times New Roman"/>
          <w:color w:val="000000"/>
          <w:spacing w:val="0"/>
          <w:position w:val="0"/>
          <w:sz w:val="24"/>
          <w:shd w:fill="auto" w:val="clear"/>
        </w:rPr>
        <w:t xml:space="preserve">After deducting expenses for long-term capital expenditures, the term "operating cash flow per share" is used to indicate the amount of money a company makes from its sales. The optimal proportion exceeds 1. It has decreases in 2021 (Chen and Chang, 2012).</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Free Cash Flow Per Share: </w:t>
      </w:r>
      <w:r>
        <w:rPr>
          <w:rFonts w:ascii="Times New Roman" w:hAnsi="Times New Roman" w:cs="Times New Roman" w:eastAsia="Times New Roman"/>
          <w:color w:val="000000"/>
          <w:spacing w:val="0"/>
          <w:position w:val="0"/>
          <w:sz w:val="24"/>
          <w:shd w:fill="auto" w:val="clear"/>
        </w:rPr>
        <w:t xml:space="preserve">It is a proxy for a company's available financial flexibility. When the ratio is greater than 1, the company is financially healthy. It has decreases in 2021.</w:t>
        <w:t xml:space="preserve"> </w:t>
      </w:r>
    </w:p>
    <w:p>
      <w:pPr>
        <w:spacing w:before="120" w:after="28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numPr>
          <w:ilvl w:val="0"/>
          <w:numId w:val="10"/>
        </w:numPr>
        <w:spacing w:before="0" w:after="0" w:line="360"/>
        <w:ind w:right="0" w:left="720" w:hanging="36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 Limitation of Ratio Analysis</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Ratio analysis has some limitations. These are explained below:</w:t>
      </w:r>
    </w:p>
    <w:p>
      <w:pPr>
        <w:numPr>
          <w:ilvl w:val="0"/>
          <w:numId w:val="12"/>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ratio study does not take into consideration contextual circumstances such as the current global economic crisis.</w:t>
      </w:r>
    </w:p>
    <w:p>
      <w:pPr>
        <w:numPr>
          <w:ilvl w:val="0"/>
          <w:numId w:val="12"/>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When attempting to examine the human element of a firm, ratio analysis has limits.</w:t>
      </w:r>
    </w:p>
    <w:p>
      <w:pPr>
        <w:numPr>
          <w:ilvl w:val="0"/>
          <w:numId w:val="12"/>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Ratio analysis should only be used to compare organisations of similar size and industry.</w:t>
      </w:r>
    </w:p>
    <w:p>
      <w:pPr>
        <w:numPr>
          <w:ilvl w:val="0"/>
          <w:numId w:val="12"/>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If other businesses are unwilling to share their data with Marriott, it may be tough to create comparisons.</w:t>
      </w:r>
    </w:p>
    <w:p>
      <w:pPr>
        <w:numPr>
          <w:ilvl w:val="0"/>
          <w:numId w:val="12"/>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appears that analysing financial statements can be difficult.</w:t>
      </w:r>
    </w:p>
    <w:p>
      <w:pPr>
        <w:numPr>
          <w:ilvl w:val="0"/>
          <w:numId w:val="12"/>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When comparing businesses in different industries, inconsistent results may occur due to the importance of factors such as market structure and regulation. Many businesses operate in a variety of markets, each with its own set of environmental challenges (Sheel, 2017).</w:t>
      </w:r>
    </w:p>
    <w:p>
      <w:pPr>
        <w:numPr>
          <w:ilvl w:val="0"/>
          <w:numId w:val="12"/>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Biases and assumptions may influence the information used in financial accounting. Because different accounting criteria need distinct accounting methodologies, the extent to which different approaches can be compared is limited. As a result, ratio analysis is less useful in certain situations (Banas and Golba, 2017).</w:t>
      </w:r>
    </w:p>
    <w:p>
      <w:pPr>
        <w:numPr>
          <w:ilvl w:val="0"/>
          <w:numId w:val="12"/>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While the ratio analysis is useful for displaying how new information compares to old, consumers have reason to be concerned about the most recent and future data sets.</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The Importance of Understanding Ratios and their Fluctuations for Hotel management</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Hotels, resorts, event organizing, amusement parks, public transit, cruise ships, and other tourism-related companies are all part of the hospitality industry. Because the hotel industry is so diverse, it is necessary to establish a common set of financial standards for use in evaluating firms in the sector, regardless of their specific line of business (Stoutenburg, 2015). Due to the prevalence of fixed and physical assets in the hotel industry, a unique set of financial measurements is required to effectively assess company trends and corporate results. These are some of the most critical financial ratios to consider when reviewing and assessing hospitality businesses.</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p>
    <w:p>
      <w:pPr>
        <w:numPr>
          <w:ilvl w:val="0"/>
          <w:numId w:val="15"/>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Stakeholders can learn about a company's ability to meet its short-term financial obligations by evaluating its </w:t>
      </w:r>
      <w:r>
        <w:rPr>
          <w:rFonts w:ascii="Times New Roman" w:hAnsi="Times New Roman" w:cs="Times New Roman" w:eastAsia="Times New Roman"/>
          <w:b/>
          <w:color w:val="000000"/>
          <w:spacing w:val="0"/>
          <w:position w:val="0"/>
          <w:sz w:val="24"/>
          <w:shd w:fill="auto" w:val="clear"/>
        </w:rPr>
        <w:t xml:space="preserve">liquidity ratios</w:t>
      </w:r>
      <w:r>
        <w:rPr>
          <w:rFonts w:ascii="Times New Roman" w:hAnsi="Times New Roman" w:cs="Times New Roman" w:eastAsia="Times New Roman"/>
          <w:color w:val="000000"/>
          <w:spacing w:val="0"/>
          <w:position w:val="0"/>
          <w:sz w:val="24"/>
          <w:shd w:fill="auto" w:val="clear"/>
        </w:rPr>
        <w:t xml:space="preserve">. Liquidity ratios are an important aspect of hotel sector research because of the high working capital requirements and many short-term financial obligations that must be met (Sheel, 2017).</w:t>
      </w:r>
    </w:p>
    <w:p>
      <w:pPr>
        <w:numPr>
          <w:ilvl w:val="0"/>
          <w:numId w:val="15"/>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w:t>
      </w:r>
      <w:r>
        <w:rPr>
          <w:rFonts w:ascii="Times New Roman" w:hAnsi="Times New Roman" w:cs="Times New Roman" w:eastAsia="Times New Roman"/>
          <w:b/>
          <w:color w:val="000000"/>
          <w:spacing w:val="0"/>
          <w:position w:val="0"/>
          <w:sz w:val="24"/>
          <w:shd w:fill="auto" w:val="clear"/>
        </w:rPr>
        <w:t xml:space="preserve">current ratio</w:t>
      </w:r>
      <w:r>
        <w:rPr>
          <w:rFonts w:ascii="Times New Roman" w:hAnsi="Times New Roman" w:cs="Times New Roman" w:eastAsia="Times New Roman"/>
          <w:color w:val="000000"/>
          <w:spacing w:val="0"/>
          <w:position w:val="0"/>
          <w:sz w:val="24"/>
          <w:shd w:fill="auto" w:val="clear"/>
        </w:rPr>
        <w:t xml:space="preserve"> is a liquidity indicator that shows how successfully a company's short-term liabilities may be met by its short-term assets. In contrast to long-term assets such as property, plant, and equipment, short-term assets include inventories. Salary and payroll commitments, short-term equipment leases, and other comparable obligations are significant current liabilities for hospitality businesses (Finnigan, 2018). Because this industry is cyclical, it is vital that businesses retain adequate liquid assets on hand to meet current obligations even when the economy is in a recession. Investors consider a hospitality company to be strong if its current ratio is more than one.</w:t>
      </w:r>
    </w:p>
    <w:p>
      <w:pPr>
        <w:numPr>
          <w:ilvl w:val="0"/>
          <w:numId w:val="15"/>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Hotel stakeholders can learn about a company's long-term financial health by researching financial </w:t>
      </w:r>
      <w:r>
        <w:rPr>
          <w:rFonts w:ascii="Times New Roman" w:hAnsi="Times New Roman" w:cs="Times New Roman" w:eastAsia="Times New Roman"/>
          <w:b/>
          <w:color w:val="000000"/>
          <w:spacing w:val="0"/>
          <w:position w:val="0"/>
          <w:sz w:val="24"/>
          <w:shd w:fill="auto" w:val="clear"/>
        </w:rPr>
        <w:t xml:space="preserve">leverage ratios</w:t>
      </w:r>
      <w:r>
        <w:rPr>
          <w:rFonts w:ascii="Times New Roman" w:hAnsi="Times New Roman" w:cs="Times New Roman" w:eastAsia="Times New Roman"/>
          <w:color w:val="000000"/>
          <w:spacing w:val="0"/>
          <w:position w:val="0"/>
          <w:sz w:val="24"/>
          <w:shd w:fill="auto" w:val="clear"/>
        </w:rPr>
        <w:t xml:space="preserve">. These figures evaluate a company's ability to service its long-term debt.</w:t>
      </w:r>
    </w:p>
    <w:p>
      <w:pPr>
        <w:numPr>
          <w:ilvl w:val="0"/>
          <w:numId w:val="15"/>
        </w:numPr>
        <w:spacing w:before="120" w:after="28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Short-term and long-term debt are significant issues for hotel businesses. This type of finance is commonly utilised to fund the operations of hotels and transportation companies with a large bus fleet. Because hospitality businesses require a large number of long-term assets, long-term debt financing is frequently required. The </w:t>
      </w:r>
      <w:r>
        <w:rPr>
          <w:rFonts w:ascii="Times New Roman" w:hAnsi="Times New Roman" w:cs="Times New Roman" w:eastAsia="Times New Roman"/>
          <w:b/>
          <w:color w:val="000000"/>
          <w:spacing w:val="0"/>
          <w:position w:val="0"/>
          <w:sz w:val="24"/>
          <w:shd w:fill="auto" w:val="clear"/>
        </w:rPr>
        <w:t xml:space="preserve">debt ratio</w:t>
      </w:r>
      <w:r>
        <w:rPr>
          <w:rFonts w:ascii="Times New Roman" w:hAnsi="Times New Roman" w:cs="Times New Roman" w:eastAsia="Times New Roman"/>
          <w:color w:val="000000"/>
          <w:spacing w:val="0"/>
          <w:position w:val="0"/>
          <w:sz w:val="24"/>
          <w:shd w:fill="auto" w:val="clear"/>
        </w:rPr>
        <w:t xml:space="preserve"> assesses a company's ability to meet long-term financial obligations (Chen and Chang, 2012). Hotels must ensure that their long-term assets much outnumber their debt levels.</w:t>
        <w:t xml:space="preserve"> </w:t>
      </w:r>
    </w:p>
    <w:p>
      <w:pPr>
        <w:numPr>
          <w:ilvl w:val="0"/>
          <w:numId w:val="15"/>
        </w:numPr>
        <w:spacing w:before="120" w:after="280" w:line="360"/>
        <w:ind w:right="0" w:left="720" w:hanging="360"/>
        <w:jc w:val="both"/>
        <w:rPr>
          <w:rFonts w:ascii="Times New Roman" w:hAnsi="Times New Roman" w:cs="Times New Roman" w:eastAsia="Times New Roman"/>
          <w:b/>
          <w:color w:val="000000"/>
          <w:spacing w:val="0"/>
          <w:position w:val="0"/>
          <w:sz w:val="28"/>
          <w:shd w:fill="auto" w:val="clear"/>
        </w:rPr>
      </w:pPr>
    </w:p>
    <w:p>
      <w:pPr>
        <w:keepNext w:val="true"/>
        <w:keepLines w:val="true"/>
        <w:numPr>
          <w:ilvl w:val="0"/>
          <w:numId w:val="15"/>
        </w:numPr>
        <w:spacing w:before="0" w:after="0" w:line="360"/>
        <w:ind w:right="0" w:left="720" w:hanging="36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Importance of Ratios in Decision Making</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company's financial health, liquidity, profitability, risk, solvency, efficiency, operational effectiveness, and capital allocation can all be evaluated using ratio analysis. Shareholders can profit from analysing the overall trend or comparing financial outcomes when deciding how to allocate capital. It allows a company to compare two or more companies and see how their patterns compare (Sheel, 2017).</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Internal and external stakeholders rely heavily on accurate interpretation of financial records and data. Ratio analysis can assist Marriott in comprehending the figures on the balance sheet and income statement. Profitability ratios can be used to calculate the profitability of a business. Return on assets and return on equity may provide further information about a company's profitability. Divide the total net income by the total assets to calculate the return on assets. It demonstrates how much money a business makes for every dollar spent (Finnigan, 2018). Return on equity is calculated by dividing profit after tax by stockholders' equity. A low ratio shows that a company is not making the best use of its shareholders' funds. The margin of gross profit and margin of net profit are two financial metrics. Profit margins are a key sign of a company's capacity to transform revenue into earnings (Corgel, Lane and Woodworth, 2012).</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Several ratios can be used to assess a company's efficiency. Inventory turnover, fixed assets, and accounts receivable are a few examples. These ratios can be compared to those of similar businesses in the same industry to determine which are better run. If a corporation has adequate liquid money to meet its short-term obligations, this is a vital performance metric (Van Niekerk, 2016). Ratio analysis is useful because it sheds light on the inner workings of a company. The organization can gain insight into its business risk by computing the leverages.</w:t>
        <w:t xml:space="preserve"> </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Conclusion</w:t>
      </w:r>
    </w:p>
    <w:p>
      <w:pPr>
        <w:spacing w:before="120" w:after="28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Most of the time, a company can't make good decisions based on the amount and quality of data and information it has. There's just too much of it. A company may compare more than one indicator at the same time to get the most out of its data. Ratio analysis is a way for a company to learn more about how it has done over time, compared to the market, and in light of its own goals. Ratio analysis is often used to look at financial data, but it can also be used to look at other kinds of data.</w:t>
        <w:t xml:space="preserve"> </w:t>
      </w:r>
    </w:p>
    <w:p>
      <w:pPr>
        <w:spacing w:before="120" w:after="280" w:line="360"/>
        <w:ind w:right="0" w:left="0" w:firstLine="0"/>
        <w:jc w:val="both"/>
        <w:rPr>
          <w:rFonts w:ascii="Times New Roman" w:hAnsi="Times New Roman" w:cs="Times New Roman" w:eastAsia="Times New Roman"/>
          <w:b/>
          <w:color w:val="000000"/>
          <w:spacing w:val="0"/>
          <w:position w:val="0"/>
          <w:sz w:val="36"/>
          <w:shd w:fill="auto" w:val="clear"/>
        </w:rPr>
      </w:pPr>
    </w:p>
    <w:p>
      <w:pPr>
        <w:keepNext w:val="true"/>
        <w:keepLines w:val="true"/>
        <w:spacing w:before="120" w:after="0" w:line="360"/>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References</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Adedeji, E.A. (2014). A Tool for Measuring Organization Performance using Ratio </w:t>
        <w:tab/>
        <w:t xml:space="preserve">Analysis. </w:t>
      </w:r>
      <w:r>
        <w:rPr>
          <w:rFonts w:ascii="Times New Roman" w:hAnsi="Times New Roman" w:cs="Times New Roman" w:eastAsia="Times New Roman"/>
          <w:i/>
          <w:color w:val="000000"/>
          <w:spacing w:val="0"/>
          <w:position w:val="0"/>
          <w:sz w:val="24"/>
          <w:shd w:fill="FFFFFF" w:val="clear"/>
        </w:rPr>
        <w:t xml:space="preserve">Advances in Social Sciences Research Journal</w:t>
      </w:r>
      <w:r>
        <w:rPr>
          <w:rFonts w:ascii="Times New Roman" w:hAnsi="Times New Roman" w:cs="Times New Roman" w:eastAsia="Times New Roman"/>
          <w:color w:val="000000"/>
          <w:spacing w:val="0"/>
          <w:position w:val="0"/>
          <w:sz w:val="24"/>
          <w:shd w:fill="FFFFFF" w:val="clear"/>
        </w:rPr>
        <w:t xml:space="preserve">, 1(8), pp.89</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97. </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Bana</w:t>
      </w:r>
      <w:r>
        <w:rPr>
          <w:rFonts w:ascii="Times New Roman" w:hAnsi="Times New Roman" w:cs="Times New Roman" w:eastAsia="Times New Roman"/>
          <w:color w:val="000000"/>
          <w:spacing w:val="0"/>
          <w:position w:val="0"/>
          <w:sz w:val="24"/>
          <w:shd w:fill="FFFFFF" w:val="clear"/>
        </w:rPr>
        <w:t xml:space="preserve">ś, P. and Gołba, F. (2017). Canberra-Style Analysis and Law: A Critique of Andrei Marmor’s </w:t>
        <w:tab/>
        <w:t xml:space="preserve">Farewell to Conceptual Analysis. </w:t>
      </w:r>
      <w:r>
        <w:rPr>
          <w:rFonts w:ascii="Times New Roman" w:hAnsi="Times New Roman" w:cs="Times New Roman" w:eastAsia="Times New Roman"/>
          <w:i/>
          <w:color w:val="000000"/>
          <w:spacing w:val="0"/>
          <w:position w:val="0"/>
          <w:sz w:val="24"/>
          <w:shd w:fill="FFFFFF" w:val="clear"/>
        </w:rPr>
        <w:t xml:space="preserve">Ratio Juris</w:t>
      </w:r>
      <w:r>
        <w:rPr>
          <w:rFonts w:ascii="Times New Roman" w:hAnsi="Times New Roman" w:cs="Times New Roman" w:eastAsia="Times New Roman"/>
          <w:color w:val="000000"/>
          <w:spacing w:val="0"/>
          <w:position w:val="0"/>
          <w:sz w:val="24"/>
          <w:shd w:fill="FFFFFF" w:val="clear"/>
        </w:rPr>
        <w:t xml:space="preserve">, 30(4), pp.549</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559. </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Berezina, K. and Cobanoglu, C. (2010). A Financial Analysis of the Payment Card Industry </w:t>
        <w:tab/>
        <w:t xml:space="preserve">Compliance Journey of A Hotel: A Case Study. </w:t>
      </w:r>
      <w:r>
        <w:rPr>
          <w:rFonts w:ascii="Times New Roman" w:hAnsi="Times New Roman" w:cs="Times New Roman" w:eastAsia="Times New Roman"/>
          <w:i/>
          <w:color w:val="000000"/>
          <w:spacing w:val="0"/>
          <w:position w:val="0"/>
          <w:sz w:val="24"/>
          <w:shd w:fill="FFFFFF" w:val="clear"/>
        </w:rPr>
        <w:t xml:space="preserve">The Journal of Hospitality Financial </w:t>
        <w:tab/>
        <w:t xml:space="preserve">Management</w:t>
      </w:r>
      <w:r>
        <w:rPr>
          <w:rFonts w:ascii="Times New Roman" w:hAnsi="Times New Roman" w:cs="Times New Roman" w:eastAsia="Times New Roman"/>
          <w:color w:val="000000"/>
          <w:spacing w:val="0"/>
          <w:position w:val="0"/>
          <w:sz w:val="24"/>
          <w:shd w:fill="FFFFFF" w:val="clear"/>
        </w:rPr>
        <w:t xml:space="preserve">, 18(2), pp.31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45. </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Chen, C.-M. and Chang, K.-L. (2012). Diversification strategy and financial performance in the </w:t>
        <w:tab/>
        <w:t xml:space="preserve">Taiwanese hotel industry. </w:t>
      </w:r>
      <w:r>
        <w:rPr>
          <w:rFonts w:ascii="Times New Roman" w:hAnsi="Times New Roman" w:cs="Times New Roman" w:eastAsia="Times New Roman"/>
          <w:i/>
          <w:color w:val="000000"/>
          <w:spacing w:val="0"/>
          <w:position w:val="0"/>
          <w:sz w:val="24"/>
          <w:shd w:fill="FFFFFF" w:val="clear"/>
        </w:rPr>
        <w:t xml:space="preserve">International Journal of Hospitality Management</w:t>
      </w:r>
      <w:r>
        <w:rPr>
          <w:rFonts w:ascii="Times New Roman" w:hAnsi="Times New Roman" w:cs="Times New Roman" w:eastAsia="Times New Roman"/>
          <w:color w:val="000000"/>
          <w:spacing w:val="0"/>
          <w:position w:val="0"/>
          <w:sz w:val="24"/>
          <w:shd w:fill="FFFFFF" w:val="clear"/>
        </w:rPr>
        <w:t xml:space="preserve">, 31(3), </w:t>
        <w:tab/>
        <w:t xml:space="preserve">pp.1030</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1032. </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Chung, Y. and Yoon, N. (2013). Plural Form, Risk, and Performance in the Hotel Industry. </w:t>
      </w:r>
      <w:r>
        <w:rPr>
          <w:rFonts w:ascii="Times New Roman" w:hAnsi="Times New Roman" w:cs="Times New Roman" w:eastAsia="Times New Roman"/>
          <w:i/>
          <w:color w:val="000000"/>
          <w:spacing w:val="0"/>
          <w:position w:val="0"/>
          <w:sz w:val="24"/>
          <w:shd w:fill="FFFFFF" w:val="clear"/>
        </w:rPr>
        <w:t xml:space="preserve">The </w:t>
        <w:tab/>
        <w:t xml:space="preserve">Journal of Hospitality Financial Management</w:t>
      </w:r>
      <w:r>
        <w:rPr>
          <w:rFonts w:ascii="Times New Roman" w:hAnsi="Times New Roman" w:cs="Times New Roman" w:eastAsia="Times New Roman"/>
          <w:color w:val="000000"/>
          <w:spacing w:val="0"/>
          <w:position w:val="0"/>
          <w:sz w:val="24"/>
          <w:shd w:fill="FFFFFF" w:val="clear"/>
        </w:rPr>
        <w:t xml:space="preserve">, 21(1), pp.31</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44.</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Corgel, J., Lane, J. and Woodworth, M. (2012). Hotel Industry Demand Curves. </w:t>
      </w:r>
      <w:r>
        <w:rPr>
          <w:rFonts w:ascii="Times New Roman" w:hAnsi="Times New Roman" w:cs="Times New Roman" w:eastAsia="Times New Roman"/>
          <w:i/>
          <w:color w:val="000000"/>
          <w:spacing w:val="0"/>
          <w:position w:val="0"/>
          <w:sz w:val="24"/>
          <w:shd w:fill="FFFFFF" w:val="clear"/>
        </w:rPr>
        <w:t xml:space="preserve">The Journal of </w:t>
        <w:tab/>
        <w:t xml:space="preserve">Hospitality Financial Management</w:t>
      </w:r>
      <w:r>
        <w:rPr>
          <w:rFonts w:ascii="Times New Roman" w:hAnsi="Times New Roman" w:cs="Times New Roman" w:eastAsia="Times New Roman"/>
          <w:color w:val="000000"/>
          <w:spacing w:val="0"/>
          <w:position w:val="0"/>
          <w:sz w:val="24"/>
          <w:shd w:fill="FFFFFF" w:val="clear"/>
        </w:rPr>
        <w:t xml:space="preserve">, 20(1), pp.85</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95. </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Finnigan, B. (2018). Is consciousness reflexively self-aware? A Buddhist analysis. </w:t>
      </w:r>
      <w:r>
        <w:rPr>
          <w:rFonts w:ascii="Times New Roman" w:hAnsi="Times New Roman" w:cs="Times New Roman" w:eastAsia="Times New Roman"/>
          <w:i/>
          <w:color w:val="000000"/>
          <w:spacing w:val="0"/>
          <w:position w:val="0"/>
          <w:sz w:val="24"/>
          <w:shd w:fill="FFFFFF" w:val="clear"/>
        </w:rPr>
        <w:t xml:space="preserve">Ratio</w:t>
      </w:r>
      <w:r>
        <w:rPr>
          <w:rFonts w:ascii="Times New Roman" w:hAnsi="Times New Roman" w:cs="Times New Roman" w:eastAsia="Times New Roman"/>
          <w:color w:val="000000"/>
          <w:spacing w:val="0"/>
          <w:position w:val="0"/>
          <w:sz w:val="24"/>
          <w:shd w:fill="FFFFFF" w:val="clear"/>
        </w:rPr>
        <w:t xml:space="preserve">, 31(4), </w:t>
        <w:tab/>
        <w:t xml:space="preserve">pp.389</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401.</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Himma, K.E. (2013). The Ties that Bind: An Analysis of the Concept of Obligation. </w:t>
      </w:r>
      <w:r>
        <w:rPr>
          <w:rFonts w:ascii="Times New Roman" w:hAnsi="Times New Roman" w:cs="Times New Roman" w:eastAsia="Times New Roman"/>
          <w:i/>
          <w:color w:val="000000"/>
          <w:spacing w:val="0"/>
          <w:position w:val="0"/>
          <w:sz w:val="24"/>
          <w:shd w:fill="FFFFFF" w:val="clear"/>
        </w:rPr>
        <w:t xml:space="preserve">Ratio Juris</w:t>
      </w:r>
      <w:r>
        <w:rPr>
          <w:rFonts w:ascii="Times New Roman" w:hAnsi="Times New Roman" w:cs="Times New Roman" w:eastAsia="Times New Roman"/>
          <w:color w:val="000000"/>
          <w:spacing w:val="0"/>
          <w:position w:val="0"/>
          <w:sz w:val="24"/>
          <w:shd w:fill="FFFFFF" w:val="clear"/>
        </w:rPr>
        <w:t xml:space="preserve">, </w:t>
        <w:tab/>
        <w:t xml:space="preserve">26(1), pp.16</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46. </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Hörl, M., Schnidder, J., Sauer, U. and Zamboni, N. (2013). Non-stationary13C-metabolic flux </w:t>
        <w:tab/>
        <w:t xml:space="preserve">ratio analysis. </w:t>
      </w:r>
      <w:r>
        <w:rPr>
          <w:rFonts w:ascii="Times New Roman" w:hAnsi="Times New Roman" w:cs="Times New Roman" w:eastAsia="Times New Roman"/>
          <w:i/>
          <w:color w:val="000000"/>
          <w:spacing w:val="0"/>
          <w:position w:val="0"/>
          <w:sz w:val="24"/>
          <w:shd w:fill="FFFFFF" w:val="clear"/>
        </w:rPr>
        <w:t xml:space="preserve">Biotechnology and Bioengineering</w:t>
      </w:r>
      <w:r>
        <w:rPr>
          <w:rFonts w:ascii="Times New Roman" w:hAnsi="Times New Roman" w:cs="Times New Roman" w:eastAsia="Times New Roman"/>
          <w:color w:val="000000"/>
          <w:spacing w:val="0"/>
          <w:position w:val="0"/>
          <w:sz w:val="24"/>
          <w:shd w:fill="FFFFFF" w:val="clear"/>
        </w:rPr>
        <w:t xml:space="preserve">, 110(12), pp.3164</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3176.</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Sheel, A. (2016). 2016 </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 A Year in Review for Hotel Industry Firms.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The Journal of Hospitality </w:t>
        <w:tab/>
        <w:t xml:space="preserve">Financial Management</w:t>
      </w:r>
      <w:r>
        <w:rPr>
          <w:rFonts w:ascii="Times New Roman" w:hAnsi="Times New Roman" w:cs="Times New Roman" w:eastAsia="Times New Roman"/>
          <w:color w:val="000000"/>
          <w:spacing w:val="0"/>
          <w:position w:val="0"/>
          <w:sz w:val="24"/>
          <w:shd w:fill="FFFFFF" w:val="clear"/>
        </w:rPr>
        <w:t xml:space="preserve">, 24(2), pp.89</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91. </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Sheel, A. (2017). Hotel Industry Performance in 2016</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2017 and the JHFM Index.</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The Journal of </w:t>
        <w:tab/>
        <w:t xml:space="preserve">Hospitality Financial Management</w:t>
      </w:r>
      <w:r>
        <w:rPr>
          <w:rFonts w:ascii="Times New Roman" w:hAnsi="Times New Roman" w:cs="Times New Roman" w:eastAsia="Times New Roman"/>
          <w:color w:val="000000"/>
          <w:spacing w:val="0"/>
          <w:position w:val="0"/>
          <w:sz w:val="24"/>
          <w:shd w:fill="FFFFFF" w:val="clear"/>
        </w:rPr>
        <w:t xml:space="preserve">, 25(2), pp.75</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76. </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Singh, A.J., Schmidgall, R.S. and Zhang, Y. (2015). What Keeps Hotel Asset Managers Up at </w:t>
        <w:tab/>
        <w:t xml:space="preserve">Night: Key Industry Issues and Proposed Solutions. </w:t>
      </w:r>
      <w:r>
        <w:rPr>
          <w:rFonts w:ascii="Times New Roman" w:hAnsi="Times New Roman" w:cs="Times New Roman" w:eastAsia="Times New Roman"/>
          <w:i/>
          <w:color w:val="000000"/>
          <w:spacing w:val="0"/>
          <w:position w:val="0"/>
          <w:sz w:val="24"/>
          <w:shd w:fill="FFFFFF" w:val="clear"/>
        </w:rPr>
        <w:t xml:space="preserve">The Journal of Hospitality Financial </w:t>
        <w:tab/>
        <w:t xml:space="preserve">Management</w:t>
      </w:r>
      <w:r>
        <w:rPr>
          <w:rFonts w:ascii="Times New Roman" w:hAnsi="Times New Roman" w:cs="Times New Roman" w:eastAsia="Times New Roman"/>
          <w:color w:val="000000"/>
          <w:spacing w:val="0"/>
          <w:position w:val="0"/>
          <w:sz w:val="24"/>
          <w:shd w:fill="FFFFFF" w:val="clear"/>
        </w:rPr>
        <w:t xml:space="preserve">, 23(2), pp.147</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150. </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Stoutenburg, G. (2015). Vicious Regresses, Conceptual Analysis, and Strong Awareness </w:t>
        <w:tab/>
        <w:t xml:space="preserve">Internalism. </w:t>
      </w:r>
      <w:r>
        <w:rPr>
          <w:rFonts w:ascii="Times New Roman" w:hAnsi="Times New Roman" w:cs="Times New Roman" w:eastAsia="Times New Roman"/>
          <w:i/>
          <w:color w:val="000000"/>
          <w:spacing w:val="0"/>
          <w:position w:val="0"/>
          <w:sz w:val="24"/>
          <w:shd w:fill="FFFFFF" w:val="clear"/>
        </w:rPr>
        <w:t xml:space="preserve">Ratio</w:t>
      </w:r>
      <w:r>
        <w:rPr>
          <w:rFonts w:ascii="Times New Roman" w:hAnsi="Times New Roman" w:cs="Times New Roman" w:eastAsia="Times New Roman"/>
          <w:color w:val="000000"/>
          <w:spacing w:val="0"/>
          <w:position w:val="0"/>
          <w:sz w:val="24"/>
          <w:shd w:fill="FFFFFF" w:val="clear"/>
        </w:rPr>
        <w:t xml:space="preserve">, 29(2), pp.115</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129. </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Van Niekerk, M. (2016). Business, Technology, and Marketing Trends Influencing the Financial </w:t>
        <w:tab/>
        <w:t xml:space="preserve">Performance of The Hotel Industry. </w:t>
      </w:r>
      <w:r>
        <w:rPr>
          <w:rFonts w:ascii="Times New Roman" w:hAnsi="Times New Roman" w:cs="Times New Roman" w:eastAsia="Times New Roman"/>
          <w:i/>
          <w:color w:val="000000"/>
          <w:spacing w:val="0"/>
          <w:position w:val="0"/>
          <w:sz w:val="24"/>
          <w:shd w:fill="FFFFFF" w:val="clear"/>
        </w:rPr>
        <w:t xml:space="preserve">The Journal of Hospitality Financial Management</w:t>
      </w:r>
      <w:r>
        <w:rPr>
          <w:rFonts w:ascii="Times New Roman" w:hAnsi="Times New Roman" w:cs="Times New Roman" w:eastAsia="Times New Roman"/>
          <w:color w:val="000000"/>
          <w:spacing w:val="0"/>
          <w:position w:val="0"/>
          <w:sz w:val="24"/>
          <w:shd w:fill="FFFFFF" w:val="clear"/>
        </w:rPr>
        <w:t xml:space="preserve">, </w:t>
        <w:tab/>
        <w:t xml:space="preserve">24(2), pp.153</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157. </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7">
    <w:abstractNumId w:val="18"/>
  </w:num>
  <w:num w:numId="10">
    <w:abstractNumId w:val="12"/>
  </w:num>
  <w:num w:numId="12">
    <w:abstractNumId w:val="6"/>
  </w:num>
  <w:num w:numId="1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corporatefinanceinstitute.com/resources/accounting/profit-margin/" Id="docRId3" Type="http://schemas.openxmlformats.org/officeDocument/2006/relationships/hyperlink" /><Relationship Target="styles.xml" Id="docRId5" Type="http://schemas.openxmlformats.org/officeDocument/2006/relationships/styles" /><Relationship Target="embeddings/oleObject0.bin" Id="docRId0" Type="http://schemas.openxmlformats.org/officeDocument/2006/relationships/oleObject" /><Relationship TargetMode="External" Target="https://macrotrends.net/definitions/terms/operating-margin/" Id="docRId2" Type="http://schemas.openxmlformats.org/officeDocument/2006/relationships/hyperlink" /><Relationship Target="numbering.xml" Id="docRId4" Type="http://schemas.openxmlformats.org/officeDocument/2006/relationships/numbering" /></Relationships>
</file>