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BDE7F0" w14:textId="77777777" w:rsidR="00254E22" w:rsidRPr="007A3255" w:rsidRDefault="00254E22" w:rsidP="00254E22">
      <w:pPr>
        <w:rPr>
          <w:rFonts w:ascii="Times New Roman" w:hAnsi="Times New Roman" w:cs="Times New Roman"/>
        </w:rPr>
      </w:pPr>
      <w:r w:rsidRPr="007A3255">
        <w:rPr>
          <w:rFonts w:ascii="Times New Roman" w:hAnsi="Times New Roman" w:cs="Times New Roman"/>
        </w:rPr>
        <w:t xml:space="preserve">Making use of funerary evidence associated with Wetwang burial site discuss how the evidence can be used to identify differences in social status in this community.   </w:t>
      </w:r>
    </w:p>
    <w:p w14:paraId="6677B043" w14:textId="77777777" w:rsidR="006A6B3A" w:rsidRPr="007A3255" w:rsidRDefault="006A6B3A" w:rsidP="0053095A">
      <w:pPr>
        <w:spacing w:line="480" w:lineRule="auto"/>
        <w:rPr>
          <w:rFonts w:ascii="Times New Roman" w:hAnsi="Times New Roman" w:cs="Times New Roman"/>
        </w:rPr>
      </w:pPr>
    </w:p>
    <w:p w14:paraId="18B1DE86" w14:textId="2782156F" w:rsidR="000B4096" w:rsidRPr="00254E22" w:rsidRDefault="006A6B3A" w:rsidP="0053095A">
      <w:pPr>
        <w:spacing w:line="480" w:lineRule="auto"/>
        <w:rPr>
          <w:rFonts w:ascii="Times New Roman" w:hAnsi="Times New Roman" w:cs="Times New Roman"/>
        </w:rPr>
      </w:pPr>
      <w:r w:rsidRPr="007A3255">
        <w:rPr>
          <w:rFonts w:ascii="Times New Roman" w:hAnsi="Times New Roman" w:cs="Times New Roman"/>
        </w:rPr>
        <w:t xml:space="preserve">When looking at the funerary evidence </w:t>
      </w:r>
      <w:r w:rsidR="000B4096" w:rsidRPr="007A3255">
        <w:rPr>
          <w:rFonts w:ascii="Times New Roman" w:hAnsi="Times New Roman" w:cs="Times New Roman"/>
        </w:rPr>
        <w:t>from</w:t>
      </w:r>
      <w:r w:rsidRPr="007A3255">
        <w:rPr>
          <w:rFonts w:ascii="Times New Roman" w:hAnsi="Times New Roman" w:cs="Times New Roman"/>
        </w:rPr>
        <w:t xml:space="preserve"> Wetwang </w:t>
      </w:r>
      <w:r w:rsidR="00C238B9">
        <w:rPr>
          <w:rFonts w:ascii="Times New Roman" w:hAnsi="Times New Roman" w:cs="Times New Roman"/>
        </w:rPr>
        <w:t>S</w:t>
      </w:r>
      <w:r w:rsidRPr="007A3255">
        <w:rPr>
          <w:rFonts w:ascii="Times New Roman" w:hAnsi="Times New Roman" w:cs="Times New Roman"/>
        </w:rPr>
        <w:t xml:space="preserve">lack there </w:t>
      </w:r>
      <w:r w:rsidR="000B4096" w:rsidRPr="007A3255">
        <w:rPr>
          <w:rFonts w:ascii="Times New Roman" w:hAnsi="Times New Roman" w:cs="Times New Roman"/>
        </w:rPr>
        <w:t xml:space="preserve">are clearly three separate types of </w:t>
      </w:r>
      <w:r w:rsidR="008A0933" w:rsidRPr="007A3255">
        <w:rPr>
          <w:rFonts w:ascii="Times New Roman" w:hAnsi="Times New Roman" w:cs="Times New Roman"/>
        </w:rPr>
        <w:t xml:space="preserve">inhumation </w:t>
      </w:r>
      <w:r w:rsidR="000B4096" w:rsidRPr="007A3255">
        <w:rPr>
          <w:rFonts w:ascii="Times New Roman" w:hAnsi="Times New Roman" w:cs="Times New Roman"/>
        </w:rPr>
        <w:t>burial found</w:t>
      </w:r>
      <w:r w:rsidR="000B4096" w:rsidRPr="00254E22">
        <w:rPr>
          <w:rFonts w:ascii="Times New Roman" w:hAnsi="Times New Roman" w:cs="Times New Roman"/>
        </w:rPr>
        <w:t xml:space="preserve">. The first </w:t>
      </w:r>
      <w:r w:rsidR="00C238B9">
        <w:rPr>
          <w:rFonts w:ascii="Times New Roman" w:hAnsi="Times New Roman" w:cs="Times New Roman"/>
        </w:rPr>
        <w:t xml:space="preserve">type, </w:t>
      </w:r>
      <w:r w:rsidR="000B4096" w:rsidRPr="00254E22">
        <w:rPr>
          <w:rFonts w:ascii="Times New Roman" w:hAnsi="Times New Roman" w:cs="Times New Roman"/>
        </w:rPr>
        <w:t>and most opulent graves are the three chariot burials to the south west of the cemetery. The second</w:t>
      </w:r>
      <w:r w:rsidR="0053095A" w:rsidRPr="00254E22">
        <w:rPr>
          <w:rFonts w:ascii="Times New Roman" w:hAnsi="Times New Roman" w:cs="Times New Roman"/>
        </w:rPr>
        <w:t xml:space="preserve"> type of grave </w:t>
      </w:r>
      <w:r w:rsidR="000B4096" w:rsidRPr="00254E22">
        <w:rPr>
          <w:rFonts w:ascii="Times New Roman" w:hAnsi="Times New Roman" w:cs="Times New Roman"/>
        </w:rPr>
        <w:t>is the primary</w:t>
      </w:r>
      <w:r w:rsidR="0053095A" w:rsidRPr="00254E22">
        <w:rPr>
          <w:rFonts w:ascii="Times New Roman" w:hAnsi="Times New Roman" w:cs="Times New Roman"/>
        </w:rPr>
        <w:t>,</w:t>
      </w:r>
      <w:r w:rsidR="000B4096" w:rsidRPr="00254E22">
        <w:rPr>
          <w:rFonts w:ascii="Times New Roman" w:hAnsi="Times New Roman" w:cs="Times New Roman"/>
        </w:rPr>
        <w:t xml:space="preserve"> wealthy burials from the </w:t>
      </w:r>
      <w:r w:rsidR="0053095A" w:rsidRPr="00254E22">
        <w:rPr>
          <w:rFonts w:ascii="Times New Roman" w:hAnsi="Times New Roman" w:cs="Times New Roman"/>
        </w:rPr>
        <w:t>central part of the cemetery</w:t>
      </w:r>
      <w:r w:rsidR="00C238B9">
        <w:rPr>
          <w:rFonts w:ascii="Times New Roman" w:hAnsi="Times New Roman" w:cs="Times New Roman"/>
        </w:rPr>
        <w:t xml:space="preserve"> and the third type of grave </w:t>
      </w:r>
      <w:r w:rsidR="000B4096" w:rsidRPr="00254E22">
        <w:rPr>
          <w:rFonts w:ascii="Times New Roman" w:hAnsi="Times New Roman" w:cs="Times New Roman"/>
        </w:rPr>
        <w:t>is the secondary poorer, less adorned burials</w:t>
      </w:r>
      <w:r w:rsidR="0053095A" w:rsidRPr="00254E22">
        <w:rPr>
          <w:rFonts w:ascii="Times New Roman" w:hAnsi="Times New Roman" w:cs="Times New Roman"/>
        </w:rPr>
        <w:t>, located on the outskirts of the cemetery</w:t>
      </w:r>
      <w:r w:rsidR="000B4096" w:rsidRPr="00254E22">
        <w:rPr>
          <w:rStyle w:val="FootnoteReference"/>
          <w:rFonts w:ascii="Times New Roman" w:hAnsi="Times New Roman" w:cs="Times New Roman"/>
        </w:rPr>
        <w:footnoteReference w:id="1"/>
      </w:r>
      <w:r w:rsidR="000B4096" w:rsidRPr="00254E22">
        <w:rPr>
          <w:rFonts w:ascii="Times New Roman" w:hAnsi="Times New Roman" w:cs="Times New Roman"/>
        </w:rPr>
        <w:t xml:space="preserve">. </w:t>
      </w:r>
      <w:r w:rsidR="00C238B9">
        <w:rPr>
          <w:rFonts w:ascii="Times New Roman" w:hAnsi="Times New Roman" w:cs="Times New Roman"/>
        </w:rPr>
        <w:t>C</w:t>
      </w:r>
      <w:r w:rsidR="000B4096" w:rsidRPr="00254E22">
        <w:rPr>
          <w:rFonts w:ascii="Times New Roman" w:hAnsi="Times New Roman" w:cs="Times New Roman"/>
        </w:rPr>
        <w:t xml:space="preserve">omparing these three classes of burial it allows for a possible understanding and indication of </w:t>
      </w:r>
      <w:r w:rsidR="00C238B9">
        <w:rPr>
          <w:rFonts w:ascii="Times New Roman" w:hAnsi="Times New Roman" w:cs="Times New Roman"/>
        </w:rPr>
        <w:t>an</w:t>
      </w:r>
      <w:r w:rsidR="000B4096" w:rsidRPr="00254E22">
        <w:rPr>
          <w:rFonts w:ascii="Times New Roman" w:hAnsi="Times New Roman" w:cs="Times New Roman"/>
        </w:rPr>
        <w:t xml:space="preserve"> </w:t>
      </w:r>
      <w:proofErr w:type="spellStart"/>
      <w:r w:rsidR="000B4096" w:rsidRPr="00254E22">
        <w:rPr>
          <w:rFonts w:ascii="Times New Roman" w:hAnsi="Times New Roman" w:cs="Times New Roman"/>
        </w:rPr>
        <w:t>individuals</w:t>
      </w:r>
      <w:proofErr w:type="spellEnd"/>
      <w:r w:rsidR="000B4096" w:rsidRPr="00254E22">
        <w:rPr>
          <w:rFonts w:ascii="Times New Roman" w:hAnsi="Times New Roman" w:cs="Times New Roman"/>
        </w:rPr>
        <w:t xml:space="preserve"> social standing and status, in both life and death.</w:t>
      </w:r>
    </w:p>
    <w:p w14:paraId="7AB26888" w14:textId="77777777" w:rsidR="000B4096" w:rsidRPr="00254E22" w:rsidRDefault="000B4096" w:rsidP="0053095A">
      <w:pPr>
        <w:spacing w:line="480" w:lineRule="auto"/>
        <w:rPr>
          <w:rFonts w:ascii="Times New Roman" w:hAnsi="Times New Roman" w:cs="Times New Roman"/>
        </w:rPr>
      </w:pPr>
    </w:p>
    <w:p w14:paraId="29612FE7" w14:textId="66CA4E6A" w:rsidR="00780B39" w:rsidRPr="00254E22" w:rsidRDefault="00C238B9" w:rsidP="0053095A">
      <w:pPr>
        <w:spacing w:line="480" w:lineRule="auto"/>
        <w:rPr>
          <w:rFonts w:ascii="Times New Roman" w:hAnsi="Times New Roman" w:cs="Times New Roman"/>
        </w:rPr>
      </w:pPr>
      <w:r>
        <w:rPr>
          <w:rFonts w:ascii="Times New Roman" w:hAnsi="Times New Roman" w:cs="Times New Roman"/>
        </w:rPr>
        <w:t>Looking</w:t>
      </w:r>
      <w:r w:rsidR="000B4096" w:rsidRPr="00254E22">
        <w:rPr>
          <w:rFonts w:ascii="Times New Roman" w:hAnsi="Times New Roman" w:cs="Times New Roman"/>
        </w:rPr>
        <w:t xml:space="preserve"> at the main body of the cemetery, it is clear to see that certain individuals were considered to have a higher status than others</w:t>
      </w:r>
      <w:r w:rsidR="00780B39" w:rsidRPr="00254E22">
        <w:rPr>
          <w:rFonts w:ascii="Times New Roman" w:hAnsi="Times New Roman" w:cs="Times New Roman"/>
        </w:rPr>
        <w:t xml:space="preserve"> by the way certain graves are </w:t>
      </w:r>
      <w:r w:rsidR="0053095A" w:rsidRPr="00254E22">
        <w:rPr>
          <w:rFonts w:ascii="Times New Roman" w:hAnsi="Times New Roman" w:cs="Times New Roman"/>
        </w:rPr>
        <w:t>located</w:t>
      </w:r>
      <w:r w:rsidR="007F110E" w:rsidRPr="00254E22">
        <w:rPr>
          <w:rStyle w:val="FootnoteReference"/>
          <w:rFonts w:ascii="Times New Roman" w:hAnsi="Times New Roman" w:cs="Times New Roman"/>
        </w:rPr>
        <w:footnoteReference w:id="2"/>
      </w:r>
      <w:r w:rsidR="000B4096" w:rsidRPr="00254E22">
        <w:rPr>
          <w:rFonts w:ascii="Times New Roman" w:hAnsi="Times New Roman" w:cs="Times New Roman"/>
        </w:rPr>
        <w:t>. Dent describes how the centrally located, primary graves had more care and attention given to them</w:t>
      </w:r>
      <w:r>
        <w:rPr>
          <w:rFonts w:ascii="Times New Roman" w:hAnsi="Times New Roman" w:cs="Times New Roman"/>
        </w:rPr>
        <w:t xml:space="preserve"> than</w:t>
      </w:r>
      <w:r w:rsidR="000B4096" w:rsidRPr="00254E22">
        <w:rPr>
          <w:rFonts w:ascii="Times New Roman" w:hAnsi="Times New Roman" w:cs="Times New Roman"/>
        </w:rPr>
        <w:t xml:space="preserve"> the secondary </w:t>
      </w:r>
      <w:r w:rsidR="00930ED5" w:rsidRPr="00254E22">
        <w:rPr>
          <w:rFonts w:ascii="Times New Roman" w:hAnsi="Times New Roman" w:cs="Times New Roman"/>
        </w:rPr>
        <w:t>g</w:t>
      </w:r>
      <w:r w:rsidR="000B4096" w:rsidRPr="00254E22">
        <w:rPr>
          <w:rFonts w:ascii="Times New Roman" w:hAnsi="Times New Roman" w:cs="Times New Roman"/>
        </w:rPr>
        <w:t>raves</w:t>
      </w:r>
      <w:r w:rsidR="00780B39" w:rsidRPr="00254E22">
        <w:rPr>
          <w:rFonts w:ascii="Times New Roman" w:hAnsi="Times New Roman" w:cs="Times New Roman"/>
        </w:rPr>
        <w:t>,</w:t>
      </w:r>
      <w:r w:rsidR="000B4096" w:rsidRPr="00254E22">
        <w:rPr>
          <w:rFonts w:ascii="Times New Roman" w:hAnsi="Times New Roman" w:cs="Times New Roman"/>
        </w:rPr>
        <w:t xml:space="preserve"> located on the outskirts of the cemetery</w:t>
      </w:r>
      <w:r w:rsidR="00930ED5" w:rsidRPr="00254E22">
        <w:rPr>
          <w:rStyle w:val="FootnoteReference"/>
          <w:rFonts w:ascii="Times New Roman" w:hAnsi="Times New Roman" w:cs="Times New Roman"/>
        </w:rPr>
        <w:footnoteReference w:id="3"/>
      </w:r>
      <w:r w:rsidR="000B4096" w:rsidRPr="00254E22">
        <w:rPr>
          <w:rFonts w:ascii="Times New Roman" w:hAnsi="Times New Roman" w:cs="Times New Roman"/>
        </w:rPr>
        <w:t>.</w:t>
      </w:r>
      <w:r w:rsidR="00930ED5" w:rsidRPr="00254E22">
        <w:rPr>
          <w:rFonts w:ascii="Times New Roman" w:hAnsi="Times New Roman" w:cs="Times New Roman"/>
        </w:rPr>
        <w:t xml:space="preserve"> </w:t>
      </w:r>
      <w:r w:rsidR="0053095A" w:rsidRPr="00254E22">
        <w:rPr>
          <w:rFonts w:ascii="Times New Roman" w:hAnsi="Times New Roman" w:cs="Times New Roman"/>
        </w:rPr>
        <w:t>It was not uncommon in the Celtic world for individuals with higher status to be grouped tog</w:t>
      </w:r>
      <w:r w:rsidR="007F110E" w:rsidRPr="00254E22">
        <w:rPr>
          <w:rFonts w:ascii="Times New Roman" w:hAnsi="Times New Roman" w:cs="Times New Roman"/>
        </w:rPr>
        <w:t>e</w:t>
      </w:r>
      <w:r w:rsidR="0053095A" w:rsidRPr="00254E22">
        <w:rPr>
          <w:rFonts w:ascii="Times New Roman" w:hAnsi="Times New Roman" w:cs="Times New Roman"/>
        </w:rPr>
        <w:t xml:space="preserve">ther and </w:t>
      </w:r>
      <w:r w:rsidR="007F110E" w:rsidRPr="00254E22">
        <w:rPr>
          <w:rFonts w:ascii="Times New Roman" w:hAnsi="Times New Roman" w:cs="Times New Roman"/>
        </w:rPr>
        <w:t xml:space="preserve">buried </w:t>
      </w:r>
      <w:r w:rsidR="008A0933" w:rsidRPr="00254E22">
        <w:rPr>
          <w:rFonts w:ascii="Times New Roman" w:hAnsi="Times New Roman" w:cs="Times New Roman"/>
        </w:rPr>
        <w:t>separately</w:t>
      </w:r>
      <w:r w:rsidR="0053095A" w:rsidRPr="00254E22">
        <w:rPr>
          <w:rFonts w:ascii="Times New Roman" w:hAnsi="Times New Roman" w:cs="Times New Roman"/>
        </w:rPr>
        <w:t xml:space="preserve"> from those </w:t>
      </w:r>
      <w:r>
        <w:rPr>
          <w:rFonts w:ascii="Times New Roman" w:hAnsi="Times New Roman" w:cs="Times New Roman"/>
        </w:rPr>
        <w:t>of</w:t>
      </w:r>
      <w:r w:rsidR="0053095A" w:rsidRPr="00254E22">
        <w:rPr>
          <w:rFonts w:ascii="Times New Roman" w:hAnsi="Times New Roman" w:cs="Times New Roman"/>
        </w:rPr>
        <w:t xml:space="preserve"> a lower social standing</w:t>
      </w:r>
      <w:r w:rsidR="007F110E" w:rsidRPr="00254E22">
        <w:rPr>
          <w:rStyle w:val="FootnoteReference"/>
          <w:rFonts w:ascii="Times New Roman" w:hAnsi="Times New Roman" w:cs="Times New Roman"/>
        </w:rPr>
        <w:footnoteReference w:id="4"/>
      </w:r>
      <w:r w:rsidR="0053095A" w:rsidRPr="00254E22">
        <w:rPr>
          <w:rFonts w:ascii="Times New Roman" w:hAnsi="Times New Roman" w:cs="Times New Roman"/>
        </w:rPr>
        <w:t xml:space="preserve">. At Wetwang </w:t>
      </w:r>
      <w:r>
        <w:rPr>
          <w:rFonts w:ascii="Times New Roman" w:hAnsi="Times New Roman" w:cs="Times New Roman"/>
        </w:rPr>
        <w:t>Slack</w:t>
      </w:r>
      <w:r w:rsidR="0053095A" w:rsidRPr="00254E22">
        <w:rPr>
          <w:rFonts w:ascii="Times New Roman" w:hAnsi="Times New Roman" w:cs="Times New Roman"/>
        </w:rPr>
        <w:t xml:space="preserve"> the secondary burials are </w:t>
      </w:r>
      <w:r w:rsidR="007F110E" w:rsidRPr="00254E22">
        <w:rPr>
          <w:rFonts w:ascii="Times New Roman" w:hAnsi="Times New Roman" w:cs="Times New Roman"/>
        </w:rPr>
        <w:t>located at</w:t>
      </w:r>
      <w:r w:rsidR="0053095A" w:rsidRPr="00254E22">
        <w:rPr>
          <w:rFonts w:ascii="Times New Roman" w:hAnsi="Times New Roman" w:cs="Times New Roman"/>
        </w:rPr>
        <w:t xml:space="preserve"> the edges of the cemetery, often given smaller enclosures, and </w:t>
      </w:r>
      <w:r>
        <w:rPr>
          <w:rFonts w:ascii="Times New Roman" w:hAnsi="Times New Roman" w:cs="Times New Roman"/>
        </w:rPr>
        <w:t xml:space="preserve">are </w:t>
      </w:r>
      <w:r w:rsidR="007F110E" w:rsidRPr="00254E22">
        <w:rPr>
          <w:rFonts w:ascii="Times New Roman" w:hAnsi="Times New Roman" w:cs="Times New Roman"/>
        </w:rPr>
        <w:t>shallower</w:t>
      </w:r>
      <w:r w:rsidR="0053095A" w:rsidRPr="00254E22">
        <w:rPr>
          <w:rFonts w:ascii="Times New Roman" w:hAnsi="Times New Roman" w:cs="Times New Roman"/>
        </w:rPr>
        <w:t xml:space="preserve"> burials</w:t>
      </w:r>
      <w:r w:rsidR="007F110E" w:rsidRPr="00254E22">
        <w:rPr>
          <w:rStyle w:val="FootnoteReference"/>
          <w:rFonts w:ascii="Times New Roman" w:hAnsi="Times New Roman" w:cs="Times New Roman"/>
        </w:rPr>
        <w:footnoteReference w:id="5"/>
      </w:r>
      <w:r w:rsidR="0053095A" w:rsidRPr="00254E22">
        <w:rPr>
          <w:rFonts w:ascii="Times New Roman" w:hAnsi="Times New Roman" w:cs="Times New Roman"/>
        </w:rPr>
        <w:t xml:space="preserve">. </w:t>
      </w:r>
      <w:r w:rsidR="007F110E" w:rsidRPr="00254E22">
        <w:rPr>
          <w:rFonts w:ascii="Times New Roman" w:hAnsi="Times New Roman" w:cs="Times New Roman"/>
        </w:rPr>
        <w:t xml:space="preserve">This indicates that the individuals in the secondary graves had a lower social standing as it takes less effort to leave a body to be exposed or </w:t>
      </w:r>
      <w:r>
        <w:rPr>
          <w:rFonts w:ascii="Times New Roman" w:hAnsi="Times New Roman" w:cs="Times New Roman"/>
        </w:rPr>
        <w:t xml:space="preserve">to </w:t>
      </w:r>
      <w:r w:rsidRPr="00254E22">
        <w:rPr>
          <w:rFonts w:ascii="Times New Roman" w:hAnsi="Times New Roman" w:cs="Times New Roman"/>
        </w:rPr>
        <w:t>bury</w:t>
      </w:r>
      <w:r w:rsidR="007F110E" w:rsidRPr="00254E22">
        <w:rPr>
          <w:rFonts w:ascii="Times New Roman" w:hAnsi="Times New Roman" w:cs="Times New Roman"/>
        </w:rPr>
        <w:t xml:space="preserve"> them in a smaller shallower ditch than the larger</w:t>
      </w:r>
      <w:r w:rsidR="00092274" w:rsidRPr="00254E22">
        <w:rPr>
          <w:rFonts w:ascii="Times New Roman" w:hAnsi="Times New Roman" w:cs="Times New Roman"/>
        </w:rPr>
        <w:t>,</w:t>
      </w:r>
      <w:r w:rsidR="007F110E" w:rsidRPr="00254E22">
        <w:rPr>
          <w:rFonts w:ascii="Times New Roman" w:hAnsi="Times New Roman" w:cs="Times New Roman"/>
        </w:rPr>
        <w:t xml:space="preserve"> deep burials of the primary graves</w:t>
      </w:r>
      <w:r w:rsidR="00092274" w:rsidRPr="00254E22">
        <w:rPr>
          <w:rStyle w:val="FootnoteReference"/>
          <w:rFonts w:ascii="Times New Roman" w:hAnsi="Times New Roman" w:cs="Times New Roman"/>
        </w:rPr>
        <w:footnoteReference w:id="6"/>
      </w:r>
      <w:r w:rsidR="007F110E" w:rsidRPr="00254E22">
        <w:rPr>
          <w:rFonts w:ascii="Times New Roman" w:hAnsi="Times New Roman" w:cs="Times New Roman"/>
        </w:rPr>
        <w:t>.</w:t>
      </w:r>
      <w:r w:rsidR="00092274" w:rsidRPr="00254E22">
        <w:rPr>
          <w:rFonts w:ascii="Times New Roman" w:hAnsi="Times New Roman" w:cs="Times New Roman"/>
        </w:rPr>
        <w:t xml:space="preserve"> Despite the difference in location and quality of burial, most primary </w:t>
      </w:r>
      <w:r w:rsidR="008C24EE" w:rsidRPr="00254E22">
        <w:rPr>
          <w:rFonts w:ascii="Times New Roman" w:hAnsi="Times New Roman" w:cs="Times New Roman"/>
        </w:rPr>
        <w:t>and</w:t>
      </w:r>
      <w:r w:rsidR="00092274" w:rsidRPr="00254E22">
        <w:rPr>
          <w:rFonts w:ascii="Times New Roman" w:hAnsi="Times New Roman" w:cs="Times New Roman"/>
        </w:rPr>
        <w:t xml:space="preserve"> secondary </w:t>
      </w:r>
      <w:r w:rsidR="008C24EE" w:rsidRPr="00254E22">
        <w:rPr>
          <w:rFonts w:ascii="Times New Roman" w:hAnsi="Times New Roman" w:cs="Times New Roman"/>
        </w:rPr>
        <w:t>graves</w:t>
      </w:r>
      <w:r w:rsidR="0053095A" w:rsidRPr="00254E22">
        <w:rPr>
          <w:rFonts w:ascii="Times New Roman" w:hAnsi="Times New Roman" w:cs="Times New Roman"/>
        </w:rPr>
        <w:t xml:space="preserve"> have a north-south </w:t>
      </w:r>
      <w:r w:rsidR="00092274" w:rsidRPr="00254E22">
        <w:rPr>
          <w:rFonts w:ascii="Times New Roman" w:hAnsi="Times New Roman" w:cs="Times New Roman"/>
        </w:rPr>
        <w:t>alignment</w:t>
      </w:r>
      <w:r w:rsidR="008C24EE" w:rsidRPr="00254E22">
        <w:rPr>
          <w:rFonts w:ascii="Times New Roman" w:hAnsi="Times New Roman" w:cs="Times New Roman"/>
        </w:rPr>
        <w:t xml:space="preserve">. This indicates that there was a common religious or ritual belief that </w:t>
      </w:r>
      <w:r w:rsidR="008C24EE" w:rsidRPr="00254E22">
        <w:rPr>
          <w:rFonts w:ascii="Times New Roman" w:hAnsi="Times New Roman" w:cs="Times New Roman"/>
        </w:rPr>
        <w:lastRenderedPageBreak/>
        <w:t xml:space="preserve">overrode </w:t>
      </w:r>
      <w:r w:rsidR="008A0933" w:rsidRPr="00254E22">
        <w:rPr>
          <w:rFonts w:ascii="Times New Roman" w:hAnsi="Times New Roman" w:cs="Times New Roman"/>
        </w:rPr>
        <w:t>status.</w:t>
      </w:r>
      <w:r w:rsidR="00092274" w:rsidRPr="00254E22">
        <w:rPr>
          <w:rFonts w:ascii="Times New Roman" w:hAnsi="Times New Roman" w:cs="Times New Roman"/>
        </w:rPr>
        <w:t xml:space="preserve"> This does not mean that all graves were uniform </w:t>
      </w:r>
      <w:r w:rsidR="008C24EE" w:rsidRPr="00254E22">
        <w:rPr>
          <w:rFonts w:ascii="Times New Roman" w:hAnsi="Times New Roman" w:cs="Times New Roman"/>
        </w:rPr>
        <w:t xml:space="preserve">however, </w:t>
      </w:r>
      <w:r w:rsidR="008A0933" w:rsidRPr="00254E22">
        <w:rPr>
          <w:rFonts w:ascii="Times New Roman" w:hAnsi="Times New Roman" w:cs="Times New Roman"/>
        </w:rPr>
        <w:t xml:space="preserve">as there </w:t>
      </w:r>
      <w:r>
        <w:rPr>
          <w:rFonts w:ascii="Times New Roman" w:hAnsi="Times New Roman" w:cs="Times New Roman"/>
        </w:rPr>
        <w:t>is</w:t>
      </w:r>
      <w:r w:rsidR="008A0933" w:rsidRPr="00254E22">
        <w:rPr>
          <w:rFonts w:ascii="Times New Roman" w:hAnsi="Times New Roman" w:cs="Times New Roman"/>
        </w:rPr>
        <w:t xml:space="preserve"> one grave that deliberately had an east-west orientation</w:t>
      </w:r>
      <w:r w:rsidR="008A0933" w:rsidRPr="00254E22">
        <w:rPr>
          <w:rStyle w:val="FootnoteReference"/>
          <w:rFonts w:ascii="Times New Roman" w:hAnsi="Times New Roman" w:cs="Times New Roman"/>
        </w:rPr>
        <w:footnoteReference w:id="7"/>
      </w:r>
      <w:r w:rsidR="008A0933" w:rsidRPr="00254E22">
        <w:rPr>
          <w:rFonts w:ascii="Times New Roman" w:hAnsi="Times New Roman" w:cs="Times New Roman"/>
        </w:rPr>
        <w:t xml:space="preserve">. This could indicate that this individual was perhaps dishonourable, as this is a secondary grave. However, Jones argues that </w:t>
      </w:r>
      <w:r>
        <w:rPr>
          <w:rFonts w:ascii="Times New Roman" w:hAnsi="Times New Roman" w:cs="Times New Roman"/>
        </w:rPr>
        <w:t>it</w:t>
      </w:r>
      <w:r w:rsidR="008A0933" w:rsidRPr="00254E22">
        <w:rPr>
          <w:rFonts w:ascii="Times New Roman" w:hAnsi="Times New Roman" w:cs="Times New Roman"/>
        </w:rPr>
        <w:t xml:space="preserve"> may be just as likely that this was an outsider to the original community and therefore treated differently, perhaps in accordance to their own religious beliefs</w:t>
      </w:r>
      <w:r w:rsidR="008A0933" w:rsidRPr="00254E22">
        <w:rPr>
          <w:rStyle w:val="FootnoteReference"/>
          <w:rFonts w:ascii="Times New Roman" w:hAnsi="Times New Roman" w:cs="Times New Roman"/>
        </w:rPr>
        <w:footnoteReference w:id="8"/>
      </w:r>
      <w:r w:rsidR="008A0933" w:rsidRPr="00254E22">
        <w:rPr>
          <w:rFonts w:ascii="Times New Roman" w:hAnsi="Times New Roman" w:cs="Times New Roman"/>
        </w:rPr>
        <w:t>.</w:t>
      </w:r>
    </w:p>
    <w:p w14:paraId="10778C8F" w14:textId="77777777" w:rsidR="00780B39" w:rsidRPr="00254E22" w:rsidRDefault="00780B39" w:rsidP="0053095A">
      <w:pPr>
        <w:spacing w:line="480" w:lineRule="auto"/>
        <w:rPr>
          <w:rFonts w:ascii="Times New Roman" w:hAnsi="Times New Roman" w:cs="Times New Roman"/>
        </w:rPr>
      </w:pPr>
    </w:p>
    <w:p w14:paraId="5558030B" w14:textId="318C5C67" w:rsidR="000B4096" w:rsidRPr="00254E22" w:rsidRDefault="00930ED5" w:rsidP="0053095A">
      <w:pPr>
        <w:spacing w:line="480" w:lineRule="auto"/>
        <w:rPr>
          <w:rFonts w:ascii="Times New Roman" w:hAnsi="Times New Roman" w:cs="Times New Roman"/>
        </w:rPr>
      </w:pPr>
      <w:r w:rsidRPr="00254E22">
        <w:rPr>
          <w:rFonts w:ascii="Times New Roman" w:hAnsi="Times New Roman" w:cs="Times New Roman"/>
        </w:rPr>
        <w:t>One, more noticeable, indicator that the primary burials were of people with higher wealth and status is the amount of grave goods concentrated in these graves.</w:t>
      </w:r>
      <w:r w:rsidR="00780B39" w:rsidRPr="00254E22">
        <w:rPr>
          <w:rFonts w:ascii="Times New Roman" w:hAnsi="Times New Roman" w:cs="Times New Roman"/>
        </w:rPr>
        <w:t xml:space="preserve"> There are very few graves with artefacts at Wetwang </w:t>
      </w:r>
      <w:r w:rsidR="00C238B9">
        <w:rPr>
          <w:rFonts w:ascii="Times New Roman" w:hAnsi="Times New Roman" w:cs="Times New Roman"/>
        </w:rPr>
        <w:t>S</w:t>
      </w:r>
      <w:r w:rsidR="00780B39" w:rsidRPr="00254E22">
        <w:rPr>
          <w:rFonts w:ascii="Times New Roman" w:hAnsi="Times New Roman" w:cs="Times New Roman"/>
        </w:rPr>
        <w:t>lack</w:t>
      </w:r>
      <w:r w:rsidR="00780B39" w:rsidRPr="00254E22">
        <w:rPr>
          <w:rStyle w:val="FootnoteReference"/>
          <w:rFonts w:ascii="Times New Roman" w:hAnsi="Times New Roman" w:cs="Times New Roman"/>
        </w:rPr>
        <w:footnoteReference w:id="9"/>
      </w:r>
      <w:r w:rsidR="00C238B9">
        <w:rPr>
          <w:rFonts w:ascii="Times New Roman" w:hAnsi="Times New Roman" w:cs="Times New Roman"/>
        </w:rPr>
        <w:t>.</w:t>
      </w:r>
      <w:r w:rsidR="00780B39" w:rsidRPr="00254E22">
        <w:rPr>
          <w:rFonts w:ascii="Times New Roman" w:hAnsi="Times New Roman" w:cs="Times New Roman"/>
        </w:rPr>
        <w:t xml:space="preserve"> </w:t>
      </w:r>
      <w:r w:rsidR="00C238B9">
        <w:rPr>
          <w:rFonts w:ascii="Times New Roman" w:hAnsi="Times New Roman" w:cs="Times New Roman"/>
        </w:rPr>
        <w:t>I</w:t>
      </w:r>
      <w:r w:rsidR="00780B39" w:rsidRPr="00254E22">
        <w:rPr>
          <w:rFonts w:ascii="Times New Roman" w:hAnsi="Times New Roman" w:cs="Times New Roman"/>
        </w:rPr>
        <w:t>t is not surprising to find most of the</w:t>
      </w:r>
      <w:r w:rsidR="00C238B9">
        <w:rPr>
          <w:rFonts w:ascii="Times New Roman" w:hAnsi="Times New Roman" w:cs="Times New Roman"/>
        </w:rPr>
        <w:t xml:space="preserve"> goods</w:t>
      </w:r>
      <w:r w:rsidR="00780B39" w:rsidRPr="00254E22">
        <w:rPr>
          <w:rFonts w:ascii="Times New Roman" w:hAnsi="Times New Roman" w:cs="Times New Roman"/>
        </w:rPr>
        <w:t xml:space="preserve">, particularly the more complex fibulae, with the remains seemingly given higher status. </w:t>
      </w:r>
      <w:proofErr w:type="spellStart"/>
      <w:r w:rsidR="00780B39" w:rsidRPr="00254E22">
        <w:rPr>
          <w:rFonts w:ascii="Times New Roman" w:hAnsi="Times New Roman" w:cs="Times New Roman"/>
        </w:rPr>
        <w:t>Hedeager</w:t>
      </w:r>
      <w:proofErr w:type="spellEnd"/>
      <w:r w:rsidR="00780B39" w:rsidRPr="00254E22">
        <w:rPr>
          <w:rFonts w:ascii="Times New Roman" w:hAnsi="Times New Roman" w:cs="Times New Roman"/>
        </w:rPr>
        <w:t xml:space="preserve"> tells us that, it is commonly agreed that </w:t>
      </w:r>
      <w:r w:rsidR="00C238B9">
        <w:rPr>
          <w:rFonts w:ascii="Times New Roman" w:hAnsi="Times New Roman" w:cs="Times New Roman"/>
        </w:rPr>
        <w:t>a</w:t>
      </w:r>
      <w:r w:rsidR="00780B39" w:rsidRPr="00254E22">
        <w:rPr>
          <w:rFonts w:ascii="Times New Roman" w:hAnsi="Times New Roman" w:cs="Times New Roman"/>
        </w:rPr>
        <w:t xml:space="preserve"> higher quantity and quality of grave goods is a clear indicator of the buried individual’s higher status in the society</w:t>
      </w:r>
      <w:r w:rsidR="00780B39" w:rsidRPr="00254E22">
        <w:rPr>
          <w:rStyle w:val="FootnoteReference"/>
          <w:rFonts w:ascii="Times New Roman" w:hAnsi="Times New Roman" w:cs="Times New Roman"/>
        </w:rPr>
        <w:footnoteReference w:id="10"/>
      </w:r>
      <w:r w:rsidR="00780B39" w:rsidRPr="00254E22">
        <w:rPr>
          <w:rFonts w:ascii="Times New Roman" w:hAnsi="Times New Roman" w:cs="Times New Roman"/>
        </w:rPr>
        <w:t xml:space="preserve">. However, Dent shows that a Wetwang </w:t>
      </w:r>
      <w:r w:rsidR="00C238B9">
        <w:rPr>
          <w:rFonts w:ascii="Times New Roman" w:hAnsi="Times New Roman" w:cs="Times New Roman"/>
        </w:rPr>
        <w:t>S</w:t>
      </w:r>
      <w:r w:rsidR="00780B39" w:rsidRPr="00254E22">
        <w:rPr>
          <w:rFonts w:ascii="Times New Roman" w:hAnsi="Times New Roman" w:cs="Times New Roman"/>
        </w:rPr>
        <w:t>lack this is not always the case as there are graves located in the secondary locations that have seemingly expensive grave goods, this implies that other factors earned an individual a higher standing within this community</w:t>
      </w:r>
      <w:r w:rsidR="00780B39" w:rsidRPr="00254E22">
        <w:rPr>
          <w:rStyle w:val="FootnoteReference"/>
          <w:rFonts w:ascii="Times New Roman" w:hAnsi="Times New Roman" w:cs="Times New Roman"/>
        </w:rPr>
        <w:footnoteReference w:id="11"/>
      </w:r>
      <w:r w:rsidR="00780B39" w:rsidRPr="00254E22">
        <w:rPr>
          <w:rFonts w:ascii="Times New Roman" w:hAnsi="Times New Roman" w:cs="Times New Roman"/>
        </w:rPr>
        <w:t xml:space="preserve">. </w:t>
      </w:r>
      <w:r w:rsidR="0053095A" w:rsidRPr="00254E22">
        <w:rPr>
          <w:rFonts w:ascii="Times New Roman" w:hAnsi="Times New Roman" w:cs="Times New Roman"/>
        </w:rPr>
        <w:t xml:space="preserve">Dent </w:t>
      </w:r>
      <w:r w:rsidR="008A0933" w:rsidRPr="00254E22">
        <w:rPr>
          <w:rFonts w:ascii="Times New Roman" w:hAnsi="Times New Roman" w:cs="Times New Roman"/>
        </w:rPr>
        <w:t>states</w:t>
      </w:r>
      <w:r w:rsidR="0053095A" w:rsidRPr="00254E22">
        <w:rPr>
          <w:rFonts w:ascii="Times New Roman" w:hAnsi="Times New Roman" w:cs="Times New Roman"/>
        </w:rPr>
        <w:t xml:space="preserve"> that </w:t>
      </w:r>
      <w:r w:rsidR="008A0933" w:rsidRPr="00254E22">
        <w:rPr>
          <w:rFonts w:ascii="Times New Roman" w:hAnsi="Times New Roman" w:cs="Times New Roman"/>
        </w:rPr>
        <w:t>Wetwang</w:t>
      </w:r>
      <w:r w:rsidR="0053095A" w:rsidRPr="00254E22">
        <w:rPr>
          <w:rFonts w:ascii="Times New Roman" w:hAnsi="Times New Roman" w:cs="Times New Roman"/>
        </w:rPr>
        <w:t xml:space="preserve"> was most likely an egalitarian society</w:t>
      </w:r>
      <w:r w:rsidR="008A0933" w:rsidRPr="00254E22">
        <w:rPr>
          <w:rStyle w:val="FootnoteReference"/>
          <w:rFonts w:ascii="Times New Roman" w:hAnsi="Times New Roman" w:cs="Times New Roman"/>
        </w:rPr>
        <w:footnoteReference w:id="12"/>
      </w:r>
      <w:r w:rsidR="0053095A" w:rsidRPr="00254E22">
        <w:rPr>
          <w:rFonts w:ascii="Times New Roman" w:hAnsi="Times New Roman" w:cs="Times New Roman"/>
        </w:rPr>
        <w:t>,</w:t>
      </w:r>
      <w:r w:rsidR="007F110E" w:rsidRPr="00254E22">
        <w:rPr>
          <w:rFonts w:ascii="Times New Roman" w:hAnsi="Times New Roman" w:cs="Times New Roman"/>
        </w:rPr>
        <w:t xml:space="preserve"> </w:t>
      </w:r>
      <w:r w:rsidR="0053095A" w:rsidRPr="00254E22">
        <w:rPr>
          <w:rFonts w:ascii="Times New Roman" w:hAnsi="Times New Roman" w:cs="Times New Roman"/>
        </w:rPr>
        <w:t xml:space="preserve">so it is unsurprising to find </w:t>
      </w:r>
      <w:r w:rsidR="008A0933" w:rsidRPr="00254E22">
        <w:rPr>
          <w:rFonts w:ascii="Times New Roman" w:hAnsi="Times New Roman" w:cs="Times New Roman"/>
        </w:rPr>
        <w:t>few examples</w:t>
      </w:r>
      <w:r w:rsidR="0053095A" w:rsidRPr="00254E22">
        <w:rPr>
          <w:rFonts w:ascii="Times New Roman" w:hAnsi="Times New Roman" w:cs="Times New Roman"/>
        </w:rPr>
        <w:t xml:space="preserve"> </w:t>
      </w:r>
      <w:r w:rsidR="008A0933" w:rsidRPr="00254E22">
        <w:rPr>
          <w:rFonts w:ascii="Times New Roman" w:hAnsi="Times New Roman" w:cs="Times New Roman"/>
        </w:rPr>
        <w:t>of</w:t>
      </w:r>
      <w:r w:rsidR="0053095A" w:rsidRPr="00254E22">
        <w:rPr>
          <w:rFonts w:ascii="Times New Roman" w:hAnsi="Times New Roman" w:cs="Times New Roman"/>
        </w:rPr>
        <w:t xml:space="preserve"> wealth </w:t>
      </w:r>
      <w:r w:rsidR="007F110E" w:rsidRPr="00254E22">
        <w:rPr>
          <w:rFonts w:ascii="Times New Roman" w:hAnsi="Times New Roman" w:cs="Times New Roman"/>
        </w:rPr>
        <w:t>i</w:t>
      </w:r>
      <w:r w:rsidR="0053095A" w:rsidRPr="00254E22">
        <w:rPr>
          <w:rFonts w:ascii="Times New Roman" w:hAnsi="Times New Roman" w:cs="Times New Roman"/>
        </w:rPr>
        <w:t xml:space="preserve">n the graves, if this </w:t>
      </w:r>
      <w:r w:rsidR="008A0933" w:rsidRPr="00254E22">
        <w:rPr>
          <w:rFonts w:ascii="Times New Roman" w:hAnsi="Times New Roman" w:cs="Times New Roman"/>
        </w:rPr>
        <w:t>is</w:t>
      </w:r>
      <w:r w:rsidR="0053095A" w:rsidRPr="00254E22">
        <w:rPr>
          <w:rFonts w:ascii="Times New Roman" w:hAnsi="Times New Roman" w:cs="Times New Roman"/>
        </w:rPr>
        <w:t xml:space="preserve"> true. The </w:t>
      </w:r>
      <w:r w:rsidR="007F110E" w:rsidRPr="00254E22">
        <w:rPr>
          <w:rFonts w:ascii="Times New Roman" w:hAnsi="Times New Roman" w:cs="Times New Roman"/>
        </w:rPr>
        <w:t>comparatively</w:t>
      </w:r>
      <w:r w:rsidR="0053095A" w:rsidRPr="00254E22">
        <w:rPr>
          <w:rFonts w:ascii="Times New Roman" w:hAnsi="Times New Roman" w:cs="Times New Roman"/>
        </w:rPr>
        <w:t xml:space="preserve"> high</w:t>
      </w:r>
      <w:r w:rsidR="007F110E" w:rsidRPr="00254E22">
        <w:rPr>
          <w:rFonts w:ascii="Times New Roman" w:hAnsi="Times New Roman" w:cs="Times New Roman"/>
        </w:rPr>
        <w:t xml:space="preserve"> </w:t>
      </w:r>
      <w:r w:rsidR="0053095A" w:rsidRPr="00254E22">
        <w:rPr>
          <w:rFonts w:ascii="Times New Roman" w:hAnsi="Times New Roman" w:cs="Times New Roman"/>
        </w:rPr>
        <w:t xml:space="preserve">wealth of the chariots seems to oppose </w:t>
      </w:r>
      <w:proofErr w:type="spellStart"/>
      <w:r w:rsidR="0053095A" w:rsidRPr="00254E22">
        <w:rPr>
          <w:rFonts w:ascii="Times New Roman" w:hAnsi="Times New Roman" w:cs="Times New Roman"/>
        </w:rPr>
        <w:t>this</w:t>
      </w:r>
      <w:r w:rsidR="00C238B9">
        <w:rPr>
          <w:rFonts w:ascii="Times New Roman" w:hAnsi="Times New Roman" w:cs="Times New Roman"/>
        </w:rPr>
        <w:t>idea</w:t>
      </w:r>
      <w:proofErr w:type="spellEnd"/>
      <w:r w:rsidR="00C238B9">
        <w:rPr>
          <w:rFonts w:ascii="Times New Roman" w:hAnsi="Times New Roman" w:cs="Times New Roman"/>
        </w:rPr>
        <w:t>;</w:t>
      </w:r>
      <w:r w:rsidR="0053095A" w:rsidRPr="00254E22">
        <w:rPr>
          <w:rFonts w:ascii="Times New Roman" w:hAnsi="Times New Roman" w:cs="Times New Roman"/>
        </w:rPr>
        <w:t xml:space="preserve"> </w:t>
      </w:r>
      <w:proofErr w:type="gramStart"/>
      <w:r w:rsidR="008A0933" w:rsidRPr="00254E22">
        <w:rPr>
          <w:rFonts w:ascii="Times New Roman" w:hAnsi="Times New Roman" w:cs="Times New Roman"/>
        </w:rPr>
        <w:t>however</w:t>
      </w:r>
      <w:proofErr w:type="gramEnd"/>
      <w:r w:rsidR="0053095A" w:rsidRPr="00254E22">
        <w:rPr>
          <w:rFonts w:ascii="Times New Roman" w:hAnsi="Times New Roman" w:cs="Times New Roman"/>
        </w:rPr>
        <w:t xml:space="preserve"> </w:t>
      </w:r>
      <w:r w:rsidR="008A0933" w:rsidRPr="00254E22">
        <w:rPr>
          <w:rFonts w:ascii="Times New Roman" w:hAnsi="Times New Roman" w:cs="Times New Roman"/>
        </w:rPr>
        <w:t>Cunliffe</w:t>
      </w:r>
      <w:r w:rsidR="0053095A" w:rsidRPr="00254E22">
        <w:rPr>
          <w:rFonts w:ascii="Times New Roman" w:hAnsi="Times New Roman" w:cs="Times New Roman"/>
        </w:rPr>
        <w:t xml:space="preserve"> describes </w:t>
      </w:r>
      <w:r w:rsidR="008A0933" w:rsidRPr="00254E22">
        <w:rPr>
          <w:rFonts w:ascii="Times New Roman" w:hAnsi="Times New Roman" w:cs="Times New Roman"/>
        </w:rPr>
        <w:t>that</w:t>
      </w:r>
      <w:r w:rsidR="0053095A" w:rsidRPr="00254E22">
        <w:rPr>
          <w:rFonts w:ascii="Times New Roman" w:hAnsi="Times New Roman" w:cs="Times New Roman"/>
        </w:rPr>
        <w:t xml:space="preserve"> chariot </w:t>
      </w:r>
      <w:r w:rsidR="007F110E" w:rsidRPr="00254E22">
        <w:rPr>
          <w:rFonts w:ascii="Times New Roman" w:hAnsi="Times New Roman" w:cs="Times New Roman"/>
        </w:rPr>
        <w:t>burials</w:t>
      </w:r>
      <w:r w:rsidR="0053095A" w:rsidRPr="00254E22">
        <w:rPr>
          <w:rFonts w:ascii="Times New Roman" w:hAnsi="Times New Roman" w:cs="Times New Roman"/>
        </w:rPr>
        <w:t xml:space="preserve"> </w:t>
      </w:r>
      <w:r w:rsidR="00C238B9">
        <w:rPr>
          <w:rFonts w:ascii="Times New Roman" w:hAnsi="Times New Roman" w:cs="Times New Roman"/>
        </w:rPr>
        <w:t xml:space="preserve">were </w:t>
      </w:r>
      <w:r w:rsidR="008A0933" w:rsidRPr="00254E22">
        <w:rPr>
          <w:rFonts w:ascii="Times New Roman" w:hAnsi="Times New Roman" w:cs="Times New Roman"/>
        </w:rPr>
        <w:t>totally abandoned by the Arras culture by the late Iron age</w:t>
      </w:r>
      <w:r w:rsidR="00C238B9">
        <w:rPr>
          <w:rFonts w:ascii="Times New Roman" w:hAnsi="Times New Roman" w:cs="Times New Roman"/>
        </w:rPr>
        <w:t>,</w:t>
      </w:r>
      <w:r w:rsidR="0053095A" w:rsidRPr="00254E22">
        <w:rPr>
          <w:rFonts w:ascii="Times New Roman" w:hAnsi="Times New Roman" w:cs="Times New Roman"/>
        </w:rPr>
        <w:t xml:space="preserve"> </w:t>
      </w:r>
      <w:r w:rsidR="008A0933" w:rsidRPr="00254E22">
        <w:rPr>
          <w:rFonts w:ascii="Times New Roman" w:hAnsi="Times New Roman" w:cs="Times New Roman"/>
        </w:rPr>
        <w:t>indicating a diminished need and ability to create such expensive burials</w:t>
      </w:r>
      <w:r w:rsidR="008A0933" w:rsidRPr="00254E22">
        <w:rPr>
          <w:rStyle w:val="FootnoteReference"/>
          <w:rFonts w:ascii="Times New Roman" w:hAnsi="Times New Roman" w:cs="Times New Roman"/>
        </w:rPr>
        <w:footnoteReference w:id="13"/>
      </w:r>
      <w:r w:rsidR="0053095A" w:rsidRPr="00254E22">
        <w:rPr>
          <w:rFonts w:ascii="Times New Roman" w:hAnsi="Times New Roman" w:cs="Times New Roman"/>
        </w:rPr>
        <w:t xml:space="preserve">. </w:t>
      </w:r>
      <w:r w:rsidR="008A0933" w:rsidRPr="00254E22">
        <w:rPr>
          <w:rFonts w:ascii="Times New Roman" w:hAnsi="Times New Roman" w:cs="Times New Roman"/>
        </w:rPr>
        <w:t>The societ</w:t>
      </w:r>
      <w:r w:rsidR="00C238B9">
        <w:rPr>
          <w:rFonts w:ascii="Times New Roman" w:hAnsi="Times New Roman" w:cs="Times New Roman"/>
        </w:rPr>
        <w:t>y’s</w:t>
      </w:r>
      <w:r w:rsidR="008A0933" w:rsidRPr="00254E22">
        <w:rPr>
          <w:rFonts w:ascii="Times New Roman" w:hAnsi="Times New Roman" w:cs="Times New Roman"/>
        </w:rPr>
        <w:t xml:space="preserve"> wealth appears to</w:t>
      </w:r>
      <w:r w:rsidR="0053095A" w:rsidRPr="00254E22">
        <w:rPr>
          <w:rFonts w:ascii="Times New Roman" w:hAnsi="Times New Roman" w:cs="Times New Roman"/>
        </w:rPr>
        <w:t xml:space="preserve"> r</w:t>
      </w:r>
      <w:r w:rsidR="008A0933" w:rsidRPr="00254E22">
        <w:rPr>
          <w:rFonts w:ascii="Times New Roman" w:hAnsi="Times New Roman" w:cs="Times New Roman"/>
        </w:rPr>
        <w:t>i</w:t>
      </w:r>
      <w:r w:rsidR="0053095A" w:rsidRPr="00254E22">
        <w:rPr>
          <w:rFonts w:ascii="Times New Roman" w:hAnsi="Times New Roman" w:cs="Times New Roman"/>
        </w:rPr>
        <w:t xml:space="preserve">se in the later iron age </w:t>
      </w:r>
      <w:r w:rsidR="008A0933" w:rsidRPr="00254E22">
        <w:rPr>
          <w:rFonts w:ascii="Times New Roman" w:hAnsi="Times New Roman" w:cs="Times New Roman"/>
        </w:rPr>
        <w:t>and there was a clearer separation in social status</w:t>
      </w:r>
      <w:r w:rsidR="0053095A" w:rsidRPr="00254E22">
        <w:rPr>
          <w:rFonts w:ascii="Times New Roman" w:hAnsi="Times New Roman" w:cs="Times New Roman"/>
        </w:rPr>
        <w:t xml:space="preserve">, as shown by the </w:t>
      </w:r>
      <w:r w:rsidR="008A0933" w:rsidRPr="00254E22">
        <w:rPr>
          <w:rFonts w:ascii="Times New Roman" w:hAnsi="Times New Roman" w:cs="Times New Roman"/>
        </w:rPr>
        <w:t xml:space="preserve">increase in </w:t>
      </w:r>
      <w:r w:rsidR="0053095A" w:rsidRPr="00254E22">
        <w:rPr>
          <w:rFonts w:ascii="Times New Roman" w:hAnsi="Times New Roman" w:cs="Times New Roman"/>
        </w:rPr>
        <w:t xml:space="preserve">expensive </w:t>
      </w:r>
      <w:r w:rsidR="008A0933" w:rsidRPr="00254E22">
        <w:rPr>
          <w:rFonts w:ascii="Times New Roman" w:hAnsi="Times New Roman" w:cs="Times New Roman"/>
        </w:rPr>
        <w:t xml:space="preserve">La </w:t>
      </w:r>
      <w:proofErr w:type="spellStart"/>
      <w:r w:rsidR="008A0933" w:rsidRPr="00254E22">
        <w:rPr>
          <w:rFonts w:ascii="Times New Roman" w:hAnsi="Times New Roman" w:cs="Times New Roman"/>
        </w:rPr>
        <w:t>Tene</w:t>
      </w:r>
      <w:proofErr w:type="spellEnd"/>
      <w:r w:rsidR="008A0933" w:rsidRPr="00254E22">
        <w:rPr>
          <w:rFonts w:ascii="Times New Roman" w:hAnsi="Times New Roman" w:cs="Times New Roman"/>
        </w:rPr>
        <w:t xml:space="preserve"> </w:t>
      </w:r>
      <w:r w:rsidR="0053095A" w:rsidRPr="00254E22">
        <w:rPr>
          <w:rFonts w:ascii="Times New Roman" w:hAnsi="Times New Roman" w:cs="Times New Roman"/>
        </w:rPr>
        <w:t xml:space="preserve">grave goods and the </w:t>
      </w:r>
      <w:r w:rsidR="007F110E" w:rsidRPr="00254E22">
        <w:rPr>
          <w:rFonts w:ascii="Times New Roman" w:hAnsi="Times New Roman" w:cs="Times New Roman"/>
        </w:rPr>
        <w:t>reappearance</w:t>
      </w:r>
      <w:r w:rsidR="0053095A" w:rsidRPr="00254E22">
        <w:rPr>
          <w:rFonts w:ascii="Times New Roman" w:hAnsi="Times New Roman" w:cs="Times New Roman"/>
        </w:rPr>
        <w:t xml:space="preserve"> of whole pigs and goats in the</w:t>
      </w:r>
      <w:r w:rsidR="008A0933" w:rsidRPr="00254E22">
        <w:rPr>
          <w:rFonts w:ascii="Times New Roman" w:hAnsi="Times New Roman" w:cs="Times New Roman"/>
        </w:rPr>
        <w:t xml:space="preserve"> primary</w:t>
      </w:r>
      <w:r w:rsidR="0053095A" w:rsidRPr="00254E22">
        <w:rPr>
          <w:rFonts w:ascii="Times New Roman" w:hAnsi="Times New Roman" w:cs="Times New Roman"/>
        </w:rPr>
        <w:t xml:space="preserve"> graves</w:t>
      </w:r>
      <w:r w:rsidR="008A0933" w:rsidRPr="00254E22">
        <w:rPr>
          <w:rStyle w:val="FootnoteReference"/>
          <w:rFonts w:ascii="Times New Roman" w:hAnsi="Times New Roman" w:cs="Times New Roman"/>
        </w:rPr>
        <w:footnoteReference w:id="14"/>
      </w:r>
      <w:r w:rsidR="0053095A" w:rsidRPr="00254E22">
        <w:rPr>
          <w:rFonts w:ascii="Times New Roman" w:hAnsi="Times New Roman" w:cs="Times New Roman"/>
        </w:rPr>
        <w:t>.</w:t>
      </w:r>
    </w:p>
    <w:p w14:paraId="2C79A692" w14:textId="77777777" w:rsidR="006A6B3A" w:rsidRPr="00254E22" w:rsidRDefault="006A6B3A" w:rsidP="0053095A">
      <w:pPr>
        <w:spacing w:line="480" w:lineRule="auto"/>
        <w:rPr>
          <w:rFonts w:ascii="Times New Roman" w:hAnsi="Times New Roman" w:cs="Times New Roman"/>
        </w:rPr>
      </w:pPr>
    </w:p>
    <w:p w14:paraId="51F80641" w14:textId="4EE072E1" w:rsidR="006A6B3A" w:rsidRPr="00254E22" w:rsidRDefault="006A6B3A" w:rsidP="0053095A">
      <w:pPr>
        <w:spacing w:line="480" w:lineRule="auto"/>
        <w:rPr>
          <w:rFonts w:ascii="Times New Roman" w:hAnsi="Times New Roman" w:cs="Times New Roman"/>
        </w:rPr>
      </w:pPr>
      <w:r w:rsidRPr="00254E22">
        <w:rPr>
          <w:rFonts w:ascii="Times New Roman" w:hAnsi="Times New Roman" w:cs="Times New Roman"/>
        </w:rPr>
        <w:t xml:space="preserve">Burials that </w:t>
      </w:r>
      <w:r w:rsidR="000B4096" w:rsidRPr="00254E22">
        <w:rPr>
          <w:rFonts w:ascii="Times New Roman" w:hAnsi="Times New Roman" w:cs="Times New Roman"/>
        </w:rPr>
        <w:t>indicate the highest</w:t>
      </w:r>
      <w:r w:rsidRPr="00254E22">
        <w:rPr>
          <w:rFonts w:ascii="Times New Roman" w:hAnsi="Times New Roman" w:cs="Times New Roman"/>
        </w:rPr>
        <w:t xml:space="preserve"> status and prestige at </w:t>
      </w:r>
      <w:r w:rsidR="000B4096" w:rsidRPr="00254E22">
        <w:rPr>
          <w:rFonts w:ascii="Times New Roman" w:hAnsi="Times New Roman" w:cs="Times New Roman"/>
        </w:rPr>
        <w:t xml:space="preserve">Wetwang </w:t>
      </w:r>
      <w:r w:rsidR="00C238B9">
        <w:rPr>
          <w:rFonts w:ascii="Times New Roman" w:hAnsi="Times New Roman" w:cs="Times New Roman"/>
        </w:rPr>
        <w:t>S</w:t>
      </w:r>
      <w:r w:rsidR="000B4096" w:rsidRPr="00254E22">
        <w:rPr>
          <w:rFonts w:ascii="Times New Roman" w:hAnsi="Times New Roman" w:cs="Times New Roman"/>
        </w:rPr>
        <w:t>lack</w:t>
      </w:r>
      <w:r w:rsidRPr="00254E22">
        <w:rPr>
          <w:rFonts w:ascii="Times New Roman" w:hAnsi="Times New Roman" w:cs="Times New Roman"/>
        </w:rPr>
        <w:t xml:space="preserve"> are the three chariot burials. These burials are found south west of the main cemetery</w:t>
      </w:r>
      <w:r w:rsidRPr="00254E22">
        <w:rPr>
          <w:rStyle w:val="FootnoteReference"/>
          <w:rFonts w:ascii="Times New Roman" w:hAnsi="Times New Roman" w:cs="Times New Roman"/>
        </w:rPr>
        <w:footnoteReference w:id="15"/>
      </w:r>
      <w:r w:rsidRPr="00254E22">
        <w:rPr>
          <w:rFonts w:ascii="Times New Roman" w:hAnsi="Times New Roman" w:cs="Times New Roman"/>
        </w:rPr>
        <w:t xml:space="preserve"> and feature the most expensive and elaborate grave goods. </w:t>
      </w:r>
      <w:r w:rsidR="00723B57" w:rsidRPr="00254E22">
        <w:rPr>
          <w:rFonts w:ascii="Times New Roman" w:hAnsi="Times New Roman" w:cs="Times New Roman"/>
        </w:rPr>
        <w:t xml:space="preserve">The separation from the main cemetery implies that the individuals buried with the chariots have a much higher standing than the individuals buried in the main </w:t>
      </w:r>
      <w:r w:rsidR="00430BCE" w:rsidRPr="00254E22">
        <w:rPr>
          <w:rFonts w:ascii="Times New Roman" w:hAnsi="Times New Roman" w:cs="Times New Roman"/>
        </w:rPr>
        <w:t>cemetery</w:t>
      </w:r>
      <w:r w:rsidR="00723B57" w:rsidRPr="00254E22">
        <w:rPr>
          <w:rFonts w:ascii="Times New Roman" w:hAnsi="Times New Roman" w:cs="Times New Roman"/>
        </w:rPr>
        <w:t xml:space="preserve">. Separation of important </w:t>
      </w:r>
      <w:r w:rsidR="00430BCE" w:rsidRPr="00254E22">
        <w:rPr>
          <w:rFonts w:ascii="Times New Roman" w:hAnsi="Times New Roman" w:cs="Times New Roman"/>
        </w:rPr>
        <w:t>individuals’</w:t>
      </w:r>
      <w:r w:rsidR="00723B57" w:rsidRPr="00254E22">
        <w:rPr>
          <w:rFonts w:ascii="Times New Roman" w:hAnsi="Times New Roman" w:cs="Times New Roman"/>
        </w:rPr>
        <w:t xml:space="preserve"> graves was common in the Celtic world, as seen at </w:t>
      </w:r>
      <w:proofErr w:type="spellStart"/>
      <w:r w:rsidR="00723B57" w:rsidRPr="00254E22">
        <w:rPr>
          <w:rFonts w:ascii="Times New Roman" w:hAnsi="Times New Roman" w:cs="Times New Roman"/>
        </w:rPr>
        <w:t>Reinheim</w:t>
      </w:r>
      <w:proofErr w:type="spellEnd"/>
      <w:r w:rsidR="00723B57" w:rsidRPr="00254E22">
        <w:rPr>
          <w:rFonts w:ascii="Times New Roman" w:hAnsi="Times New Roman" w:cs="Times New Roman"/>
        </w:rPr>
        <w:t xml:space="preserve"> and </w:t>
      </w:r>
      <w:proofErr w:type="spellStart"/>
      <w:r w:rsidR="00723B57" w:rsidRPr="00254E22">
        <w:rPr>
          <w:rFonts w:ascii="Times New Roman" w:hAnsi="Times New Roman" w:cs="Times New Roman"/>
        </w:rPr>
        <w:t>Heuneburg</w:t>
      </w:r>
      <w:proofErr w:type="spellEnd"/>
      <w:r w:rsidR="00723B57" w:rsidRPr="00254E22">
        <w:rPr>
          <w:rStyle w:val="FootnoteReference"/>
          <w:rFonts w:ascii="Times New Roman" w:hAnsi="Times New Roman" w:cs="Times New Roman"/>
        </w:rPr>
        <w:footnoteReference w:id="16"/>
      </w:r>
      <w:r w:rsidR="00723B57" w:rsidRPr="00254E22">
        <w:rPr>
          <w:rFonts w:ascii="Times New Roman" w:hAnsi="Times New Roman" w:cs="Times New Roman"/>
        </w:rPr>
        <w:t>.</w:t>
      </w:r>
      <w:r w:rsidR="00430BCE" w:rsidRPr="00254E22">
        <w:rPr>
          <w:rFonts w:ascii="Times New Roman" w:hAnsi="Times New Roman" w:cs="Times New Roman"/>
        </w:rPr>
        <w:t xml:space="preserve"> These distinguished graves are thought to have been exceptionally important people and would have held the highest status</w:t>
      </w:r>
      <w:r w:rsidR="000B4096" w:rsidRPr="00254E22">
        <w:rPr>
          <w:rFonts w:ascii="Times New Roman" w:hAnsi="Times New Roman" w:cs="Times New Roman"/>
        </w:rPr>
        <w:t>, however we cannot say for certain exactly why these individuals were given such special treatment</w:t>
      </w:r>
      <w:r w:rsidR="00430BCE" w:rsidRPr="00254E22">
        <w:rPr>
          <w:rFonts w:ascii="Times New Roman" w:hAnsi="Times New Roman" w:cs="Times New Roman"/>
        </w:rPr>
        <w:t>. Mira</w:t>
      </w:r>
      <w:r w:rsidR="007F110E" w:rsidRPr="00254E22">
        <w:rPr>
          <w:rFonts w:ascii="Times New Roman" w:hAnsi="Times New Roman" w:cs="Times New Roman"/>
        </w:rPr>
        <w:t>n</w:t>
      </w:r>
      <w:r w:rsidR="00430BCE" w:rsidRPr="00254E22">
        <w:rPr>
          <w:rFonts w:ascii="Times New Roman" w:hAnsi="Times New Roman" w:cs="Times New Roman"/>
        </w:rPr>
        <w:t xml:space="preserve">da </w:t>
      </w:r>
      <w:r w:rsidR="000B4096" w:rsidRPr="00254E22">
        <w:rPr>
          <w:rFonts w:ascii="Times New Roman" w:hAnsi="Times New Roman" w:cs="Times New Roman"/>
        </w:rPr>
        <w:t>G</w:t>
      </w:r>
      <w:r w:rsidR="00430BCE" w:rsidRPr="00254E22">
        <w:rPr>
          <w:rFonts w:ascii="Times New Roman" w:hAnsi="Times New Roman" w:cs="Times New Roman"/>
        </w:rPr>
        <w:t xml:space="preserve">reen considers the second chariot burial to be </w:t>
      </w:r>
      <w:r w:rsidR="000B4096" w:rsidRPr="00254E22">
        <w:rPr>
          <w:rFonts w:ascii="Times New Roman" w:hAnsi="Times New Roman" w:cs="Times New Roman"/>
        </w:rPr>
        <w:t>prime</w:t>
      </w:r>
      <w:r w:rsidR="00430BCE" w:rsidRPr="00254E22">
        <w:rPr>
          <w:rFonts w:ascii="Times New Roman" w:hAnsi="Times New Roman" w:cs="Times New Roman"/>
        </w:rPr>
        <w:t xml:space="preserve"> example of a powerful woman</w:t>
      </w:r>
      <w:r w:rsidR="000B4096" w:rsidRPr="00254E22">
        <w:rPr>
          <w:rFonts w:ascii="Times New Roman" w:hAnsi="Times New Roman" w:cs="Times New Roman"/>
        </w:rPr>
        <w:t>, possibly a priestess</w:t>
      </w:r>
      <w:r w:rsidR="000B4096" w:rsidRPr="00254E22">
        <w:rPr>
          <w:rStyle w:val="FootnoteReference"/>
          <w:rFonts w:ascii="Times New Roman" w:hAnsi="Times New Roman" w:cs="Times New Roman"/>
        </w:rPr>
        <w:footnoteReference w:id="17"/>
      </w:r>
      <w:r w:rsidR="000B4096" w:rsidRPr="00254E22">
        <w:rPr>
          <w:rFonts w:ascii="Times New Roman" w:hAnsi="Times New Roman" w:cs="Times New Roman"/>
        </w:rPr>
        <w:t>,</w:t>
      </w:r>
      <w:r w:rsidR="00430BCE" w:rsidRPr="00254E22">
        <w:rPr>
          <w:rFonts w:ascii="Times New Roman" w:hAnsi="Times New Roman" w:cs="Times New Roman"/>
        </w:rPr>
        <w:t xml:space="preserve"> whose grave goods</w:t>
      </w:r>
      <w:r w:rsidR="00C238B9">
        <w:rPr>
          <w:rFonts w:ascii="Times New Roman" w:hAnsi="Times New Roman" w:cs="Times New Roman"/>
        </w:rPr>
        <w:t>;</w:t>
      </w:r>
      <w:r w:rsidR="00430BCE" w:rsidRPr="00254E22">
        <w:rPr>
          <w:rFonts w:ascii="Times New Roman" w:hAnsi="Times New Roman" w:cs="Times New Roman"/>
        </w:rPr>
        <w:t xml:space="preserve"> a mirror and a bronze box denote a higher status than those around her</w:t>
      </w:r>
      <w:r w:rsidR="00430BCE" w:rsidRPr="00254E22">
        <w:rPr>
          <w:rStyle w:val="FootnoteReference"/>
          <w:rFonts w:ascii="Times New Roman" w:hAnsi="Times New Roman" w:cs="Times New Roman"/>
        </w:rPr>
        <w:footnoteReference w:id="18"/>
      </w:r>
      <w:r w:rsidR="00430BCE" w:rsidRPr="00254E22">
        <w:rPr>
          <w:rFonts w:ascii="Times New Roman" w:hAnsi="Times New Roman" w:cs="Times New Roman"/>
        </w:rPr>
        <w:t xml:space="preserve">. </w:t>
      </w:r>
      <w:r w:rsidR="000B4096" w:rsidRPr="00254E22">
        <w:rPr>
          <w:rFonts w:ascii="Times New Roman" w:hAnsi="Times New Roman" w:cs="Times New Roman"/>
        </w:rPr>
        <w:t xml:space="preserve">Whilst it is clear that </w:t>
      </w:r>
      <w:r w:rsidR="00430BCE" w:rsidRPr="00254E22">
        <w:rPr>
          <w:rFonts w:ascii="Times New Roman" w:hAnsi="Times New Roman" w:cs="Times New Roman"/>
        </w:rPr>
        <w:t xml:space="preserve">the remains </w:t>
      </w:r>
      <w:r w:rsidR="000B4096" w:rsidRPr="00254E22">
        <w:rPr>
          <w:rFonts w:ascii="Times New Roman" w:hAnsi="Times New Roman" w:cs="Times New Roman"/>
        </w:rPr>
        <w:t>have</w:t>
      </w:r>
      <w:r w:rsidR="00430BCE" w:rsidRPr="00254E22">
        <w:rPr>
          <w:rFonts w:ascii="Times New Roman" w:hAnsi="Times New Roman" w:cs="Times New Roman"/>
        </w:rPr>
        <w:t xml:space="preserve"> comparatively more opulent grave goods than any others found at the Wetwang site</w:t>
      </w:r>
      <w:r w:rsidR="00430BCE" w:rsidRPr="00254E22">
        <w:rPr>
          <w:rStyle w:val="FootnoteReference"/>
          <w:rFonts w:ascii="Times New Roman" w:hAnsi="Times New Roman" w:cs="Times New Roman"/>
        </w:rPr>
        <w:footnoteReference w:id="19"/>
      </w:r>
      <w:r w:rsidR="000B4096" w:rsidRPr="00254E22">
        <w:rPr>
          <w:rFonts w:ascii="Times New Roman" w:hAnsi="Times New Roman" w:cs="Times New Roman"/>
        </w:rPr>
        <w:t>, there is no hard evidence that this is the body of a priestess, let alone a woman</w:t>
      </w:r>
      <w:r w:rsidR="00430BCE" w:rsidRPr="00254E22">
        <w:rPr>
          <w:rFonts w:ascii="Times New Roman" w:hAnsi="Times New Roman" w:cs="Times New Roman"/>
        </w:rPr>
        <w:t>.</w:t>
      </w:r>
      <w:r w:rsidR="000B4096" w:rsidRPr="00254E22">
        <w:rPr>
          <w:rFonts w:ascii="Times New Roman" w:hAnsi="Times New Roman" w:cs="Times New Roman"/>
        </w:rPr>
        <w:t xml:space="preserve"> Historians such as I.M. Stead and John Dent also agree that the second chariot burial is most likely a powerful female that is accompanied by male warriors. However, this view of the grave is limited, as this assumption on the knowledge that the remains were buried with items that are traditionally considered feminine, particularly the mirror, despite the fact that this is no true indicator of gender only of status</w:t>
      </w:r>
      <w:r w:rsidR="000B4096" w:rsidRPr="00254E22">
        <w:rPr>
          <w:rStyle w:val="FootnoteReference"/>
          <w:rFonts w:ascii="Times New Roman" w:hAnsi="Times New Roman" w:cs="Times New Roman"/>
        </w:rPr>
        <w:footnoteReference w:id="20"/>
      </w:r>
      <w:r w:rsidR="000B4096" w:rsidRPr="00254E22">
        <w:rPr>
          <w:rFonts w:ascii="Times New Roman" w:hAnsi="Times New Roman" w:cs="Times New Roman"/>
        </w:rPr>
        <w:t xml:space="preserve">. This criticism also brings into question the labelling of the two surrounding chariot burials. Both </w:t>
      </w:r>
      <w:r w:rsidRPr="00254E22">
        <w:rPr>
          <w:rFonts w:ascii="Times New Roman" w:hAnsi="Times New Roman" w:cs="Times New Roman"/>
        </w:rPr>
        <w:t>Stead</w:t>
      </w:r>
      <w:r w:rsidRPr="00254E22">
        <w:rPr>
          <w:rStyle w:val="FootnoteReference"/>
          <w:rFonts w:ascii="Times New Roman" w:hAnsi="Times New Roman" w:cs="Times New Roman"/>
        </w:rPr>
        <w:footnoteReference w:id="21"/>
      </w:r>
      <w:r w:rsidRPr="00254E22">
        <w:rPr>
          <w:rFonts w:ascii="Times New Roman" w:hAnsi="Times New Roman" w:cs="Times New Roman"/>
        </w:rPr>
        <w:t xml:space="preserve"> and Dent</w:t>
      </w:r>
      <w:r w:rsidRPr="00254E22">
        <w:rPr>
          <w:rStyle w:val="FootnoteReference"/>
          <w:rFonts w:ascii="Times New Roman" w:hAnsi="Times New Roman" w:cs="Times New Roman"/>
        </w:rPr>
        <w:footnoteReference w:id="22"/>
      </w:r>
      <w:r w:rsidRPr="00254E22">
        <w:rPr>
          <w:rFonts w:ascii="Times New Roman" w:hAnsi="Times New Roman" w:cs="Times New Roman"/>
        </w:rPr>
        <w:t xml:space="preserve"> state that </w:t>
      </w:r>
      <w:r w:rsidR="000B4096" w:rsidRPr="00254E22">
        <w:rPr>
          <w:rFonts w:ascii="Times New Roman" w:hAnsi="Times New Roman" w:cs="Times New Roman"/>
        </w:rPr>
        <w:t xml:space="preserve">chariot </w:t>
      </w:r>
      <w:r w:rsidRPr="00254E22">
        <w:rPr>
          <w:rFonts w:ascii="Times New Roman" w:hAnsi="Times New Roman" w:cs="Times New Roman"/>
        </w:rPr>
        <w:t xml:space="preserve">burials one and three are most likely the remains of male warriors. This presumption is born from both the lack of ‘female’ styled artefacts in the graves but also from the fact that </w:t>
      </w:r>
      <w:r w:rsidR="000B4096" w:rsidRPr="00254E22">
        <w:rPr>
          <w:rFonts w:ascii="Times New Roman" w:hAnsi="Times New Roman" w:cs="Times New Roman"/>
        </w:rPr>
        <w:t xml:space="preserve">these, and </w:t>
      </w:r>
      <w:r w:rsidRPr="00254E22">
        <w:rPr>
          <w:rFonts w:ascii="Times New Roman" w:hAnsi="Times New Roman" w:cs="Times New Roman"/>
        </w:rPr>
        <w:t xml:space="preserve">other chariot burials found in the </w:t>
      </w:r>
      <w:r w:rsidRPr="00254E22">
        <w:rPr>
          <w:rFonts w:ascii="Times New Roman" w:hAnsi="Times New Roman" w:cs="Times New Roman"/>
        </w:rPr>
        <w:lastRenderedPageBreak/>
        <w:t>Yorkshire area</w:t>
      </w:r>
      <w:r w:rsidR="000B4096" w:rsidRPr="00254E22">
        <w:rPr>
          <w:rFonts w:ascii="Times New Roman" w:hAnsi="Times New Roman" w:cs="Times New Roman"/>
        </w:rPr>
        <w:t>,</w:t>
      </w:r>
      <w:r w:rsidRPr="00254E22">
        <w:rPr>
          <w:rFonts w:ascii="Times New Roman" w:hAnsi="Times New Roman" w:cs="Times New Roman"/>
        </w:rPr>
        <w:t xml:space="preserve"> featured weapons and armour</w:t>
      </w:r>
      <w:r w:rsidR="00723B57" w:rsidRPr="00254E22">
        <w:rPr>
          <w:rStyle w:val="FootnoteReference"/>
          <w:rFonts w:ascii="Times New Roman" w:hAnsi="Times New Roman" w:cs="Times New Roman"/>
        </w:rPr>
        <w:footnoteReference w:id="23"/>
      </w:r>
      <w:r w:rsidRPr="00254E22">
        <w:rPr>
          <w:rFonts w:ascii="Times New Roman" w:hAnsi="Times New Roman" w:cs="Times New Roman"/>
        </w:rPr>
        <w:t xml:space="preserve">. This argument is supported by Lloyd Laing who states that the appearance of chariot burials in the north of England </w:t>
      </w:r>
      <w:r w:rsidR="000B4096" w:rsidRPr="00254E22">
        <w:rPr>
          <w:rFonts w:ascii="Times New Roman" w:hAnsi="Times New Roman" w:cs="Times New Roman"/>
        </w:rPr>
        <w:t>were examples of successful</w:t>
      </w:r>
      <w:r w:rsidRPr="00254E22">
        <w:rPr>
          <w:rFonts w:ascii="Times New Roman" w:hAnsi="Times New Roman" w:cs="Times New Roman"/>
        </w:rPr>
        <w:t xml:space="preserve"> </w:t>
      </w:r>
      <w:r w:rsidR="00723B57" w:rsidRPr="00254E22">
        <w:rPr>
          <w:rFonts w:ascii="Times New Roman" w:hAnsi="Times New Roman" w:cs="Times New Roman"/>
        </w:rPr>
        <w:t>invading</w:t>
      </w:r>
      <w:r w:rsidRPr="00254E22">
        <w:rPr>
          <w:rFonts w:ascii="Times New Roman" w:hAnsi="Times New Roman" w:cs="Times New Roman"/>
        </w:rPr>
        <w:t xml:space="preserve"> mainland warriors</w:t>
      </w:r>
      <w:r w:rsidR="00723B57" w:rsidRPr="00254E22">
        <w:rPr>
          <w:rStyle w:val="FootnoteReference"/>
          <w:rFonts w:ascii="Times New Roman" w:hAnsi="Times New Roman" w:cs="Times New Roman"/>
        </w:rPr>
        <w:footnoteReference w:id="24"/>
      </w:r>
      <w:r w:rsidRPr="00254E22">
        <w:rPr>
          <w:rFonts w:ascii="Times New Roman" w:hAnsi="Times New Roman" w:cs="Times New Roman"/>
        </w:rPr>
        <w:t>.</w:t>
      </w:r>
      <w:r w:rsidR="00430BCE" w:rsidRPr="00254E22">
        <w:rPr>
          <w:rFonts w:ascii="Times New Roman" w:hAnsi="Times New Roman" w:cs="Times New Roman"/>
        </w:rPr>
        <w:t xml:space="preserve"> However, these historians </w:t>
      </w:r>
      <w:r w:rsidR="000B4096" w:rsidRPr="00254E22">
        <w:rPr>
          <w:rFonts w:ascii="Times New Roman" w:hAnsi="Times New Roman" w:cs="Times New Roman"/>
        </w:rPr>
        <w:t>do not consider the possibility of the grave goods having a ritual purpose or being a status symbol, rather than as a reflection of the buried individual’s life</w:t>
      </w:r>
      <w:r w:rsidR="000B4096" w:rsidRPr="00254E22">
        <w:rPr>
          <w:rStyle w:val="FootnoteReference"/>
          <w:rFonts w:ascii="Times New Roman" w:hAnsi="Times New Roman" w:cs="Times New Roman"/>
        </w:rPr>
        <w:footnoteReference w:id="25"/>
      </w:r>
      <w:r w:rsidR="000B4096" w:rsidRPr="00254E22">
        <w:rPr>
          <w:rFonts w:ascii="Times New Roman" w:hAnsi="Times New Roman" w:cs="Times New Roman"/>
        </w:rPr>
        <w:t>.</w:t>
      </w:r>
    </w:p>
    <w:p w14:paraId="3314D5F0" w14:textId="77777777" w:rsidR="008A0933" w:rsidRPr="00254E22" w:rsidRDefault="008A0933" w:rsidP="0053095A">
      <w:pPr>
        <w:spacing w:line="480" w:lineRule="auto"/>
        <w:rPr>
          <w:rFonts w:ascii="Times New Roman" w:hAnsi="Times New Roman" w:cs="Times New Roman"/>
        </w:rPr>
      </w:pPr>
    </w:p>
    <w:p w14:paraId="4160285C" w14:textId="290131B1" w:rsidR="008A0933" w:rsidRPr="00254E22" w:rsidRDefault="008A0933" w:rsidP="0053095A">
      <w:pPr>
        <w:spacing w:line="480" w:lineRule="auto"/>
        <w:rPr>
          <w:rFonts w:ascii="Times New Roman" w:hAnsi="Times New Roman" w:cs="Times New Roman"/>
        </w:rPr>
      </w:pPr>
      <w:r w:rsidRPr="00254E22">
        <w:rPr>
          <w:rFonts w:ascii="Times New Roman" w:hAnsi="Times New Roman" w:cs="Times New Roman"/>
        </w:rPr>
        <w:t>Overall</w:t>
      </w:r>
      <w:r w:rsidR="00C238B9">
        <w:rPr>
          <w:rFonts w:ascii="Times New Roman" w:hAnsi="Times New Roman" w:cs="Times New Roman"/>
        </w:rPr>
        <w:t>,</w:t>
      </w:r>
      <w:r w:rsidRPr="00254E22">
        <w:rPr>
          <w:rFonts w:ascii="Times New Roman" w:hAnsi="Times New Roman" w:cs="Times New Roman"/>
        </w:rPr>
        <w:t xml:space="preserve"> Wetwang Slack shows how a regular Celtic community differentiated status in multiple funerary practices. The clearest indicators of status were the separation of graves into primary and secondary graves, with the three chariot burials being clearly above and apart from the regular individuals buried at the cemetery. It is always difficult to know for certain exactly why certain individuals gain more status than other</w:t>
      </w:r>
      <w:r w:rsidR="00C238B9">
        <w:rPr>
          <w:rFonts w:ascii="Times New Roman" w:hAnsi="Times New Roman" w:cs="Times New Roman"/>
        </w:rPr>
        <w:t>s</w:t>
      </w:r>
      <w:r w:rsidRPr="00254E22">
        <w:rPr>
          <w:rFonts w:ascii="Times New Roman" w:hAnsi="Times New Roman" w:cs="Times New Roman"/>
        </w:rPr>
        <w:t>, due to so little physical evidence of a communit</w:t>
      </w:r>
      <w:bookmarkStart w:id="0" w:name="_GoBack"/>
      <w:bookmarkEnd w:id="0"/>
      <w:r w:rsidR="00C238B9">
        <w:rPr>
          <w:rFonts w:ascii="Times New Roman" w:hAnsi="Times New Roman" w:cs="Times New Roman"/>
        </w:rPr>
        <w:t>y’</w:t>
      </w:r>
      <w:r w:rsidRPr="00254E22">
        <w:rPr>
          <w:rFonts w:ascii="Times New Roman" w:hAnsi="Times New Roman" w:cs="Times New Roman"/>
        </w:rPr>
        <w:t>s political and societal practices. Whilst it is easy to assume that the primary graves are those of rich nobles or families of the area, it must also be considered that these individuals may well have been less wealthy but highly influential or famous members of the community. It must also be considered that the secondary graves may not have belong to specifically poor and unknown members of the society, they may have just had more humble burials or have not gained the communit</w:t>
      </w:r>
      <w:r w:rsidR="00C238B9">
        <w:rPr>
          <w:rFonts w:ascii="Times New Roman" w:hAnsi="Times New Roman" w:cs="Times New Roman"/>
        </w:rPr>
        <w:t>y’</w:t>
      </w:r>
      <w:r w:rsidRPr="00254E22">
        <w:rPr>
          <w:rFonts w:ascii="Times New Roman" w:hAnsi="Times New Roman" w:cs="Times New Roman"/>
        </w:rPr>
        <w:t>s respect. There is also little discussion from historians discussing why there are only inhumations at this site. Burial alone could imply that all of these individuals must have been somewhat valuable to the community if they were to have a permanent memorial.</w:t>
      </w:r>
    </w:p>
    <w:p w14:paraId="20F938E6" w14:textId="77777777" w:rsidR="00254E22" w:rsidRPr="00254E22" w:rsidRDefault="00254E22" w:rsidP="0053095A">
      <w:pPr>
        <w:spacing w:line="480" w:lineRule="auto"/>
        <w:rPr>
          <w:rFonts w:ascii="Times New Roman" w:hAnsi="Times New Roman" w:cs="Times New Roman"/>
        </w:rPr>
      </w:pPr>
    </w:p>
    <w:p w14:paraId="1408A37A" w14:textId="77777777" w:rsidR="00254E22" w:rsidRPr="00254E22" w:rsidRDefault="00254E22" w:rsidP="0053095A">
      <w:pPr>
        <w:spacing w:line="480" w:lineRule="auto"/>
        <w:rPr>
          <w:rFonts w:ascii="Times New Roman" w:hAnsi="Times New Roman" w:cs="Times New Roman"/>
        </w:rPr>
      </w:pPr>
    </w:p>
    <w:p w14:paraId="2A744395" w14:textId="77777777" w:rsidR="00254E22" w:rsidRPr="00254E22" w:rsidRDefault="00254E22">
      <w:pPr>
        <w:rPr>
          <w:rFonts w:ascii="Times New Roman" w:hAnsi="Times New Roman" w:cs="Times New Roman"/>
        </w:rPr>
      </w:pPr>
      <w:r w:rsidRPr="00254E22">
        <w:rPr>
          <w:rFonts w:ascii="Times New Roman" w:hAnsi="Times New Roman" w:cs="Times New Roman"/>
        </w:rPr>
        <w:br w:type="page"/>
      </w:r>
    </w:p>
    <w:p w14:paraId="495170D0" w14:textId="77777777" w:rsidR="00254E22" w:rsidRPr="00254E22" w:rsidRDefault="00254E22" w:rsidP="00254E22">
      <w:pPr>
        <w:rPr>
          <w:rFonts w:ascii="Times New Roman" w:hAnsi="Times New Roman" w:cs="Times New Roman"/>
        </w:rPr>
      </w:pPr>
      <w:r w:rsidRPr="00254E22">
        <w:rPr>
          <w:rFonts w:ascii="Times New Roman" w:hAnsi="Times New Roman" w:cs="Times New Roman"/>
        </w:rPr>
        <w:lastRenderedPageBreak/>
        <w:t>Wetwang bibliography</w:t>
      </w:r>
    </w:p>
    <w:p w14:paraId="5461B28E" w14:textId="77777777" w:rsidR="00254E22" w:rsidRPr="00254E22" w:rsidRDefault="00254E22" w:rsidP="00254E22">
      <w:pPr>
        <w:rPr>
          <w:rFonts w:ascii="Times New Roman" w:hAnsi="Times New Roman" w:cs="Times New Roman"/>
        </w:rPr>
      </w:pPr>
    </w:p>
    <w:p w14:paraId="430BC701" w14:textId="77777777" w:rsidR="00254E22" w:rsidRPr="00254E22" w:rsidRDefault="00254E22" w:rsidP="00254E22">
      <w:pPr>
        <w:rPr>
          <w:rFonts w:ascii="Times New Roman" w:hAnsi="Times New Roman" w:cs="Times New Roman"/>
        </w:rPr>
      </w:pPr>
      <w:r w:rsidRPr="00254E22">
        <w:rPr>
          <w:rFonts w:ascii="Times New Roman" w:hAnsi="Times New Roman" w:cs="Times New Roman"/>
        </w:rPr>
        <w:t xml:space="preserve">Cunliffe, B. (1991). </w:t>
      </w:r>
      <w:r w:rsidRPr="00254E22">
        <w:rPr>
          <w:rFonts w:ascii="Times New Roman" w:hAnsi="Times New Roman" w:cs="Times New Roman"/>
          <w:i/>
        </w:rPr>
        <w:t>Iron Age communities in Britain</w:t>
      </w:r>
      <w:r w:rsidRPr="00254E22">
        <w:rPr>
          <w:rFonts w:ascii="Times New Roman" w:hAnsi="Times New Roman" w:cs="Times New Roman"/>
        </w:rPr>
        <w:t>. London: Routledge.</w:t>
      </w:r>
    </w:p>
    <w:p w14:paraId="35DE4DE7" w14:textId="77777777" w:rsidR="00254E22" w:rsidRPr="00254E22" w:rsidRDefault="00254E22" w:rsidP="00254E22">
      <w:pPr>
        <w:rPr>
          <w:rFonts w:ascii="Times New Roman" w:hAnsi="Times New Roman" w:cs="Times New Roman"/>
        </w:rPr>
      </w:pPr>
    </w:p>
    <w:p w14:paraId="2C5F56E9" w14:textId="77777777" w:rsidR="00254E22" w:rsidRPr="00254E22" w:rsidRDefault="00254E22" w:rsidP="00254E22">
      <w:pPr>
        <w:rPr>
          <w:rFonts w:ascii="Times New Roman" w:hAnsi="Times New Roman" w:cs="Times New Roman"/>
        </w:rPr>
      </w:pPr>
      <w:r w:rsidRPr="00254E22">
        <w:rPr>
          <w:rFonts w:ascii="Times New Roman" w:hAnsi="Times New Roman" w:cs="Times New Roman"/>
        </w:rPr>
        <w:t>Dent, J. (1985</w:t>
      </w:r>
      <w:r w:rsidRPr="00254E22">
        <w:rPr>
          <w:rFonts w:ascii="Times New Roman" w:hAnsi="Times New Roman" w:cs="Times New Roman"/>
          <w:i/>
        </w:rPr>
        <w:t>). Three cart burials from Wetwang, Yorkshire</w:t>
      </w:r>
      <w:r w:rsidRPr="00254E22">
        <w:rPr>
          <w:rFonts w:ascii="Times New Roman" w:hAnsi="Times New Roman" w:cs="Times New Roman"/>
        </w:rPr>
        <w:t xml:space="preserve">. Antiquity, 59(226), 85-92. </w:t>
      </w:r>
    </w:p>
    <w:p w14:paraId="6095E0C4" w14:textId="77777777" w:rsidR="00254E22" w:rsidRPr="00254E22" w:rsidRDefault="00254E22" w:rsidP="00254E22">
      <w:pPr>
        <w:rPr>
          <w:rFonts w:ascii="Times New Roman" w:hAnsi="Times New Roman" w:cs="Times New Roman"/>
        </w:rPr>
      </w:pPr>
    </w:p>
    <w:p w14:paraId="70DC9AEA" w14:textId="77777777" w:rsidR="00254E22" w:rsidRPr="00254E22" w:rsidRDefault="00254E22" w:rsidP="00254E22">
      <w:pPr>
        <w:rPr>
          <w:rFonts w:ascii="Times New Roman" w:hAnsi="Times New Roman" w:cs="Times New Roman"/>
        </w:rPr>
      </w:pPr>
      <w:r w:rsidRPr="00254E22">
        <w:rPr>
          <w:rFonts w:ascii="Times New Roman" w:hAnsi="Times New Roman" w:cs="Times New Roman"/>
        </w:rPr>
        <w:t xml:space="preserve">Dent. J (1983) </w:t>
      </w:r>
      <w:r w:rsidRPr="00254E22">
        <w:rPr>
          <w:rFonts w:ascii="Times New Roman" w:hAnsi="Times New Roman" w:cs="Times New Roman"/>
          <w:i/>
        </w:rPr>
        <w:t>Wetwang Slack: An Iron Age cemetery on the Yorkshire Wolds</w:t>
      </w:r>
      <w:r w:rsidRPr="00254E22">
        <w:rPr>
          <w:rFonts w:ascii="Times New Roman" w:hAnsi="Times New Roman" w:cs="Times New Roman"/>
        </w:rPr>
        <w:t>. Unpublished PhD thesis, University of Sheffield</w:t>
      </w:r>
    </w:p>
    <w:p w14:paraId="5A2FE96F" w14:textId="77777777" w:rsidR="00254E22" w:rsidRPr="00254E22" w:rsidRDefault="00254E22" w:rsidP="00254E22">
      <w:pPr>
        <w:rPr>
          <w:rFonts w:ascii="Times New Roman" w:hAnsi="Times New Roman" w:cs="Times New Roman"/>
        </w:rPr>
      </w:pPr>
    </w:p>
    <w:p w14:paraId="7B1B2CD9" w14:textId="77777777" w:rsidR="00254E22" w:rsidRPr="00254E22" w:rsidRDefault="00254E22" w:rsidP="00254E22">
      <w:pPr>
        <w:rPr>
          <w:rFonts w:ascii="Times New Roman" w:hAnsi="Times New Roman" w:cs="Times New Roman"/>
        </w:rPr>
      </w:pPr>
      <w:r w:rsidRPr="00254E22">
        <w:rPr>
          <w:rFonts w:ascii="Times New Roman" w:hAnsi="Times New Roman" w:cs="Times New Roman"/>
        </w:rPr>
        <w:t xml:space="preserve">Filip, J. (1977) </w:t>
      </w:r>
      <w:r w:rsidRPr="00254E22">
        <w:rPr>
          <w:rFonts w:ascii="Times New Roman" w:hAnsi="Times New Roman" w:cs="Times New Roman"/>
          <w:i/>
        </w:rPr>
        <w:t>Celtic Civilisation and its Heritage</w:t>
      </w:r>
      <w:r w:rsidRPr="00254E22">
        <w:rPr>
          <w:rFonts w:ascii="Times New Roman" w:hAnsi="Times New Roman" w:cs="Times New Roman"/>
        </w:rPr>
        <w:t>. Northamptonshire: Collet’s Holdings Ltd.</w:t>
      </w:r>
    </w:p>
    <w:p w14:paraId="5C9485C1" w14:textId="77777777" w:rsidR="00254E22" w:rsidRPr="00254E22" w:rsidRDefault="00254E22" w:rsidP="00254E22">
      <w:pPr>
        <w:rPr>
          <w:rFonts w:ascii="Times New Roman" w:hAnsi="Times New Roman" w:cs="Times New Roman"/>
        </w:rPr>
      </w:pPr>
    </w:p>
    <w:p w14:paraId="48DC1FF2" w14:textId="77777777" w:rsidR="00254E22" w:rsidRPr="00136FCA" w:rsidRDefault="00254E22" w:rsidP="00254E22">
      <w:pPr>
        <w:rPr>
          <w:rFonts w:ascii="Times New Roman" w:hAnsi="Times New Roman" w:cs="Times New Roman"/>
        </w:rPr>
      </w:pPr>
      <w:r w:rsidRPr="00136FCA">
        <w:rPr>
          <w:rFonts w:ascii="Times New Roman" w:hAnsi="Times New Roman" w:cs="Times New Roman"/>
        </w:rPr>
        <w:t>Green, M. (1989). </w:t>
      </w:r>
      <w:r w:rsidRPr="00136FCA">
        <w:rPr>
          <w:rFonts w:ascii="Times New Roman" w:hAnsi="Times New Roman" w:cs="Times New Roman"/>
          <w:i/>
          <w:iCs/>
        </w:rPr>
        <w:t>Symbol and image in Celtic religious art</w:t>
      </w:r>
      <w:r w:rsidRPr="00136FCA">
        <w:rPr>
          <w:rFonts w:ascii="Times New Roman" w:hAnsi="Times New Roman" w:cs="Times New Roman"/>
        </w:rPr>
        <w:t>. London: Taylor &amp; Francis e-Library.</w:t>
      </w:r>
    </w:p>
    <w:p w14:paraId="3FC250CB" w14:textId="77777777" w:rsidR="00254E22" w:rsidRPr="00254E22" w:rsidRDefault="00254E22" w:rsidP="00254E22">
      <w:pPr>
        <w:rPr>
          <w:rFonts w:ascii="Times New Roman" w:hAnsi="Times New Roman" w:cs="Times New Roman"/>
        </w:rPr>
      </w:pPr>
    </w:p>
    <w:p w14:paraId="1CA25956" w14:textId="77777777" w:rsidR="00254E22" w:rsidRPr="00254E22" w:rsidRDefault="00254E22" w:rsidP="00254E22">
      <w:pPr>
        <w:rPr>
          <w:rFonts w:ascii="Times New Roman" w:hAnsi="Times New Roman" w:cs="Times New Roman"/>
        </w:rPr>
      </w:pPr>
      <w:r w:rsidRPr="00254E22">
        <w:rPr>
          <w:rFonts w:ascii="Times New Roman" w:hAnsi="Times New Roman" w:cs="Times New Roman"/>
        </w:rPr>
        <w:t>Green, M. (1992). </w:t>
      </w:r>
      <w:r w:rsidRPr="00254E22">
        <w:rPr>
          <w:rFonts w:ascii="Times New Roman" w:hAnsi="Times New Roman" w:cs="Times New Roman"/>
          <w:i/>
          <w:iCs/>
        </w:rPr>
        <w:t>Dictionary of Celtic myth and legend</w:t>
      </w:r>
      <w:r w:rsidRPr="00254E22">
        <w:rPr>
          <w:rFonts w:ascii="Times New Roman" w:hAnsi="Times New Roman" w:cs="Times New Roman"/>
        </w:rPr>
        <w:t>. London: Thames and Hudson.</w:t>
      </w:r>
    </w:p>
    <w:p w14:paraId="1B49E6B3" w14:textId="77777777" w:rsidR="00254E22" w:rsidRPr="00254E22" w:rsidRDefault="00254E22" w:rsidP="00254E22">
      <w:pPr>
        <w:rPr>
          <w:rFonts w:ascii="Times New Roman" w:hAnsi="Times New Roman" w:cs="Times New Roman"/>
        </w:rPr>
      </w:pPr>
    </w:p>
    <w:p w14:paraId="7D242C2D" w14:textId="77777777" w:rsidR="00254E22" w:rsidRPr="00136FCA" w:rsidRDefault="00254E22" w:rsidP="00254E22">
      <w:pPr>
        <w:rPr>
          <w:rFonts w:ascii="Times New Roman" w:hAnsi="Times New Roman" w:cs="Times New Roman"/>
        </w:rPr>
      </w:pPr>
      <w:r w:rsidRPr="00136FCA">
        <w:rPr>
          <w:rFonts w:ascii="Times New Roman" w:hAnsi="Times New Roman" w:cs="Times New Roman"/>
        </w:rPr>
        <w:t>Green, M. (1995). </w:t>
      </w:r>
      <w:r w:rsidRPr="00136FCA">
        <w:rPr>
          <w:rFonts w:ascii="Times New Roman" w:hAnsi="Times New Roman" w:cs="Times New Roman"/>
          <w:i/>
          <w:iCs/>
        </w:rPr>
        <w:t>Celtic goddesses</w:t>
      </w:r>
      <w:r w:rsidRPr="00136FCA">
        <w:rPr>
          <w:rFonts w:ascii="Times New Roman" w:hAnsi="Times New Roman" w:cs="Times New Roman"/>
        </w:rPr>
        <w:t>. London: British Museum.</w:t>
      </w:r>
    </w:p>
    <w:p w14:paraId="6FBFC1AA" w14:textId="77777777" w:rsidR="00254E22" w:rsidRPr="00254E22" w:rsidRDefault="00254E22" w:rsidP="00254E22">
      <w:pPr>
        <w:rPr>
          <w:rFonts w:ascii="Times New Roman" w:hAnsi="Times New Roman" w:cs="Times New Roman"/>
        </w:rPr>
      </w:pPr>
    </w:p>
    <w:p w14:paraId="2A7598C3" w14:textId="77777777" w:rsidR="00254E22" w:rsidRPr="001C5DDC" w:rsidRDefault="00254E22" w:rsidP="00254E22">
      <w:pPr>
        <w:rPr>
          <w:rFonts w:ascii="Times New Roman" w:hAnsi="Times New Roman" w:cs="Times New Roman"/>
        </w:rPr>
      </w:pPr>
      <w:proofErr w:type="spellStart"/>
      <w:r w:rsidRPr="001C5DDC">
        <w:rPr>
          <w:rFonts w:ascii="Times New Roman" w:hAnsi="Times New Roman" w:cs="Times New Roman"/>
        </w:rPr>
        <w:t>Hedeager</w:t>
      </w:r>
      <w:proofErr w:type="spellEnd"/>
      <w:r w:rsidRPr="001C5DDC">
        <w:rPr>
          <w:rFonts w:ascii="Times New Roman" w:hAnsi="Times New Roman" w:cs="Times New Roman"/>
        </w:rPr>
        <w:t>, L. and Hines, J. (1992). </w:t>
      </w:r>
      <w:r w:rsidRPr="001C5DDC">
        <w:rPr>
          <w:rFonts w:ascii="Times New Roman" w:hAnsi="Times New Roman" w:cs="Times New Roman"/>
          <w:i/>
          <w:iCs/>
        </w:rPr>
        <w:t>Iron-age societies</w:t>
      </w:r>
      <w:r w:rsidRPr="001C5DDC">
        <w:rPr>
          <w:rFonts w:ascii="Times New Roman" w:hAnsi="Times New Roman" w:cs="Times New Roman"/>
        </w:rPr>
        <w:t>. Oxford: Blackwell.</w:t>
      </w:r>
    </w:p>
    <w:p w14:paraId="7C722A02" w14:textId="77777777" w:rsidR="00254E22" w:rsidRPr="00254E22" w:rsidRDefault="00254E22" w:rsidP="00254E22">
      <w:pPr>
        <w:rPr>
          <w:rFonts w:ascii="Times New Roman" w:hAnsi="Times New Roman" w:cs="Times New Roman"/>
        </w:rPr>
      </w:pPr>
    </w:p>
    <w:p w14:paraId="42C27F45" w14:textId="77777777" w:rsidR="00254E22" w:rsidRPr="00254E22" w:rsidRDefault="00254E22" w:rsidP="00254E22">
      <w:pPr>
        <w:rPr>
          <w:rFonts w:ascii="Times New Roman" w:hAnsi="Times New Roman" w:cs="Times New Roman"/>
        </w:rPr>
      </w:pPr>
      <w:r w:rsidRPr="00254E22">
        <w:rPr>
          <w:rFonts w:ascii="Times New Roman" w:hAnsi="Times New Roman" w:cs="Times New Roman"/>
        </w:rPr>
        <w:t xml:space="preserve">Jay, M &amp; Montgomery, Janet &amp; </w:t>
      </w:r>
      <w:proofErr w:type="spellStart"/>
      <w:r w:rsidRPr="00254E22">
        <w:rPr>
          <w:rFonts w:ascii="Times New Roman" w:hAnsi="Times New Roman" w:cs="Times New Roman"/>
        </w:rPr>
        <w:t>Nehlich</w:t>
      </w:r>
      <w:proofErr w:type="spellEnd"/>
      <w:r w:rsidRPr="00254E22">
        <w:rPr>
          <w:rFonts w:ascii="Times New Roman" w:hAnsi="Times New Roman" w:cs="Times New Roman"/>
        </w:rPr>
        <w:t xml:space="preserve">, Olaf &amp; Towers, Jacqueline &amp; Evans, Jane. (2013). </w:t>
      </w:r>
      <w:r w:rsidRPr="00254E22">
        <w:rPr>
          <w:rFonts w:ascii="Times New Roman" w:hAnsi="Times New Roman" w:cs="Times New Roman"/>
          <w:i/>
        </w:rPr>
        <w:t>British Iron Age chariot burials of the Arras culture: a multi-isotope approach to investigating mobility levels and subsistence practices</w:t>
      </w:r>
      <w:r w:rsidRPr="00254E22">
        <w:rPr>
          <w:rFonts w:ascii="Times New Roman" w:hAnsi="Times New Roman" w:cs="Times New Roman"/>
        </w:rPr>
        <w:t xml:space="preserve">. World Archaeology. 45. 473-491. </w:t>
      </w:r>
    </w:p>
    <w:p w14:paraId="3A994D50" w14:textId="77777777" w:rsidR="00254E22" w:rsidRPr="00254E22" w:rsidRDefault="00254E22" w:rsidP="00254E22">
      <w:pPr>
        <w:rPr>
          <w:rFonts w:ascii="Times New Roman" w:hAnsi="Times New Roman" w:cs="Times New Roman"/>
        </w:rPr>
      </w:pPr>
    </w:p>
    <w:p w14:paraId="2637C856" w14:textId="77777777" w:rsidR="00254E22" w:rsidRPr="001C5DDC" w:rsidRDefault="00254E22" w:rsidP="00254E22">
      <w:pPr>
        <w:rPr>
          <w:rFonts w:ascii="Times New Roman" w:hAnsi="Times New Roman" w:cs="Times New Roman"/>
        </w:rPr>
      </w:pPr>
      <w:r w:rsidRPr="001C5DDC">
        <w:rPr>
          <w:rFonts w:ascii="Times New Roman" w:hAnsi="Times New Roman" w:cs="Times New Roman"/>
        </w:rPr>
        <w:t>Jones, A. (2007). </w:t>
      </w:r>
      <w:r w:rsidRPr="001C5DDC">
        <w:rPr>
          <w:rFonts w:ascii="Times New Roman" w:hAnsi="Times New Roman" w:cs="Times New Roman"/>
          <w:i/>
          <w:iCs/>
        </w:rPr>
        <w:t>Memory and material culture</w:t>
      </w:r>
      <w:r w:rsidRPr="001C5DDC">
        <w:rPr>
          <w:rFonts w:ascii="Times New Roman" w:hAnsi="Times New Roman" w:cs="Times New Roman"/>
        </w:rPr>
        <w:t>. Cambridge: Cambridge University Press.</w:t>
      </w:r>
    </w:p>
    <w:p w14:paraId="450D4FA7" w14:textId="77777777" w:rsidR="00254E22" w:rsidRPr="00254E22" w:rsidRDefault="00254E22" w:rsidP="00254E22">
      <w:pPr>
        <w:rPr>
          <w:rFonts w:ascii="Times New Roman" w:hAnsi="Times New Roman" w:cs="Times New Roman"/>
        </w:rPr>
      </w:pPr>
    </w:p>
    <w:p w14:paraId="2AB58D4A" w14:textId="77777777" w:rsidR="00254E22" w:rsidRPr="00136FCA" w:rsidRDefault="00254E22" w:rsidP="00254E22">
      <w:pPr>
        <w:rPr>
          <w:rFonts w:ascii="Times New Roman" w:hAnsi="Times New Roman" w:cs="Times New Roman"/>
        </w:rPr>
      </w:pPr>
      <w:r w:rsidRPr="00136FCA">
        <w:rPr>
          <w:rFonts w:ascii="Times New Roman" w:hAnsi="Times New Roman" w:cs="Times New Roman"/>
        </w:rPr>
        <w:t>Laing, L. (1979). </w:t>
      </w:r>
      <w:r w:rsidRPr="00136FCA">
        <w:rPr>
          <w:rFonts w:ascii="Times New Roman" w:hAnsi="Times New Roman" w:cs="Times New Roman"/>
          <w:i/>
          <w:iCs/>
        </w:rPr>
        <w:t>Celtic Britain</w:t>
      </w:r>
      <w:r w:rsidRPr="00136FCA">
        <w:rPr>
          <w:rFonts w:ascii="Times New Roman" w:hAnsi="Times New Roman" w:cs="Times New Roman"/>
        </w:rPr>
        <w:t>. London: Routledge &amp; K. Paul.</w:t>
      </w:r>
    </w:p>
    <w:p w14:paraId="11FA1EA3" w14:textId="77777777" w:rsidR="00254E22" w:rsidRPr="00254E22" w:rsidRDefault="00254E22" w:rsidP="00254E22">
      <w:pPr>
        <w:rPr>
          <w:rFonts w:ascii="Times New Roman" w:hAnsi="Times New Roman" w:cs="Times New Roman"/>
        </w:rPr>
      </w:pPr>
    </w:p>
    <w:p w14:paraId="43760305" w14:textId="77777777" w:rsidR="00254E22" w:rsidRPr="00136FCA" w:rsidRDefault="00254E22" w:rsidP="00254E22">
      <w:pPr>
        <w:rPr>
          <w:rFonts w:ascii="Times New Roman" w:hAnsi="Times New Roman" w:cs="Times New Roman"/>
        </w:rPr>
      </w:pPr>
      <w:r w:rsidRPr="00136FCA">
        <w:rPr>
          <w:rFonts w:ascii="Times New Roman" w:hAnsi="Times New Roman" w:cs="Times New Roman"/>
        </w:rPr>
        <w:t>Laing, L. and Laing, J. (1995). </w:t>
      </w:r>
      <w:r w:rsidRPr="00136FCA">
        <w:rPr>
          <w:rFonts w:ascii="Times New Roman" w:hAnsi="Times New Roman" w:cs="Times New Roman"/>
          <w:i/>
          <w:iCs/>
        </w:rPr>
        <w:t>Celtic Britain and Ireland, Art and society</w:t>
      </w:r>
      <w:r w:rsidRPr="00136FCA">
        <w:rPr>
          <w:rFonts w:ascii="Times New Roman" w:hAnsi="Times New Roman" w:cs="Times New Roman"/>
        </w:rPr>
        <w:t>. London: Hubert Press.</w:t>
      </w:r>
    </w:p>
    <w:p w14:paraId="215EAC50" w14:textId="77777777" w:rsidR="00254E22" w:rsidRPr="00254E22" w:rsidRDefault="00254E22" w:rsidP="00254E22">
      <w:pPr>
        <w:rPr>
          <w:rFonts w:ascii="Times New Roman" w:hAnsi="Times New Roman" w:cs="Times New Roman"/>
        </w:rPr>
      </w:pPr>
    </w:p>
    <w:p w14:paraId="48053634" w14:textId="77777777" w:rsidR="00254E22" w:rsidRPr="00254E22" w:rsidRDefault="00254E22" w:rsidP="00254E22">
      <w:pPr>
        <w:rPr>
          <w:rFonts w:ascii="Times New Roman" w:hAnsi="Times New Roman" w:cs="Times New Roman"/>
        </w:rPr>
      </w:pPr>
      <w:r w:rsidRPr="00254E22">
        <w:rPr>
          <w:rFonts w:ascii="Times New Roman" w:hAnsi="Times New Roman" w:cs="Times New Roman"/>
        </w:rPr>
        <w:t xml:space="preserve">Stead, I.M. (1991.) </w:t>
      </w:r>
      <w:r w:rsidRPr="00254E22">
        <w:rPr>
          <w:rFonts w:ascii="Times New Roman" w:hAnsi="Times New Roman" w:cs="Times New Roman"/>
          <w:i/>
        </w:rPr>
        <w:t>Iron Age Cemeteries in East Yorkshire</w:t>
      </w:r>
      <w:r w:rsidRPr="00254E22">
        <w:rPr>
          <w:rFonts w:ascii="Times New Roman" w:hAnsi="Times New Roman" w:cs="Times New Roman"/>
        </w:rPr>
        <w:t>, English Heritage Archaeological Report No. 2, London: English Heritage</w:t>
      </w:r>
    </w:p>
    <w:p w14:paraId="0AFD4B20" w14:textId="77777777" w:rsidR="00254E22" w:rsidRPr="00254E22" w:rsidRDefault="00254E22" w:rsidP="00254E22">
      <w:pPr>
        <w:rPr>
          <w:rFonts w:ascii="Times New Roman" w:hAnsi="Times New Roman" w:cs="Times New Roman"/>
        </w:rPr>
      </w:pPr>
    </w:p>
    <w:p w14:paraId="3237C31F" w14:textId="77777777" w:rsidR="00254E22" w:rsidRPr="00254E22" w:rsidRDefault="00254E22" w:rsidP="00254E22">
      <w:pPr>
        <w:rPr>
          <w:rFonts w:ascii="Times New Roman" w:hAnsi="Times New Roman" w:cs="Times New Roman"/>
        </w:rPr>
      </w:pPr>
      <w:r w:rsidRPr="00254E22">
        <w:rPr>
          <w:rFonts w:ascii="Times New Roman" w:hAnsi="Times New Roman" w:cs="Times New Roman"/>
        </w:rPr>
        <w:t xml:space="preserve">Yorkshire Archaeological &amp; Historical Society (2017) </w:t>
      </w:r>
      <w:r w:rsidRPr="00254E22">
        <w:rPr>
          <w:rFonts w:ascii="Times New Roman" w:hAnsi="Times New Roman" w:cs="Times New Roman"/>
          <w:i/>
        </w:rPr>
        <w:t>Iron Age Yorkshire – Pocklington Iron Age cemetery.</w:t>
      </w:r>
      <w:r w:rsidRPr="00254E22">
        <w:rPr>
          <w:rFonts w:ascii="Times New Roman" w:hAnsi="Times New Roman" w:cs="Times New Roman"/>
        </w:rPr>
        <w:t xml:space="preserve"> Available at: </w:t>
      </w:r>
      <w:hyperlink r:id="rId8" w:history="1">
        <w:r w:rsidRPr="00254E22">
          <w:rPr>
            <w:rStyle w:val="Hyperlink"/>
            <w:rFonts w:ascii="Times New Roman" w:hAnsi="Times New Roman" w:cs="Times New Roman"/>
          </w:rPr>
          <w:t>https://www.yas.org.uk/Sections/Prehistoric-Yorkshire/Iron-Age/Iron-Age-Yorkshire-Pocklington-Iron-Age-cemetery</w:t>
        </w:r>
      </w:hyperlink>
    </w:p>
    <w:p w14:paraId="20455474" w14:textId="77777777" w:rsidR="00254E22" w:rsidRDefault="00254E22" w:rsidP="0053095A">
      <w:pPr>
        <w:spacing w:line="480" w:lineRule="auto"/>
      </w:pPr>
    </w:p>
    <w:p w14:paraId="1EC5B7F7" w14:textId="77777777" w:rsidR="006A6B3A" w:rsidRDefault="006A6B3A" w:rsidP="006A6B3A"/>
    <w:sectPr w:rsidR="006A6B3A" w:rsidSect="00C02FF2">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0EBAFF" w14:textId="77777777" w:rsidR="00352464" w:rsidRDefault="00352464" w:rsidP="006A6B3A">
      <w:r>
        <w:separator/>
      </w:r>
    </w:p>
  </w:endnote>
  <w:endnote w:type="continuationSeparator" w:id="0">
    <w:p w14:paraId="6C4C4D44" w14:textId="77777777" w:rsidR="00352464" w:rsidRDefault="00352464" w:rsidP="006A6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DDC86A" w14:textId="77777777" w:rsidR="00352464" w:rsidRDefault="00352464" w:rsidP="006A6B3A">
      <w:r>
        <w:separator/>
      </w:r>
    </w:p>
  </w:footnote>
  <w:footnote w:type="continuationSeparator" w:id="0">
    <w:p w14:paraId="748D4F66" w14:textId="77777777" w:rsidR="00352464" w:rsidRDefault="00352464" w:rsidP="006A6B3A">
      <w:r>
        <w:continuationSeparator/>
      </w:r>
    </w:p>
  </w:footnote>
  <w:footnote w:id="1">
    <w:p w14:paraId="5087E11E" w14:textId="77777777" w:rsidR="000B4096" w:rsidRDefault="000B4096" w:rsidP="000B4096">
      <w:pPr>
        <w:pStyle w:val="FootnoteText"/>
      </w:pPr>
      <w:r>
        <w:rPr>
          <w:rStyle w:val="FootnoteReference"/>
        </w:rPr>
        <w:footnoteRef/>
      </w:r>
      <w:r>
        <w:t xml:space="preserve"> Dent 1984: </w:t>
      </w:r>
      <w:r w:rsidR="00780B39">
        <w:t>95</w:t>
      </w:r>
      <w:r>
        <w:t xml:space="preserve"> - The use of ‘primary’ and ‘secondary’ graves is a term adopted from Dent’s description of the </w:t>
      </w:r>
      <w:r w:rsidR="00780B39">
        <w:t>graves</w:t>
      </w:r>
      <w:r>
        <w:t>.</w:t>
      </w:r>
    </w:p>
  </w:footnote>
  <w:footnote w:id="2">
    <w:p w14:paraId="07D428EC" w14:textId="77777777" w:rsidR="007F110E" w:rsidRDefault="007F110E">
      <w:pPr>
        <w:pStyle w:val="FootnoteText"/>
      </w:pPr>
      <w:r>
        <w:rPr>
          <w:rStyle w:val="FootnoteReference"/>
        </w:rPr>
        <w:footnoteRef/>
      </w:r>
      <w:r>
        <w:t xml:space="preserve"> Jones 2007: 105</w:t>
      </w:r>
    </w:p>
  </w:footnote>
  <w:footnote w:id="3">
    <w:p w14:paraId="7132A439" w14:textId="77777777" w:rsidR="00930ED5" w:rsidRDefault="00930ED5">
      <w:pPr>
        <w:pStyle w:val="FootnoteText"/>
      </w:pPr>
      <w:r>
        <w:rPr>
          <w:rStyle w:val="FootnoteReference"/>
        </w:rPr>
        <w:footnoteRef/>
      </w:r>
      <w:r>
        <w:t xml:space="preserve"> </w:t>
      </w:r>
      <w:r w:rsidR="00780B39">
        <w:t>D</w:t>
      </w:r>
      <w:r>
        <w:t>ent</w:t>
      </w:r>
      <w:r w:rsidR="00780B39">
        <w:t xml:space="preserve"> 1983: 98</w:t>
      </w:r>
    </w:p>
  </w:footnote>
  <w:footnote w:id="4">
    <w:p w14:paraId="3ED30B47" w14:textId="77777777" w:rsidR="007F110E" w:rsidRDefault="007F110E">
      <w:pPr>
        <w:pStyle w:val="FootnoteText"/>
      </w:pPr>
      <w:r>
        <w:rPr>
          <w:rStyle w:val="FootnoteReference"/>
        </w:rPr>
        <w:footnoteRef/>
      </w:r>
      <w:r>
        <w:t xml:space="preserve"> </w:t>
      </w:r>
      <w:proofErr w:type="spellStart"/>
      <w:r w:rsidR="008A0933">
        <w:t>Hedeager</w:t>
      </w:r>
      <w:proofErr w:type="spellEnd"/>
      <w:r w:rsidR="008A0933">
        <w:t xml:space="preserve"> 1992:148</w:t>
      </w:r>
    </w:p>
  </w:footnote>
  <w:footnote w:id="5">
    <w:p w14:paraId="41648446" w14:textId="77777777" w:rsidR="007F110E" w:rsidRDefault="007F110E">
      <w:pPr>
        <w:pStyle w:val="FootnoteText"/>
      </w:pPr>
      <w:r>
        <w:rPr>
          <w:rStyle w:val="FootnoteReference"/>
        </w:rPr>
        <w:footnoteRef/>
      </w:r>
      <w:r>
        <w:t xml:space="preserve"> </w:t>
      </w:r>
      <w:r w:rsidR="008A0933">
        <w:t>Dent 1983: 24</w:t>
      </w:r>
    </w:p>
  </w:footnote>
  <w:footnote w:id="6">
    <w:p w14:paraId="48335755" w14:textId="77777777" w:rsidR="00092274" w:rsidRDefault="00092274">
      <w:pPr>
        <w:pStyle w:val="FootnoteText"/>
      </w:pPr>
      <w:r>
        <w:rPr>
          <w:rStyle w:val="FootnoteReference"/>
        </w:rPr>
        <w:footnoteRef/>
      </w:r>
      <w:r>
        <w:t xml:space="preserve"> Dent</w:t>
      </w:r>
      <w:r w:rsidR="008C24EE">
        <w:t xml:space="preserve"> </w:t>
      </w:r>
      <w:r w:rsidR="008A0933">
        <w:t>1983:</w:t>
      </w:r>
      <w:r w:rsidR="008C24EE">
        <w:t>98</w:t>
      </w:r>
    </w:p>
  </w:footnote>
  <w:footnote w:id="7">
    <w:p w14:paraId="74AA32EA" w14:textId="77777777" w:rsidR="008A0933" w:rsidRDefault="008A0933">
      <w:pPr>
        <w:pStyle w:val="FootnoteText"/>
      </w:pPr>
      <w:r>
        <w:rPr>
          <w:rStyle w:val="FootnoteReference"/>
        </w:rPr>
        <w:footnoteRef/>
      </w:r>
      <w:r>
        <w:t xml:space="preserve"> Dent </w:t>
      </w:r>
      <w:r w:rsidR="006E275B">
        <w:t xml:space="preserve">1983: </w:t>
      </w:r>
      <w:r>
        <w:t>23</w:t>
      </w:r>
    </w:p>
  </w:footnote>
  <w:footnote w:id="8">
    <w:p w14:paraId="40702F72" w14:textId="77777777" w:rsidR="008A0933" w:rsidRDefault="008A0933">
      <w:pPr>
        <w:pStyle w:val="FootnoteText"/>
      </w:pPr>
      <w:r>
        <w:rPr>
          <w:rStyle w:val="FootnoteReference"/>
        </w:rPr>
        <w:footnoteRef/>
      </w:r>
      <w:r>
        <w:t xml:space="preserve"> Jones 2007: 105</w:t>
      </w:r>
    </w:p>
  </w:footnote>
  <w:footnote w:id="9">
    <w:p w14:paraId="2AD90CBF" w14:textId="77777777" w:rsidR="00780B39" w:rsidRDefault="00780B39">
      <w:pPr>
        <w:pStyle w:val="FootnoteText"/>
      </w:pPr>
      <w:r>
        <w:rPr>
          <w:rStyle w:val="FootnoteReference"/>
        </w:rPr>
        <w:footnoteRef/>
      </w:r>
      <w:r>
        <w:t xml:space="preserve"> Dent 1983: 26 – only 96 graves had recorded grave goods.</w:t>
      </w:r>
    </w:p>
  </w:footnote>
  <w:footnote w:id="10">
    <w:p w14:paraId="63CAB72D" w14:textId="77777777" w:rsidR="00780B39" w:rsidRDefault="00780B39" w:rsidP="00780B39">
      <w:pPr>
        <w:pStyle w:val="FootnoteText"/>
      </w:pPr>
      <w:r>
        <w:rPr>
          <w:rStyle w:val="FootnoteReference"/>
        </w:rPr>
        <w:footnoteRef/>
      </w:r>
      <w:r>
        <w:t xml:space="preserve"> </w:t>
      </w:r>
      <w:proofErr w:type="spellStart"/>
      <w:r w:rsidR="006D7888">
        <w:t>Hedeager</w:t>
      </w:r>
      <w:proofErr w:type="spellEnd"/>
      <w:r w:rsidR="006D7888">
        <w:t xml:space="preserve"> 1992: </w:t>
      </w:r>
      <w:r>
        <w:t xml:space="preserve">139 –list </w:t>
      </w:r>
      <w:r w:rsidR="006D7888">
        <w:t xml:space="preserve">of </w:t>
      </w:r>
      <w:r>
        <w:t>the ways in which a grave would be give or lack special treatment.</w:t>
      </w:r>
    </w:p>
  </w:footnote>
  <w:footnote w:id="11">
    <w:p w14:paraId="72E23799" w14:textId="77777777" w:rsidR="00780B39" w:rsidRDefault="00780B39">
      <w:pPr>
        <w:pStyle w:val="FootnoteText"/>
      </w:pPr>
      <w:r>
        <w:rPr>
          <w:rStyle w:val="FootnoteReference"/>
        </w:rPr>
        <w:footnoteRef/>
      </w:r>
      <w:r>
        <w:t xml:space="preserve"> Dent 1983: 99</w:t>
      </w:r>
    </w:p>
  </w:footnote>
  <w:footnote w:id="12">
    <w:p w14:paraId="6B7BEB41" w14:textId="77777777" w:rsidR="008A0933" w:rsidRDefault="008A0933">
      <w:pPr>
        <w:pStyle w:val="FootnoteText"/>
      </w:pPr>
      <w:r>
        <w:rPr>
          <w:rStyle w:val="FootnoteReference"/>
        </w:rPr>
        <w:footnoteRef/>
      </w:r>
      <w:r>
        <w:t xml:space="preserve"> Dent 1983: 102</w:t>
      </w:r>
    </w:p>
  </w:footnote>
  <w:footnote w:id="13">
    <w:p w14:paraId="0BFD146D" w14:textId="77777777" w:rsidR="008A0933" w:rsidRDefault="008A0933">
      <w:pPr>
        <w:pStyle w:val="FootnoteText"/>
      </w:pPr>
      <w:r>
        <w:rPr>
          <w:rStyle w:val="FootnoteReference"/>
        </w:rPr>
        <w:footnoteRef/>
      </w:r>
      <w:r>
        <w:t xml:space="preserve"> Cunliffe 1991:193 </w:t>
      </w:r>
    </w:p>
  </w:footnote>
  <w:footnote w:id="14">
    <w:p w14:paraId="07055E29" w14:textId="77777777" w:rsidR="008A0933" w:rsidRDefault="008A0933">
      <w:pPr>
        <w:pStyle w:val="FootnoteText"/>
      </w:pPr>
      <w:r>
        <w:rPr>
          <w:rStyle w:val="FootnoteReference"/>
        </w:rPr>
        <w:footnoteRef/>
      </w:r>
      <w:r>
        <w:t xml:space="preserve"> Dent 1983: 29, 71, 100</w:t>
      </w:r>
    </w:p>
  </w:footnote>
  <w:footnote w:id="15">
    <w:p w14:paraId="73FA0616" w14:textId="77777777" w:rsidR="006A6B3A" w:rsidRPr="006E275B" w:rsidRDefault="006A6B3A">
      <w:pPr>
        <w:pStyle w:val="FootnoteText"/>
        <w:rPr>
          <w:rFonts w:cstheme="minorHAnsi"/>
        </w:rPr>
      </w:pPr>
      <w:r w:rsidRPr="006E275B">
        <w:rPr>
          <w:rStyle w:val="FootnoteReference"/>
          <w:rFonts w:cstheme="minorHAnsi"/>
        </w:rPr>
        <w:footnoteRef/>
      </w:r>
      <w:r w:rsidRPr="006E275B">
        <w:rPr>
          <w:rFonts w:cstheme="minorHAnsi"/>
        </w:rPr>
        <w:t xml:space="preserve"> Montgomery &amp; </w:t>
      </w:r>
      <w:proofErr w:type="spellStart"/>
      <w:r w:rsidRPr="006E275B">
        <w:rPr>
          <w:rFonts w:cstheme="minorHAnsi"/>
        </w:rPr>
        <w:t>Nehlich</w:t>
      </w:r>
      <w:proofErr w:type="spellEnd"/>
      <w:r w:rsidR="006E275B" w:rsidRPr="006E275B">
        <w:rPr>
          <w:rFonts w:cstheme="minorHAnsi"/>
        </w:rPr>
        <w:t xml:space="preserve"> 2013</w:t>
      </w:r>
      <w:r w:rsidR="006E275B">
        <w:rPr>
          <w:rFonts w:cstheme="minorHAnsi"/>
        </w:rPr>
        <w:t>:Abstract</w:t>
      </w:r>
    </w:p>
  </w:footnote>
  <w:footnote w:id="16">
    <w:p w14:paraId="59C866DD" w14:textId="77777777" w:rsidR="00723B57" w:rsidRPr="006E275B" w:rsidRDefault="00723B57">
      <w:pPr>
        <w:pStyle w:val="FootnoteText"/>
        <w:rPr>
          <w:rFonts w:cstheme="minorHAnsi"/>
        </w:rPr>
      </w:pPr>
      <w:r w:rsidRPr="006E275B">
        <w:rPr>
          <w:rStyle w:val="FootnoteReference"/>
          <w:rFonts w:cstheme="minorHAnsi"/>
        </w:rPr>
        <w:footnoteRef/>
      </w:r>
      <w:r w:rsidRPr="006E275B">
        <w:rPr>
          <w:rFonts w:cstheme="minorHAnsi"/>
        </w:rPr>
        <w:t xml:space="preserve"> Green 1995: 18</w:t>
      </w:r>
    </w:p>
  </w:footnote>
  <w:footnote w:id="17">
    <w:p w14:paraId="781F0346" w14:textId="77777777" w:rsidR="000B4096" w:rsidRPr="006E275B" w:rsidRDefault="000B4096">
      <w:pPr>
        <w:pStyle w:val="FootnoteText"/>
        <w:rPr>
          <w:rFonts w:cstheme="minorHAnsi"/>
        </w:rPr>
      </w:pPr>
      <w:r w:rsidRPr="006E275B">
        <w:rPr>
          <w:rStyle w:val="FootnoteReference"/>
          <w:rFonts w:cstheme="minorHAnsi"/>
        </w:rPr>
        <w:footnoteRef/>
      </w:r>
      <w:r w:rsidRPr="006E275B">
        <w:rPr>
          <w:rFonts w:cstheme="minorHAnsi"/>
        </w:rPr>
        <w:t xml:space="preserve"> Green 1995: 147</w:t>
      </w:r>
    </w:p>
  </w:footnote>
  <w:footnote w:id="18">
    <w:p w14:paraId="58CD9036" w14:textId="77777777" w:rsidR="00430BCE" w:rsidRPr="006E275B" w:rsidRDefault="00430BCE">
      <w:pPr>
        <w:pStyle w:val="FootnoteText"/>
        <w:rPr>
          <w:rFonts w:cstheme="minorHAnsi"/>
        </w:rPr>
      </w:pPr>
      <w:r w:rsidRPr="006E275B">
        <w:rPr>
          <w:rStyle w:val="FootnoteReference"/>
          <w:rFonts w:cstheme="minorHAnsi"/>
        </w:rPr>
        <w:footnoteRef/>
      </w:r>
      <w:r w:rsidRPr="006E275B">
        <w:rPr>
          <w:rFonts w:cstheme="minorHAnsi"/>
        </w:rPr>
        <w:t xml:space="preserve"> Green 1995:18 </w:t>
      </w:r>
    </w:p>
  </w:footnote>
  <w:footnote w:id="19">
    <w:p w14:paraId="61224427" w14:textId="77777777" w:rsidR="00430BCE" w:rsidRPr="006E275B" w:rsidRDefault="00430BCE">
      <w:pPr>
        <w:pStyle w:val="FootnoteText"/>
        <w:rPr>
          <w:rFonts w:cstheme="minorHAnsi"/>
        </w:rPr>
      </w:pPr>
      <w:r w:rsidRPr="006E275B">
        <w:rPr>
          <w:rStyle w:val="FootnoteReference"/>
          <w:rFonts w:cstheme="minorHAnsi"/>
        </w:rPr>
        <w:footnoteRef/>
      </w:r>
      <w:r w:rsidRPr="006E275B">
        <w:rPr>
          <w:rFonts w:cstheme="minorHAnsi"/>
        </w:rPr>
        <w:t xml:space="preserve"> Dent 1984: 26 – in reference to the fact only 21.5% of graves had goods</w:t>
      </w:r>
    </w:p>
  </w:footnote>
  <w:footnote w:id="20">
    <w:p w14:paraId="7A9D7284" w14:textId="77777777" w:rsidR="000B4096" w:rsidRPr="006E275B" w:rsidRDefault="000B4096" w:rsidP="000B4096">
      <w:pPr>
        <w:pStyle w:val="FootnoteText"/>
        <w:rPr>
          <w:rFonts w:cstheme="minorHAnsi"/>
        </w:rPr>
      </w:pPr>
      <w:r w:rsidRPr="006E275B">
        <w:rPr>
          <w:rStyle w:val="FootnoteReference"/>
          <w:rFonts w:cstheme="minorHAnsi"/>
        </w:rPr>
        <w:footnoteRef/>
      </w:r>
      <w:r w:rsidRPr="006E275B">
        <w:rPr>
          <w:rFonts w:cstheme="minorHAnsi"/>
        </w:rPr>
        <w:t xml:space="preserve"> Laing 1988:50</w:t>
      </w:r>
    </w:p>
  </w:footnote>
  <w:footnote w:id="21">
    <w:p w14:paraId="053F36CE" w14:textId="77777777" w:rsidR="006A6B3A" w:rsidRPr="006E275B" w:rsidRDefault="006A6B3A">
      <w:pPr>
        <w:pStyle w:val="FootnoteText"/>
        <w:rPr>
          <w:rFonts w:cstheme="minorHAnsi"/>
        </w:rPr>
      </w:pPr>
      <w:r w:rsidRPr="006E275B">
        <w:rPr>
          <w:rStyle w:val="FootnoteReference"/>
          <w:rFonts w:cstheme="minorHAnsi"/>
        </w:rPr>
        <w:footnoteRef/>
      </w:r>
      <w:r w:rsidRPr="006E275B">
        <w:rPr>
          <w:rFonts w:cstheme="minorHAnsi"/>
        </w:rPr>
        <w:t xml:space="preserve"> </w:t>
      </w:r>
      <w:r w:rsidR="00430BCE" w:rsidRPr="006E275B">
        <w:rPr>
          <w:rFonts w:cstheme="minorHAnsi"/>
        </w:rPr>
        <w:t>I M Stead 1991: 70</w:t>
      </w:r>
    </w:p>
  </w:footnote>
  <w:footnote w:id="22">
    <w:p w14:paraId="65263242" w14:textId="77777777" w:rsidR="006A6B3A" w:rsidRDefault="006A6B3A">
      <w:pPr>
        <w:pStyle w:val="FootnoteText"/>
      </w:pPr>
      <w:r w:rsidRPr="006E275B">
        <w:rPr>
          <w:rStyle w:val="FootnoteReference"/>
          <w:rFonts w:cstheme="minorHAnsi"/>
        </w:rPr>
        <w:footnoteRef/>
      </w:r>
      <w:r w:rsidRPr="006E275B">
        <w:rPr>
          <w:rFonts w:cstheme="minorHAnsi"/>
        </w:rPr>
        <w:t xml:space="preserve"> </w:t>
      </w:r>
      <w:r w:rsidR="00430BCE" w:rsidRPr="006E275B">
        <w:rPr>
          <w:rFonts w:cstheme="minorHAnsi"/>
        </w:rPr>
        <w:t>Dent 1985: 85-92</w:t>
      </w:r>
    </w:p>
  </w:footnote>
  <w:footnote w:id="23">
    <w:p w14:paraId="0562FB60" w14:textId="77777777" w:rsidR="00723B57" w:rsidRDefault="00723B57">
      <w:pPr>
        <w:pStyle w:val="FootnoteText"/>
      </w:pPr>
      <w:r>
        <w:rPr>
          <w:rStyle w:val="FootnoteReference"/>
        </w:rPr>
        <w:footnoteRef/>
      </w:r>
      <w:r w:rsidRPr="00723B57">
        <w:t>Yorkshire Archaeological &amp; Historical Society</w:t>
      </w:r>
      <w:r>
        <w:t xml:space="preserve"> 2017: These sites include, but are not limited to Pocklington and Danes Graves</w:t>
      </w:r>
    </w:p>
  </w:footnote>
  <w:footnote w:id="24">
    <w:p w14:paraId="41524CD8" w14:textId="77777777" w:rsidR="00723B57" w:rsidRDefault="00723B57">
      <w:pPr>
        <w:pStyle w:val="FootnoteText"/>
      </w:pPr>
      <w:r>
        <w:rPr>
          <w:rStyle w:val="FootnoteReference"/>
        </w:rPr>
        <w:footnoteRef/>
      </w:r>
      <w:r>
        <w:t xml:space="preserve"> Laing </w:t>
      </w:r>
      <w:r w:rsidR="00430BCE">
        <w:t xml:space="preserve">1979: </w:t>
      </w:r>
      <w:r>
        <w:t>5</w:t>
      </w:r>
    </w:p>
  </w:footnote>
  <w:footnote w:id="25">
    <w:p w14:paraId="0D5AD270" w14:textId="77777777" w:rsidR="000B4096" w:rsidRDefault="000B4096">
      <w:pPr>
        <w:pStyle w:val="FootnoteText"/>
      </w:pPr>
      <w:r>
        <w:rPr>
          <w:rStyle w:val="FootnoteReference"/>
        </w:rPr>
        <w:footnoteRef/>
      </w:r>
      <w:r>
        <w:t xml:space="preserve"> Cunliffe 1991: 488 -</w:t>
      </w:r>
      <w:r w:rsidR="008A0933">
        <w:t>Cunliffe</w:t>
      </w:r>
      <w:r>
        <w:t xml:space="preserve"> states that weapons could have been collected by members of the aristocracy.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D4A35E" w14:textId="77777777" w:rsidR="000B4096" w:rsidRDefault="000B4096" w:rsidP="00254E22">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E49C3"/>
    <w:multiLevelType w:val="hybridMultilevel"/>
    <w:tmpl w:val="F3AA8BA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B3A"/>
    <w:rsid w:val="00092274"/>
    <w:rsid w:val="000B4096"/>
    <w:rsid w:val="00111E26"/>
    <w:rsid w:val="00236320"/>
    <w:rsid w:val="00254E22"/>
    <w:rsid w:val="00352464"/>
    <w:rsid w:val="00430BCE"/>
    <w:rsid w:val="0053095A"/>
    <w:rsid w:val="006A6B3A"/>
    <w:rsid w:val="006D7888"/>
    <w:rsid w:val="006E275B"/>
    <w:rsid w:val="006F1D03"/>
    <w:rsid w:val="0070051E"/>
    <w:rsid w:val="00723B57"/>
    <w:rsid w:val="00780B39"/>
    <w:rsid w:val="007A3255"/>
    <w:rsid w:val="007F110E"/>
    <w:rsid w:val="008A0933"/>
    <w:rsid w:val="008C24EE"/>
    <w:rsid w:val="008D28BB"/>
    <w:rsid w:val="00930ED5"/>
    <w:rsid w:val="00B04804"/>
    <w:rsid w:val="00C02FF2"/>
    <w:rsid w:val="00C16F0F"/>
    <w:rsid w:val="00C23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A4412"/>
  <w14:defaultImageDpi w14:val="32767"/>
  <w15:chartTrackingRefBased/>
  <w15:docId w15:val="{BF9B0135-2E71-4640-89C7-FDBE4EA71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6B3A"/>
    <w:pPr>
      <w:ind w:left="720"/>
      <w:contextualSpacing/>
    </w:pPr>
  </w:style>
  <w:style w:type="paragraph" w:styleId="FootnoteText">
    <w:name w:val="footnote text"/>
    <w:basedOn w:val="Normal"/>
    <w:link w:val="FootnoteTextChar"/>
    <w:uiPriority w:val="99"/>
    <w:semiHidden/>
    <w:unhideWhenUsed/>
    <w:rsid w:val="006A6B3A"/>
    <w:rPr>
      <w:sz w:val="20"/>
      <w:szCs w:val="20"/>
    </w:rPr>
  </w:style>
  <w:style w:type="character" w:customStyle="1" w:styleId="FootnoteTextChar">
    <w:name w:val="Footnote Text Char"/>
    <w:basedOn w:val="DefaultParagraphFont"/>
    <w:link w:val="FootnoteText"/>
    <w:uiPriority w:val="99"/>
    <w:semiHidden/>
    <w:rsid w:val="006A6B3A"/>
    <w:rPr>
      <w:sz w:val="20"/>
      <w:szCs w:val="20"/>
    </w:rPr>
  </w:style>
  <w:style w:type="character" w:styleId="FootnoteReference">
    <w:name w:val="footnote reference"/>
    <w:basedOn w:val="DefaultParagraphFont"/>
    <w:uiPriority w:val="99"/>
    <w:semiHidden/>
    <w:unhideWhenUsed/>
    <w:rsid w:val="006A6B3A"/>
    <w:rPr>
      <w:vertAlign w:val="superscript"/>
    </w:rPr>
  </w:style>
  <w:style w:type="paragraph" w:styleId="Header">
    <w:name w:val="header"/>
    <w:basedOn w:val="Normal"/>
    <w:link w:val="HeaderChar"/>
    <w:uiPriority w:val="99"/>
    <w:unhideWhenUsed/>
    <w:rsid w:val="000B4096"/>
    <w:pPr>
      <w:tabs>
        <w:tab w:val="center" w:pos="4513"/>
        <w:tab w:val="right" w:pos="9026"/>
      </w:tabs>
    </w:pPr>
  </w:style>
  <w:style w:type="character" w:customStyle="1" w:styleId="HeaderChar">
    <w:name w:val="Header Char"/>
    <w:basedOn w:val="DefaultParagraphFont"/>
    <w:link w:val="Header"/>
    <w:uiPriority w:val="99"/>
    <w:rsid w:val="000B4096"/>
  </w:style>
  <w:style w:type="paragraph" w:styleId="Footer">
    <w:name w:val="footer"/>
    <w:basedOn w:val="Normal"/>
    <w:link w:val="FooterChar"/>
    <w:uiPriority w:val="99"/>
    <w:unhideWhenUsed/>
    <w:rsid w:val="000B4096"/>
    <w:pPr>
      <w:tabs>
        <w:tab w:val="center" w:pos="4513"/>
        <w:tab w:val="right" w:pos="9026"/>
      </w:tabs>
    </w:pPr>
  </w:style>
  <w:style w:type="character" w:customStyle="1" w:styleId="FooterChar">
    <w:name w:val="Footer Char"/>
    <w:basedOn w:val="DefaultParagraphFont"/>
    <w:link w:val="Footer"/>
    <w:uiPriority w:val="99"/>
    <w:rsid w:val="000B4096"/>
  </w:style>
  <w:style w:type="character" w:styleId="Hyperlink">
    <w:name w:val="Hyperlink"/>
    <w:basedOn w:val="DefaultParagraphFont"/>
    <w:uiPriority w:val="99"/>
    <w:unhideWhenUsed/>
    <w:rsid w:val="00254E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8349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as.org.uk/Sections/Prehistoric-Yorkshire/Iron-Age/Iron-Age-Yorkshire-Pocklington-Iron-Age-cemeter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8C32BA-43AA-F042-BA55-D0865419B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TotalTime>
  <Pages>5</Pages>
  <Words>1348</Words>
  <Characters>7685</Characters>
  <Application>Microsoft Office Word</Application>
  <DocSecurity>0</DocSecurity>
  <Lines>64</Lines>
  <Paragraphs>18</Paragraphs>
  <ScaleCrop>false</ScaleCrop>
  <Company/>
  <LinksUpToDate>false</LinksUpToDate>
  <CharactersWithSpaces>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24</cp:revision>
  <dcterms:created xsi:type="dcterms:W3CDTF">2019-01-14T17:32:00Z</dcterms:created>
  <dcterms:modified xsi:type="dcterms:W3CDTF">2019-01-18T19:22:00Z</dcterms:modified>
</cp:coreProperties>
</file>