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kinsoku/>
        <w:wordWrap/>
        <w:overflowPunct/>
        <w:topLinePunct w:val="0"/>
        <w:bidi w:val="0"/>
        <w:snapToGrid/>
        <w:spacing w:after="200" w:line="240" w:lineRule="auto"/>
        <w:ind w:firstLine="0"/>
        <w:jc w:val="left"/>
        <w:textAlignment w:val="auto"/>
        <w:rPr>
          <w:rFonts w:hint="default" w:ascii="Times New Roman Regular" w:hAnsi="Times New Roman Regular" w:cs="Times New Roman Regular"/>
          <w:b/>
          <w:sz w:val="24"/>
          <w:szCs w:val="24"/>
        </w:rPr>
      </w:pPr>
      <w:r>
        <w:rPr>
          <w:rFonts w:hint="default" w:ascii="Times New Roman Regular" w:hAnsi="Times New Roman Regular" w:cs="Times New Roman Regular"/>
          <w:b/>
          <w:sz w:val="24"/>
          <w:szCs w:val="24"/>
        </w:rPr>
        <w:t>Assignment 2</w:t>
      </w:r>
    </w:p>
    <w:p>
      <w:pPr>
        <w:keepNext w:val="0"/>
        <w:keepLines w:val="0"/>
        <w:pageBreakBefore w:val="0"/>
        <w:widowControl/>
        <w:kinsoku/>
        <w:wordWrap/>
        <w:overflowPunct/>
        <w:topLinePunct w:val="0"/>
        <w:autoSpaceDE/>
        <w:autoSpaceDN/>
        <w:bidi w:val="0"/>
        <w:adjustRightInd/>
        <w:snapToGrid/>
        <w:spacing w:after="200" w:line="360" w:lineRule="auto"/>
        <w:ind w:firstLine="0"/>
        <w:jc w:val="left"/>
        <w:textAlignment w:val="auto"/>
        <w:rPr>
          <w:rStyle w:val="5"/>
          <w:rFonts w:hint="default" w:ascii="Times New Roman Regular" w:hAnsi="Times New Roman Regular" w:cs="Times New Roman Regular"/>
          <w:sz w:val="24"/>
          <w:szCs w:val="24"/>
        </w:rPr>
      </w:pPr>
      <w:r>
        <w:rPr>
          <w:rFonts w:hint="default" w:ascii="Times New Roman Regular" w:hAnsi="Times New Roman Regular" w:cs="Times New Roman Regular"/>
          <w:b w:val="0"/>
          <w:bCs w:val="0"/>
          <w:sz w:val="24"/>
          <w:szCs w:val="24"/>
        </w:rPr>
        <w:t>Provide a definition of the term “Critical Period Hypothesis”. Present and discuss studies that compare L2 children to L2 adults. What are the similarities and differences between the two populations and how would it affect your approach to teaching?</w:t>
      </w:r>
      <w:r>
        <w:rPr>
          <w:rFonts w:hint="default" w:ascii="Times New Roman Regular" w:hAnsi="Times New Roman Regular" w:cs="Times New Roman Regular"/>
          <w:b w:val="0"/>
          <w:bCs w:val="0"/>
          <w:sz w:val="24"/>
          <w:szCs w:val="24"/>
          <w:lang w:val="en-US"/>
        </w:rPr>
        <w:t xml:space="preserve"> </w:t>
      </w:r>
    </w:p>
    <w:p>
      <w:pPr>
        <w:pStyle w:val="2"/>
        <w:keepNext w:val="0"/>
        <w:keepLines w:val="0"/>
        <w:widowControl/>
        <w:suppressLineNumbers w:val="0"/>
        <w:spacing w:line="360" w:lineRule="auto"/>
        <w:jc w:val="left"/>
        <w:rPr>
          <w:rFonts w:hint="default" w:ascii="Times New Roman Regular" w:hAnsi="Times New Roman Regular" w:cs="Times New Roman Regular"/>
          <w:sz w:val="24"/>
          <w:szCs w:val="24"/>
        </w:rPr>
      </w:pPr>
      <w:r>
        <w:rPr>
          <w:rStyle w:val="5"/>
          <w:rFonts w:hint="default" w:ascii="Times New Roman Regular" w:hAnsi="Times New Roman Regular" w:cs="Times New Roman Regular"/>
          <w:sz w:val="24"/>
          <w:szCs w:val="24"/>
        </w:rPr>
        <w:t>1. Introduction</w:t>
      </w:r>
    </w:p>
    <w:p>
      <w:pPr>
        <w:pStyle w:val="2"/>
        <w:keepNext w:val="0"/>
        <w:keepLines w:val="0"/>
        <w:widowControl/>
        <w:suppressLineNumbers w:val="0"/>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Language Acquisition, an increasingly intriguing topic for researchers, teachers, language learners, parents, and other stakeholders, is driven by the growing necessity for effective communication in our interconnected world. The concept of the Critical Period (CP), first introduced by Wilder Penfield and Lamber Roberts (1959), </w:t>
      </w:r>
      <w:r>
        <w:rPr>
          <w:rFonts w:hint="default" w:ascii="Times New Roman Regular" w:hAnsi="Times New Roman Regular" w:cs="Times New Roman Regular"/>
          <w:sz w:val="24"/>
          <w:szCs w:val="24"/>
          <w:lang w:val="en-US"/>
        </w:rPr>
        <w:t xml:space="preserve">is a crucial concept in </w:t>
      </w:r>
      <w:r>
        <w:rPr>
          <w:rFonts w:hint="default" w:ascii="Times New Roman Regular" w:hAnsi="Times New Roman Regular" w:cs="Times New Roman Regular"/>
          <w:sz w:val="24"/>
          <w:szCs w:val="24"/>
        </w:rPr>
        <w:t>this field. It highlights</w:t>
      </w:r>
      <w:r>
        <w:rPr>
          <w:rFonts w:hint="default" w:ascii="Times New Roman Regular" w:hAnsi="Times New Roman Regular" w:cs="Times New Roman Regular"/>
          <w:sz w:val="24"/>
          <w:szCs w:val="24"/>
          <w:lang w:val="en-US"/>
        </w:rPr>
        <w:t xml:space="preserve"> advantage for</w:t>
      </w:r>
      <w:r>
        <w:rPr>
          <w:rFonts w:hint="default" w:ascii="Times New Roman Regular" w:hAnsi="Times New Roman Regular" w:cs="Times New Roman Regular"/>
          <w:sz w:val="24"/>
          <w:szCs w:val="24"/>
        </w:rPr>
        <w:t xml:space="preserve"> children to acquire language skills effortlessly. Eric Lenneberg (1967) later proposed that the existence of </w:t>
      </w:r>
      <w:r>
        <w:rPr>
          <w:rFonts w:hint="default" w:ascii="Times New Roman Regular" w:hAnsi="Times New Roman Regular" w:cs="Times New Roman Regular"/>
          <w:sz w:val="24"/>
          <w:szCs w:val="24"/>
          <w:lang w:val="en-US"/>
        </w:rPr>
        <w:t xml:space="preserve">the critical period </w:t>
      </w:r>
      <w:r>
        <w:rPr>
          <w:rFonts w:hint="default" w:ascii="Times New Roman Regular" w:hAnsi="Times New Roman Regular" w:cs="Times New Roman Regular"/>
          <w:sz w:val="24"/>
          <w:szCs w:val="24"/>
        </w:rPr>
        <w:t xml:space="preserve">(CP) for language acquisition facilitates the process with greater ease and success. </w:t>
      </w:r>
      <w:r>
        <w:rPr>
          <w:rFonts w:hint="default" w:ascii="Times New Roman Regular" w:hAnsi="Times New Roman Regular" w:cs="Times New Roman Regular"/>
          <w:sz w:val="24"/>
          <w:szCs w:val="24"/>
          <w:lang w:val="en-US"/>
        </w:rPr>
        <w:t xml:space="preserve">Followed by plenty of researches digging into the topic, with supportive or challenging findings. Some of the findings provide biological or experimental evidence for CPH. </w:t>
      </w:r>
      <w:r>
        <w:rPr>
          <w:rFonts w:hint="default" w:ascii="Times New Roman Regular" w:hAnsi="Times New Roman Regular" w:cs="Times New Roman Regular"/>
          <w:sz w:val="24"/>
          <w:szCs w:val="24"/>
        </w:rPr>
        <w:t>The establishment of the Critical Period Hypothesis has had a profound impact on the realm of Second Language Acquisition (SLA)</w:t>
      </w:r>
      <w:r>
        <w:rPr>
          <w:rFonts w:hint="default" w:ascii="Times New Roman Regular" w:hAnsi="Times New Roman Regular" w:cs="Times New Roman Regular"/>
          <w:sz w:val="24"/>
          <w:szCs w:val="24"/>
          <w:lang w:val="en-US"/>
        </w:rPr>
        <w:t>. It emphasizes the age impact on SLA, and sheds lights on second language teaching methodologies.</w:t>
      </w:r>
      <w:r>
        <w:rPr>
          <w:rFonts w:hint="default" w:ascii="Times New Roman Regular" w:hAnsi="Times New Roman Regular" w:cs="Times New Roman Regular"/>
          <w:sz w:val="24"/>
          <w:szCs w:val="24"/>
        </w:rPr>
        <w:t> This article aims to summarize the critical studies in SLA and CPH, compare the L2 child and adult learners, and provide insights into teaching approaches for English teachers. </w:t>
      </w:r>
    </w:p>
    <w:p>
      <w:pPr>
        <w:pStyle w:val="2"/>
        <w:keepNext w:val="0"/>
        <w:keepLines w:val="0"/>
        <w:widowControl/>
        <w:suppressLineNumbers w:val="0"/>
        <w:spacing w:line="360" w:lineRule="auto"/>
        <w:rPr>
          <w:rFonts w:hint="default" w:ascii="Times New Roman Regular" w:hAnsi="Times New Roman Regular" w:cs="Times New Roman Regular"/>
          <w:sz w:val="24"/>
          <w:szCs w:val="24"/>
        </w:rPr>
      </w:pPr>
      <w:r>
        <w:rPr>
          <w:rStyle w:val="5"/>
          <w:rFonts w:hint="default" w:ascii="Times New Roman Regular" w:hAnsi="Times New Roman Regular" w:cs="Times New Roman Regular"/>
          <w:sz w:val="24"/>
          <w:szCs w:val="24"/>
        </w:rPr>
        <w:t>2. Critical Period Hypothesis</w:t>
      </w:r>
    </w:p>
    <w:p>
      <w:pPr>
        <w:pStyle w:val="2"/>
        <w:keepNext w:val="0"/>
        <w:keepLines w:val="0"/>
        <w:widowControl/>
        <w:suppressLineNumbers w:val="0"/>
        <w:spacing w:line="360" w:lineRule="auto"/>
        <w:rPr>
          <w:rFonts w:hint="default" w:ascii="Times New Roman Regular" w:hAnsi="Times New Roman Regular" w:cs="Times New Roman Regular"/>
          <w:sz w:val="24"/>
          <w:szCs w:val="24"/>
        </w:rPr>
      </w:pPr>
      <w:r>
        <w:rPr>
          <w:rStyle w:val="5"/>
          <w:rFonts w:hint="default" w:ascii="Times New Roman Regular" w:hAnsi="Times New Roman Regular" w:cs="Times New Roman Regular"/>
          <w:sz w:val="24"/>
          <w:szCs w:val="24"/>
        </w:rPr>
        <w:t>2.1 Definition</w:t>
      </w:r>
    </w:p>
    <w:p>
      <w:pPr>
        <w:pStyle w:val="2"/>
        <w:keepNext w:val="0"/>
        <w:keepLines w:val="0"/>
        <w:widowControl/>
        <w:suppressLineNumbers w:val="0"/>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The Critical Period Hypothesis (CPH) is a linguistic term </w:t>
      </w:r>
      <w:r>
        <w:rPr>
          <w:rFonts w:hint="default" w:ascii="Times New Roman Regular" w:hAnsi="Times New Roman Regular" w:cs="Times New Roman Regular"/>
          <w:sz w:val="24"/>
          <w:szCs w:val="24"/>
          <w:lang w:val="en-US"/>
        </w:rPr>
        <w:t>which</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 xml:space="preserve">claims </w:t>
      </w:r>
      <w:r>
        <w:rPr>
          <w:rFonts w:hint="default" w:ascii="Times New Roman Regular" w:hAnsi="Times New Roman Regular" w:cs="Times New Roman Regular"/>
          <w:sz w:val="24"/>
          <w:szCs w:val="24"/>
        </w:rPr>
        <w:t>that there is a specific period in human life expectancy when language acquisition is easier and achieving native-like proficiency is more likely. This period, typically from birth to puberty, is when the ability to learn language declines due to brain maturation</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(Penfield &amp; Roberts, 1959; Lenneberg, 1967). </w:t>
      </w:r>
    </w:p>
    <w:p>
      <w:pPr>
        <w:pStyle w:val="2"/>
        <w:keepNext w:val="0"/>
        <w:keepLines w:val="0"/>
        <w:widowControl/>
        <w:suppressLineNumbers w:val="0"/>
        <w:spacing w:line="360" w:lineRule="auto"/>
        <w:rPr>
          <w:rFonts w:hint="default" w:ascii="Times New Roman Regular" w:hAnsi="Times New Roman Regular" w:cs="Times New Roman Regular"/>
          <w:sz w:val="24"/>
          <w:szCs w:val="24"/>
        </w:rPr>
      </w:pPr>
      <w:r>
        <w:rPr>
          <w:rStyle w:val="5"/>
          <w:rFonts w:hint="default" w:ascii="Times New Roman Regular" w:hAnsi="Times New Roman Regular" w:cs="Times New Roman Regular"/>
          <w:sz w:val="24"/>
          <w:szCs w:val="24"/>
        </w:rPr>
        <w:t>2.2 Summary of Literature</w:t>
      </w:r>
    </w:p>
    <w:p>
      <w:pPr>
        <w:pStyle w:val="2"/>
        <w:keepNext w:val="0"/>
        <w:keepLines w:val="0"/>
        <w:widowControl/>
        <w:suppressLineNumbers w:val="0"/>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foundational theories underpinning the Critical Period Hypothesis (CPH) were initially established by Penfield (1959) and Lenneberg (1967), both of whom posited the existence of a critical period in human life when the acquisition of language, regardless of L1 or L2, is optimal. The ability to acquire language diminishes as individuals grow up. Research by Hubel and Wiesel</w:t>
      </w:r>
      <w:r>
        <w:rPr>
          <w:rFonts w:hint="default" w:ascii="Times New Roman Regular" w:hAnsi="Times New Roman Regular" w:cs="Times New Roman Regular"/>
          <w:sz w:val="24"/>
          <w:szCs w:val="24"/>
          <w:lang w:val="en-US"/>
        </w:rPr>
        <w:t xml:space="preserve"> (1970) carried out an experiment</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and the findings provided</w:t>
      </w:r>
      <w:r>
        <w:rPr>
          <w:rFonts w:hint="default" w:ascii="Times New Roman Regular" w:hAnsi="Times New Roman Regular" w:cs="Times New Roman Regular"/>
          <w:sz w:val="24"/>
          <w:szCs w:val="24"/>
        </w:rPr>
        <w:t xml:space="preserve"> supports the concept</w:t>
      </w:r>
      <w:r>
        <w:rPr>
          <w:rFonts w:hint="default" w:ascii="Times New Roman Regular" w:hAnsi="Times New Roman Regular" w:cs="Times New Roman Regular"/>
          <w:sz w:val="24"/>
          <w:szCs w:val="24"/>
          <w:lang w:val="en-US"/>
        </w:rPr>
        <w:t xml:space="preserve"> by</w:t>
      </w:r>
      <w:r>
        <w:rPr>
          <w:rFonts w:hint="default" w:ascii="Times New Roman Regular" w:hAnsi="Times New Roman Regular" w:cs="Times New Roman Regular"/>
          <w:sz w:val="24"/>
          <w:szCs w:val="24"/>
        </w:rPr>
        <w:t> </w:t>
      </w:r>
      <w:r>
        <w:rPr>
          <w:rFonts w:hint="default" w:ascii="Times New Roman Regular" w:hAnsi="Times New Roman Regular" w:cs="Times New Roman Regular"/>
          <w:sz w:val="24"/>
          <w:szCs w:val="24"/>
          <w:lang w:val="en-US"/>
        </w:rPr>
        <w:t>explanation t</w:t>
      </w:r>
      <w:r>
        <w:rPr>
          <w:rFonts w:hint="default" w:ascii="Times New Roman Regular" w:hAnsi="Times New Roman Regular" w:cs="Times New Roman Regular"/>
          <w:sz w:val="24"/>
          <w:szCs w:val="24"/>
        </w:rPr>
        <w:t>he concept of decreasing brain plasticity concerning language acquisition. Another influential study in this area is an experimental research carried out by Johnson and Newport in 1989. They investigated the impact of the age when individuals begin acquiring a second language (L2) on their proficiency in understanding its grammatical structures. The finding demonstrated that those who start L2 learning at a younger age (before 15 years old, around the CP ) display a superior ability to master grammar, thus providing empirical evidence for the Critical Period Hypothesis.</w:t>
      </w:r>
    </w:p>
    <w:p>
      <w:pPr>
        <w:pStyle w:val="2"/>
        <w:keepNext w:val="0"/>
        <w:keepLines w:val="0"/>
        <w:widowControl/>
        <w:suppressLineNumbers w:val="0"/>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Nevertheless, with increasing research into this area, opposing viewpoints have arisen. For instance, Birdsong (1999) contested the notion of fixed critical periods in language acquisition and assumed that these periods might fluctuate across various facets of language learning. Similarly, Mehler and Dupoux (1994) have raised doubts about the universality of CPH, spotlighting individual discrepancies and environmental factors that influence the development of language proficiency.</w:t>
      </w:r>
    </w:p>
    <w:p>
      <w:pPr>
        <w:pStyle w:val="2"/>
        <w:keepNext w:val="0"/>
        <w:keepLines w:val="0"/>
        <w:widowControl/>
        <w:suppressLineNumbers w:val="0"/>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Within the realm of education, Hakuta, Bialystok, and Wiley (2003) embarked on a longitudinal examination of bilingual children, unearthing indications of a sensitive phase in the acquisition of a second language. This discovery has significantly impacted educational methodologies, leading to the implementation of early language learning initiatives aimed at enhancing language proficiency during pivotal developmental periods. Recent developments in neuroscience, as evidenced by the studies conducted by Ullman (2001) and Newport (2016), have emphasized the essential role of neural plasticity and brain maturation in influencing the lifelong capacity for language acquisition. Despite alterations in language processing linked to age, the brain retains a degree of adaptability even beyond the generally accepted critical period.</w:t>
      </w:r>
    </w:p>
    <w:p>
      <w:pPr>
        <w:pStyle w:val="2"/>
        <w:keepNext w:val="0"/>
        <w:keepLines w:val="0"/>
        <w:widowControl/>
        <w:suppressLineNumbers w:val="0"/>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Apart from this, various fundamental principles or scholars offer backing for CPH. Noam Chomsky's Theory of Universal Grammar (UG) has presented a biological and cognitive framework to explain the mechanisms involved in acquiring language. It suggests that the capacity to acquire language is innate to individuals and most human languages share a common set of grammatical principles and rules. Moreover, Selinker's interlanguage theory (Ellis, 1994) and Krashen's exploration of age-related factors, pace of acquisition, and ultimate proficie</w:t>
      </w:r>
      <w:r>
        <w:rPr>
          <w:rFonts w:hint="default" w:ascii="Times New Roman Regular" w:hAnsi="Times New Roman Regular" w:cs="Times New Roman Regular"/>
          <w:sz w:val="24"/>
          <w:szCs w:val="24"/>
          <w:highlight w:val="none"/>
        </w:rPr>
        <w:t>ncy (Krashen and</w:t>
      </w:r>
      <w:r>
        <w:rPr>
          <w:rFonts w:hint="eastAsia" w:ascii="Times New Roman Regular" w:hAnsi="Times New Roman Regular" w:cs="Times New Roman Regular"/>
          <w:sz w:val="24"/>
          <w:szCs w:val="24"/>
          <w:highlight w:val="none"/>
          <w:lang w:val="en-US" w:eastAsia="zh-CN"/>
        </w:rPr>
        <w:t xml:space="preserve"> Terre</w:t>
      </w:r>
      <w:r>
        <w:rPr>
          <w:rFonts w:hint="default" w:ascii="Times New Roman Regular" w:hAnsi="Times New Roman Regular" w:cs="Times New Roman Regular"/>
          <w:sz w:val="24"/>
          <w:szCs w:val="24"/>
          <w:highlight w:val="none"/>
          <w:lang w:val="en-US" w:eastAsia="zh-CN"/>
        </w:rPr>
        <w:t>ll</w:t>
      </w:r>
      <w:r>
        <w:rPr>
          <w:rFonts w:hint="default" w:ascii="Times New Roman Regular" w:hAnsi="Times New Roman Regular" w:cs="Times New Roman Regular"/>
          <w:sz w:val="24"/>
          <w:szCs w:val="24"/>
          <w:highlight w:val="none"/>
        </w:rPr>
        <w:t xml:space="preserve"> , 19</w:t>
      </w:r>
      <w:r>
        <w:rPr>
          <w:rFonts w:hint="default" w:ascii="Times New Roman Regular" w:hAnsi="Times New Roman Regular" w:cs="Times New Roman Regular"/>
          <w:sz w:val="24"/>
          <w:szCs w:val="24"/>
          <w:highlight w:val="none"/>
          <w:lang w:val="en-US"/>
        </w:rPr>
        <w:t>88</w:t>
      </w:r>
      <w:r>
        <w:rPr>
          <w:rFonts w:hint="default" w:ascii="Times New Roman Regular" w:hAnsi="Times New Roman Regular" w:cs="Times New Roman Regular"/>
          <w:sz w:val="24"/>
          <w:szCs w:val="24"/>
          <w:highlight w:val="none"/>
        </w:rPr>
        <w:t xml:space="preserve">) </w:t>
      </w:r>
      <w:r>
        <w:rPr>
          <w:rFonts w:hint="default" w:ascii="Times New Roman Regular" w:hAnsi="Times New Roman Regular" w:cs="Times New Roman Regular"/>
          <w:sz w:val="24"/>
          <w:szCs w:val="24"/>
        </w:rPr>
        <w:t>contribute significantly to the ongoing discourse about language learning, shedding light on the intricate interplay between individual disparities, environmental influences, and cognitive processes in the realm of second language acquisition. Long's Interaction Hypothesis (Long, 1983) underscores the significance of communication and the negotiation of meaning in the process of language acquisition, improving our comprehension of how individuals learn languages.</w:t>
      </w:r>
    </w:p>
    <w:p>
      <w:pPr>
        <w:pStyle w:val="2"/>
        <w:keepNext w:val="0"/>
        <w:keepLines w:val="0"/>
        <w:widowControl/>
        <w:suppressLineNumbers w:val="0"/>
        <w:spacing w:line="360" w:lineRule="auto"/>
        <w:rPr>
          <w:rFonts w:hint="default" w:ascii="Times New Roman Regular" w:hAnsi="Times New Roman Regular" w:cs="Times New Roman Regular"/>
          <w:sz w:val="24"/>
          <w:szCs w:val="24"/>
        </w:rPr>
      </w:pPr>
      <w:r>
        <w:rPr>
          <w:rStyle w:val="5"/>
          <w:rFonts w:hint="default" w:ascii="Times New Roman Regular" w:hAnsi="Times New Roman Regular" w:cs="Times New Roman Regular"/>
          <w:sz w:val="24"/>
          <w:szCs w:val="24"/>
        </w:rPr>
        <w:t>3. Compare L2 child and L2 adult</w:t>
      </w:r>
    </w:p>
    <w:p>
      <w:pPr>
        <w:pStyle w:val="2"/>
        <w:keepNext w:val="0"/>
        <w:keepLines w:val="0"/>
        <w:widowControl/>
        <w:suppressLineNumbers w:val="0"/>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Critical Period Hypothesis (CPH) has significant influen</w:t>
      </w:r>
      <w:r>
        <w:rPr>
          <w:rFonts w:hint="default" w:ascii="Times New Roman Regular" w:hAnsi="Times New Roman Regular" w:cs="Times New Roman Regular"/>
          <w:sz w:val="24"/>
          <w:szCs w:val="24"/>
          <w:lang w:val="en-US"/>
        </w:rPr>
        <w:t>ce on</w:t>
      </w:r>
      <w:r>
        <w:rPr>
          <w:rFonts w:hint="default" w:ascii="Times New Roman Regular" w:hAnsi="Times New Roman Regular" w:cs="Times New Roman Regular"/>
          <w:sz w:val="24"/>
          <w:szCs w:val="24"/>
        </w:rPr>
        <w:t xml:space="preserve"> Second Language Acquisition (SLA). It enhances our understanding of how language is acquired by emphasizing the role of neuroplasticity and changes in the brain during early development (Birdsong, 2005). The CPH also underscores the importance of age factors in language acquisition, providing valuable insights for both language teachers and learners. Despite alterations in language processing linked to age, the brain retains a degree of adaptability even beyond the generally accepted critical period. This understanding has led to the development of teaching methodologies that leverage the brain's plasticity, such as early language learning initiatives aimed at enhancing language proficiency during pivotal developmental periods. According to the findings, the similarities and distinctions between younger second-language learners and adult second-language learners are summarised below in terms of learning mechanisms, sociocultural factors, motivation and attitude, age, input, learning strategies, etc.</w:t>
      </w:r>
    </w:p>
    <w:p>
      <w:pPr>
        <w:pStyle w:val="2"/>
        <w:keepNext w:val="0"/>
        <w:keepLines w:val="0"/>
        <w:widowControl/>
        <w:suppressLineNumbers w:val="0"/>
        <w:spacing w:line="360" w:lineRule="auto"/>
        <w:rPr>
          <w:rFonts w:hint="default" w:ascii="Times New Roman Regular" w:hAnsi="Times New Roman Regular" w:cs="Times New Roman Regular"/>
          <w:sz w:val="24"/>
          <w:szCs w:val="24"/>
        </w:rPr>
      </w:pPr>
      <w:r>
        <w:rPr>
          <w:rStyle w:val="5"/>
          <w:rFonts w:hint="default" w:ascii="Times New Roman Regular" w:hAnsi="Times New Roman Regular" w:cs="Times New Roman Regular"/>
          <w:sz w:val="24"/>
          <w:szCs w:val="24"/>
        </w:rPr>
        <w:t>3.3.1 Similarities</w:t>
      </w:r>
    </w:p>
    <w:p>
      <w:pPr>
        <w:pStyle w:val="2"/>
        <w:keepNext w:val="0"/>
        <w:keepLines w:val="0"/>
        <w:widowControl/>
        <w:suppressLineNumbers w:val="0"/>
        <w:spacing w:line="360" w:lineRule="auto"/>
        <w:rPr>
          <w:rFonts w:hint="default" w:ascii="Times New Roman Regular" w:hAnsi="Times New Roman Regular" w:cs="Times New Roman Regular"/>
          <w:sz w:val="24"/>
          <w:szCs w:val="24"/>
        </w:rPr>
      </w:pPr>
      <w:r>
        <w:rPr>
          <w:rStyle w:val="5"/>
          <w:rFonts w:hint="default" w:ascii="Times New Roman Regular" w:hAnsi="Times New Roman Regular" w:cs="Times New Roman Regular"/>
          <w:sz w:val="24"/>
          <w:szCs w:val="24"/>
        </w:rPr>
        <w:t>Initial Language Learning Mechanisms</w:t>
      </w:r>
      <w:r>
        <w:rPr>
          <w:rFonts w:hint="default" w:ascii="Times New Roman Regular" w:hAnsi="Times New Roman Regular" w:cs="Times New Roman Regular"/>
          <w:sz w:val="24"/>
          <w:szCs w:val="24"/>
        </w:rPr>
        <w:t xml:space="preserve">: Research suggests that the basic cognitive mechanisms involved in language learning are universal across age groups, implying that children and adults rely on similar underlying processes when acquiring a second language (Ellis, </w:t>
      </w:r>
      <w:r>
        <w:rPr>
          <w:rFonts w:hint="default" w:ascii="Times New Roman Regular" w:hAnsi="Times New Roman Regular" w:cs="Times New Roman Regular"/>
          <w:sz w:val="24"/>
          <w:szCs w:val="24"/>
          <w:lang w:val="en-US"/>
        </w:rPr>
        <w:t>1994</w:t>
      </w:r>
      <w:r>
        <w:rPr>
          <w:rFonts w:hint="default" w:ascii="Times New Roman Regular" w:hAnsi="Times New Roman Regular" w:cs="Times New Roman Regular"/>
          <w:sz w:val="24"/>
          <w:szCs w:val="24"/>
        </w:rPr>
        <w:t>). Despite differences in cognitive maturity and life experiences, there is evidence of developmental continuity in language learning mechanisms, with adults building upon the linguistic knowledge and cognitive skills acquired during childhood (Johnson &amp; Newport, 1989). Children and adults exhibit similar strategies for processing and comprehending language input, including attention allocation, chunking, and hypothesis testing (VanPatten, 1996). They utilize these strategies to make sense of the linguistic input they encounter and extract linguistic patterns.</w:t>
      </w:r>
    </w:p>
    <w:p>
      <w:pPr>
        <w:pStyle w:val="2"/>
        <w:keepNext w:val="0"/>
        <w:keepLines w:val="0"/>
        <w:widowControl/>
        <w:suppressLineNumbers w:val="0"/>
        <w:spacing w:line="360" w:lineRule="auto"/>
        <w:rPr>
          <w:rFonts w:hint="default" w:ascii="Times New Roman Regular" w:hAnsi="Times New Roman Regular" w:cs="Times New Roman Regular"/>
          <w:sz w:val="24"/>
          <w:szCs w:val="24"/>
        </w:rPr>
      </w:pPr>
      <w:r>
        <w:rPr>
          <w:rStyle w:val="5"/>
          <w:rFonts w:hint="default" w:ascii="Times New Roman Regular" w:hAnsi="Times New Roman Regular" w:cs="Times New Roman Regular"/>
          <w:sz w:val="24"/>
          <w:szCs w:val="24"/>
        </w:rPr>
        <w:t>Sociocultural Factors: </w:t>
      </w:r>
      <w:r>
        <w:rPr>
          <w:rFonts w:hint="default" w:ascii="Times New Roman Regular" w:hAnsi="Times New Roman Regular" w:cs="Times New Roman Regular"/>
          <w:sz w:val="24"/>
          <w:szCs w:val="24"/>
        </w:rPr>
        <w:t>Sociocultural context plays a significant role in L2 acquisition for both children and adults. Krashen (1981) emphasizes the importance of exposure to the language, motivation, and social interaction in language learning processes, irrespective of age. Both L2 children and L2 adults benefit from social interaction and communicative contexts for language learning. Interaction with native speakers and opportunities for meaningful communication facilitate language acquisition in both age groups. For example, when new immigrants and overseas students enter their TL-speaking country, they are exposed to the language environment. In order to adapt to society, their chances of listening, speaking, reading, and writing in TL increased dramatically compared to those staying in the L1 society. As a consequence, their L2 acquisition is more effective. </w:t>
      </w:r>
    </w:p>
    <w:p>
      <w:pPr>
        <w:pStyle w:val="2"/>
        <w:keepNext w:val="0"/>
        <w:keepLines w:val="0"/>
        <w:widowControl/>
        <w:suppressLineNumbers w:val="0"/>
        <w:spacing w:line="360" w:lineRule="auto"/>
        <w:rPr>
          <w:rFonts w:hint="default" w:ascii="Times New Roman Regular" w:hAnsi="Times New Roman Regular" w:cs="Times New Roman Regular"/>
          <w:sz w:val="24"/>
          <w:szCs w:val="24"/>
        </w:rPr>
      </w:pPr>
      <w:r>
        <w:rPr>
          <w:rStyle w:val="5"/>
          <w:rFonts w:hint="default" w:ascii="Times New Roman Regular" w:hAnsi="Times New Roman Regular" w:cs="Times New Roman Regular"/>
          <w:sz w:val="24"/>
          <w:szCs w:val="24"/>
        </w:rPr>
        <w:t>Motivation and Attitude:</w:t>
      </w:r>
      <w:r>
        <w:rPr>
          <w:rFonts w:hint="default" w:ascii="Times New Roman Regular" w:hAnsi="Times New Roman Regular" w:cs="Times New Roman Regular"/>
          <w:sz w:val="24"/>
          <w:szCs w:val="24"/>
        </w:rPr>
        <w:t> In plenty of studies, factors influencing L2 acquisition, such as motivation and attitude towards learning L2, can influence language acquisition outcomes in children and adults. Motivation refers to the internal drive or desire to learn a language, often influenced by personal goals, interests, and perceptions of the language's importance (Dörnyei, 1994). Motivation can be divided into intrinsic motivation and external motivation (Yang et al., 2021). Positive attitudes, intrinsic motivation, and a supportive learning environment contribute to success in language learning across age groups (Lightbown and Spada,2013). Attitude refers to learners' emotions, beliefs, and viewpoints towards the TL, its native speakers, and the learning process (Gardner, 1985). Demonstrating a positive attitude towards the language and its speakers benefits both learner groups by promoting active participation, persistence, and openness to communication (Gardner, 1985). Conversely, a negative attitude may impede the advancement of language learning due to inducing feelings of anxiety, disinterest, or avoidance of language-related tasks (Dörnyei &amp; Ushioda, 2011).</w:t>
      </w:r>
    </w:p>
    <w:p>
      <w:pPr>
        <w:pStyle w:val="2"/>
        <w:keepNext w:val="0"/>
        <w:keepLines w:val="0"/>
        <w:widowControl/>
        <w:suppressLineNumbers w:val="0"/>
        <w:spacing w:line="360" w:lineRule="auto"/>
        <w:rPr>
          <w:rFonts w:hint="default" w:ascii="Times New Roman Regular" w:hAnsi="Times New Roman Regular" w:cs="Times New Roman Regular"/>
          <w:sz w:val="24"/>
          <w:szCs w:val="24"/>
        </w:rPr>
      </w:pPr>
      <w:r>
        <w:rPr>
          <w:rStyle w:val="5"/>
          <w:rFonts w:hint="default" w:ascii="Times New Roman Regular" w:hAnsi="Times New Roman Regular" w:cs="Times New Roman Regular"/>
          <w:sz w:val="24"/>
          <w:szCs w:val="24"/>
        </w:rPr>
        <w:t>3.3.2 Differences</w:t>
      </w:r>
    </w:p>
    <w:p>
      <w:pPr>
        <w:pStyle w:val="2"/>
        <w:keepNext w:val="0"/>
        <w:keepLines w:val="0"/>
        <w:widowControl/>
        <w:suppressLineNumbers w:val="0"/>
        <w:spacing w:line="360" w:lineRule="auto"/>
        <w:rPr>
          <w:rStyle w:val="5"/>
          <w:rFonts w:hint="default" w:ascii="Times New Roman Regular" w:hAnsi="Times New Roman Regular" w:cs="Times New Roman Regular"/>
          <w:sz w:val="24"/>
          <w:szCs w:val="24"/>
        </w:rPr>
      </w:pPr>
      <w:r>
        <w:rPr>
          <w:rStyle w:val="5"/>
          <w:rFonts w:hint="default" w:ascii="Times New Roman Regular" w:hAnsi="Times New Roman Regular" w:cs="Times New Roman Regular"/>
          <w:sz w:val="24"/>
          <w:szCs w:val="24"/>
        </w:rPr>
        <w:t>The ultimate attainment </w:t>
      </w:r>
      <w:r>
        <w:rPr>
          <w:rFonts w:hint="default" w:ascii="Times New Roman Regular" w:hAnsi="Times New Roman Regular" w:cs="Times New Roman Regular"/>
          <w:sz w:val="24"/>
          <w:szCs w:val="24"/>
        </w:rPr>
        <w:t>There is a difference in the final English proficiency between different age groups. Attainment of Native-like Proficiency in Early Learners: Early language learners who acquire a second language (L2) during the critical period, typically before puberty, may reach a Native-like Proficiency akin to that of native speakers. For example, children who move to a new country and pick up the language at a young age often exhibit fluency, pronunciation, and grammatical accuracy comparable to native speakers (Johnson &amp; Newport, 1989). Adults who embark on learning a second language later in life may encounter challenges in achieving native-like proficiency due to the impact of the critical period. Studies suggest that late learners often display non-native-like pronunciation, grammatical errors, and vocabulary limitations compared to native speakers (Lenneberg, 1967). For instance, adult learners initiating the learning process in adulthood may retain a noticeable accent and encounter difficulties in grasping the subtle nuances of the language. Fossilization and Stagnation are other reasons why they have different levels of attainment. The concept of fossilization explains where language learners hit a plateau in their language acquisition journey and struggle to make further progress despite ongoing exposure and efforts. This phenomenon is often observed in adult learners who face challenges in achieving native-like pronunciation or grammatical precision. For instance, some adult learners may achieve functional proficiency but encounter difficulties rectifying persistent errors or enhancing fluency beyond a specific threshold (Ellis, 1994).</w:t>
      </w:r>
    </w:p>
    <w:p>
      <w:pPr>
        <w:pStyle w:val="2"/>
        <w:keepNext w:val="0"/>
        <w:keepLines w:val="0"/>
        <w:widowControl/>
        <w:suppressLineNumbers w:val="0"/>
        <w:spacing w:line="360" w:lineRule="auto"/>
        <w:rPr>
          <w:rFonts w:hint="default" w:ascii="Times New Roman Regular" w:hAnsi="Times New Roman Regular" w:cs="Times New Roman Regular"/>
          <w:sz w:val="24"/>
          <w:szCs w:val="24"/>
        </w:rPr>
      </w:pPr>
      <w:r>
        <w:rPr>
          <w:rStyle w:val="5"/>
          <w:rFonts w:hint="default" w:ascii="Times New Roman Regular" w:hAnsi="Times New Roman Regular" w:cs="Times New Roman Regular"/>
          <w:sz w:val="24"/>
          <w:szCs w:val="24"/>
        </w:rPr>
        <w:t>Language Processing Strategies:</w:t>
      </w:r>
      <w:r>
        <w:rPr>
          <w:rFonts w:hint="default" w:ascii="Times New Roman Regular" w:hAnsi="Times New Roman Regular" w:cs="Times New Roman Regular"/>
          <w:sz w:val="24"/>
          <w:szCs w:val="24"/>
        </w:rPr>
        <w:t> DeKeyser (2000) posited that children primarily depend on implicit learning mechanisms to acquire language, learning through exposure and social interaction rather than explicit instruction. In contrast, adults utilize explicit learning strategies, drawing upon metalinguistic awareness and cognitive resources to engage in conscious rule learning and error correction.</w:t>
      </w:r>
    </w:p>
    <w:p>
      <w:pPr>
        <w:pStyle w:val="2"/>
        <w:keepNext w:val="0"/>
        <w:keepLines w:val="0"/>
        <w:widowControl/>
        <w:suppressLineNumbers w:val="0"/>
        <w:spacing w:line="360" w:lineRule="auto"/>
        <w:rPr>
          <w:rFonts w:hint="default" w:ascii="Times New Roman Regular" w:hAnsi="Times New Roman Regular" w:cs="Times New Roman Regular"/>
          <w:sz w:val="24"/>
          <w:szCs w:val="24"/>
        </w:rPr>
      </w:pPr>
      <w:r>
        <w:rPr>
          <w:rStyle w:val="5"/>
          <w:rFonts w:hint="default" w:ascii="Times New Roman Regular" w:hAnsi="Times New Roman Regular" w:cs="Times New Roman Regular"/>
          <w:sz w:val="24"/>
          <w:szCs w:val="24"/>
        </w:rPr>
        <w:t>Motivation: B</w:t>
      </w:r>
      <w:r>
        <w:rPr>
          <w:rFonts w:hint="default" w:ascii="Times New Roman Regular" w:hAnsi="Times New Roman Regular" w:cs="Times New Roman Regular"/>
          <w:sz w:val="24"/>
          <w:szCs w:val="24"/>
        </w:rPr>
        <w:t>oth L2 children and L2 adults can exhibit motivation in their Second Language Acquisition (SLA), although the sources of motivation may differ. According to Gardner (1985), children tend to be driven by curiosity, social interactions, and an innate interest in language learning, often displaying high enthusiasm and eagerness to participate. Conversely, personal, academic, or professional objectives can influence adults' motivation, with external factors such as job requirements or societal expectations impacting their motivation (Dörnyei, 1994).</w:t>
      </w:r>
    </w:p>
    <w:p>
      <w:pPr>
        <w:pStyle w:val="2"/>
        <w:keepNext w:val="0"/>
        <w:keepLines w:val="0"/>
        <w:widowControl/>
        <w:suppressLineNumbers w:val="0"/>
        <w:spacing w:line="360" w:lineRule="auto"/>
        <w:rPr>
          <w:rFonts w:hint="default" w:ascii="Times New Roman Regular" w:hAnsi="Times New Roman Regular" w:cs="Times New Roman Regular"/>
          <w:sz w:val="24"/>
          <w:szCs w:val="24"/>
        </w:rPr>
      </w:pPr>
      <w:r>
        <w:rPr>
          <w:rStyle w:val="5"/>
          <w:rFonts w:hint="default" w:ascii="Times New Roman Regular" w:hAnsi="Times New Roman Regular" w:cs="Times New Roman Regular"/>
          <w:sz w:val="24"/>
          <w:szCs w:val="24"/>
        </w:rPr>
        <w:t>Sensitivity to Input</w:t>
      </w:r>
      <w:r>
        <w:rPr>
          <w:rFonts w:hint="default" w:ascii="Times New Roman Regular" w:hAnsi="Times New Roman Regular" w:cs="Times New Roman Regular"/>
          <w:sz w:val="24"/>
          <w:szCs w:val="24"/>
        </w:rPr>
        <w:t>: In the initial stage of second language acquisition (SLA), children exhibit high sensitivity to language input, promoting their ability to quickly absorb and acquire new vocabulary and grammatical structures through language exposure. Children show extraordinary language acquisition abilities, and their brains exhibit a high level of responsiveness to language input during the early stage of language acquisition. Therefore, they demonstrate a rapid absorption of unfamiliar words and syntactic patterns, which helps to expand their vocabulary and syntactic skills. On the contrary, adults may have certain advantages over children in mastering the subtle aspects of grammar structure and vocabulary. Although children may excel in vocabulary and basic grammar acquisition, adults typically possess mature cognitive and meta-linguistic awareness, enabling them to conduct an in-depth analysis of language rules and patterns. This increase in awareness enables adults to understand complex grammatical structures and distinguish subtle differences in meaning, which may pose more significant challenges for children. (Krashen, 1981)</w:t>
      </w:r>
    </w:p>
    <w:p>
      <w:pPr>
        <w:pStyle w:val="2"/>
        <w:keepNext w:val="0"/>
        <w:keepLines w:val="0"/>
        <w:widowControl/>
        <w:suppressLineNumbers w:val="0"/>
        <w:spacing w:line="360" w:lineRule="auto"/>
        <w:rPr>
          <w:rFonts w:hint="default" w:ascii="Times New Roman Regular" w:hAnsi="Times New Roman Regular" w:cs="Times New Roman Regular"/>
          <w:sz w:val="24"/>
          <w:szCs w:val="24"/>
        </w:rPr>
      </w:pPr>
    </w:p>
    <w:p>
      <w:pPr>
        <w:pStyle w:val="2"/>
        <w:keepNext w:val="0"/>
        <w:keepLines w:val="0"/>
        <w:widowControl/>
        <w:suppressLineNumbers w:val="0"/>
        <w:spacing w:line="360" w:lineRule="auto"/>
        <w:rPr>
          <w:rFonts w:hint="default" w:ascii="Times New Roman Regular" w:hAnsi="Times New Roman Regular" w:cs="Times New Roman Regular"/>
          <w:sz w:val="24"/>
          <w:szCs w:val="24"/>
        </w:rPr>
      </w:pPr>
    </w:p>
    <w:p>
      <w:pPr>
        <w:pStyle w:val="2"/>
        <w:keepNext w:val="0"/>
        <w:keepLines w:val="0"/>
        <w:widowControl/>
        <w:suppressLineNumbers w:val="0"/>
        <w:spacing w:line="360" w:lineRule="auto"/>
        <w:rPr>
          <w:rFonts w:hint="default" w:ascii="Times New Roman Regular" w:hAnsi="Times New Roman Regular" w:cs="Times New Roman Regular"/>
          <w:sz w:val="24"/>
          <w:szCs w:val="24"/>
        </w:rPr>
      </w:pPr>
      <w:r>
        <w:rPr>
          <w:rStyle w:val="5"/>
          <w:rFonts w:hint="default" w:ascii="Times New Roman Regular" w:hAnsi="Times New Roman Regular" w:cs="Times New Roman Regular"/>
          <w:sz w:val="24"/>
          <w:szCs w:val="24"/>
        </w:rPr>
        <w:t>4. Implication of approaches to teach</w:t>
      </w:r>
    </w:p>
    <w:p>
      <w:pPr>
        <w:pStyle w:val="2"/>
        <w:keepNext w:val="0"/>
        <w:keepLines w:val="0"/>
        <w:widowControl/>
        <w:suppressLineNumbers w:val="0"/>
        <w:spacing w:line="360" w:lineRule="auto"/>
        <w:rPr>
          <w:rFonts w:hint="default" w:ascii="Times New Roman Regular" w:hAnsi="Times New Roman Regular" w:cs="Times New Roman Regular"/>
          <w:sz w:val="24"/>
          <w:szCs w:val="24"/>
        </w:rPr>
      </w:pPr>
      <w:r>
        <w:rPr>
          <w:rStyle w:val="5"/>
          <w:rFonts w:hint="default" w:ascii="Times New Roman Regular" w:hAnsi="Times New Roman Regular" w:cs="Times New Roman Regular"/>
          <w:sz w:val="24"/>
          <w:szCs w:val="24"/>
        </w:rPr>
        <w:t>4.1 Early Exposure:</w:t>
      </w:r>
    </w:p>
    <w:p>
      <w:pPr>
        <w:pStyle w:val="2"/>
        <w:keepNext w:val="0"/>
        <w:keepLines w:val="0"/>
        <w:widowControl/>
        <w:suppressLineNumbers w:val="0"/>
        <w:spacing w:line="360" w:lineRule="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rPr>
        <w:t>Early exposure to a second language (L2) is fundamental for using the heightened neuroplasticity children demonstrate during the critical period of language development. Introducing immersion programs or bilingual education to young learners is recommended to maximize their language acquisition abilities (Hakuta et al., 2000). To facilitate naturalistic learning, consistent exposure to the target language in various contexts is essential. This strategy contributes to establishing a diverse linguistic setting that promotes the advancement of language abilities in a holistic approach.</w:t>
      </w:r>
      <w:r>
        <w:rPr>
          <w:rFonts w:hint="default" w:ascii="Times New Roman Regular" w:hAnsi="Times New Roman Regular" w:cs="Times New Roman Regular"/>
          <w:sz w:val="24"/>
          <w:szCs w:val="24"/>
          <w:lang w:val="en-US"/>
        </w:rPr>
        <w:t xml:space="preserve"> </w:t>
      </w:r>
    </w:p>
    <w:p>
      <w:pPr>
        <w:pStyle w:val="2"/>
        <w:keepNext w:val="0"/>
        <w:keepLines w:val="0"/>
        <w:widowControl/>
        <w:suppressLineNumbers w:val="0"/>
        <w:spacing w:line="360" w:lineRule="auto"/>
        <w:rPr>
          <w:rFonts w:hint="default" w:ascii="Times New Roman Regular" w:hAnsi="Times New Roman Regular" w:cs="Times New Roman Regular"/>
          <w:sz w:val="24"/>
          <w:szCs w:val="24"/>
        </w:rPr>
      </w:pPr>
      <w:r>
        <w:rPr>
          <w:rStyle w:val="5"/>
          <w:rFonts w:hint="default" w:ascii="Times New Roman Regular" w:hAnsi="Times New Roman Regular" w:cs="Times New Roman Regular"/>
          <w:sz w:val="24"/>
          <w:szCs w:val="24"/>
        </w:rPr>
        <w:t xml:space="preserve">4.2 Motive L2 learners and </w:t>
      </w:r>
      <w:r>
        <w:rPr>
          <w:rStyle w:val="5"/>
          <w:rFonts w:hint="default" w:ascii="Times New Roman Regular" w:hAnsi="Times New Roman Regular" w:cs="Times New Roman Regular"/>
          <w:sz w:val="24"/>
          <w:szCs w:val="24"/>
          <w:lang w:val="en-US"/>
        </w:rPr>
        <w:t xml:space="preserve">give </w:t>
      </w:r>
      <w:r>
        <w:rPr>
          <w:rStyle w:val="5"/>
          <w:rFonts w:hint="default" w:ascii="Times New Roman Regular" w:hAnsi="Times New Roman Regular" w:cs="Times New Roman Regular"/>
          <w:sz w:val="24"/>
          <w:szCs w:val="24"/>
        </w:rPr>
        <w:t>constant feedback </w:t>
      </w:r>
    </w:p>
    <w:p>
      <w:pPr>
        <w:pStyle w:val="2"/>
        <w:keepNext w:val="0"/>
        <w:keepLines w:val="0"/>
        <w:widowControl/>
        <w:suppressLineNumbers w:val="0"/>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L2 child and L2 adult learners are subject to the influence of motivation and attitude, which underscores educators' importance in setting definitive objectives and standards to help learners achieve optimal learning results. Teachers need to design language learning tasks that are both captivating and meaningful, aligning with the learners' interests while fostering independence and ensuring avenues for success, as highlighted by Dörnyei &amp; Ushioda (2011). Moreover, fostering peer interactions, collaborative learning environments, and embracing linguistic differences are pivotal strategies to enhance motivation and attitude among young learners and adults. Additionally, offering consistent feedback, recognizing advancements made by learners, and integrating self-assessment opportunities are crucial elements in sustaining motivation and cultivating a positive outlook towards the learning journey. </w:t>
      </w:r>
    </w:p>
    <w:p>
      <w:pPr>
        <w:pStyle w:val="2"/>
        <w:keepNext w:val="0"/>
        <w:keepLines w:val="0"/>
        <w:widowControl/>
        <w:suppressLineNumbers w:val="0"/>
        <w:spacing w:line="360" w:lineRule="auto"/>
        <w:rPr>
          <w:rFonts w:hint="default" w:ascii="Times New Roman Regular" w:hAnsi="Times New Roman Regular" w:cs="Times New Roman Regular"/>
          <w:sz w:val="24"/>
          <w:szCs w:val="24"/>
        </w:rPr>
      </w:pPr>
      <w:r>
        <w:rPr>
          <w:rStyle w:val="5"/>
          <w:rFonts w:hint="default" w:ascii="Times New Roman Regular" w:hAnsi="Times New Roman Regular" w:cs="Times New Roman Regular"/>
          <w:sz w:val="24"/>
          <w:szCs w:val="24"/>
        </w:rPr>
        <w:t>4.3 Cultural Immersion</w:t>
      </w:r>
    </w:p>
    <w:p>
      <w:pPr>
        <w:pStyle w:val="2"/>
        <w:keepNext w:val="0"/>
        <w:keepLines w:val="0"/>
        <w:widowControl/>
        <w:suppressLineNumbers w:val="0"/>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Incorporating cultural elements into the educational syllabus is essential for fostering a deeper understanding of diverse societies. This can be achieved by incorporating authentic </w:t>
      </w:r>
      <w:bookmarkStart w:id="0" w:name="_GoBack"/>
      <w:bookmarkEnd w:id="0"/>
      <w:r>
        <w:rPr>
          <w:rFonts w:hint="default" w:ascii="Times New Roman Regular" w:hAnsi="Times New Roman Regular" w:cs="Times New Roman Regular"/>
          <w:sz w:val="24"/>
          <w:szCs w:val="24"/>
        </w:rPr>
        <w:t>materials, cultural events, and language interactions, as Byram (1997) suggested. It is imperative to design various avenues for students to interact with native speakers and involve themselves in natural, cultural settings to enhance their communication skills across different cultural boundaries. Exposure to such opportunities allows language learners to develop greater cross-cultural communication skills, enabling them to connect with the community with confidence and language sensitivity.</w:t>
      </w:r>
    </w:p>
    <w:p>
      <w:pPr>
        <w:pStyle w:val="2"/>
        <w:keepNext w:val="0"/>
        <w:keepLines w:val="0"/>
        <w:widowControl/>
        <w:suppressLineNumbers w:val="0"/>
        <w:spacing w:line="360" w:lineRule="auto"/>
        <w:rPr>
          <w:rFonts w:hint="default" w:ascii="Times New Roman Regular" w:hAnsi="Times New Roman Regular" w:cs="Times New Roman Regular"/>
          <w:sz w:val="24"/>
          <w:szCs w:val="24"/>
          <w:lang w:val="en-US"/>
        </w:rPr>
      </w:pPr>
      <w:r>
        <w:rPr>
          <w:rStyle w:val="5"/>
          <w:rFonts w:hint="default" w:ascii="Times New Roman Regular" w:hAnsi="Times New Roman Regular" w:cs="Times New Roman Regular"/>
          <w:sz w:val="24"/>
          <w:szCs w:val="24"/>
        </w:rPr>
        <w:t>4.4 Adapt different teaching strategies and materials </w:t>
      </w:r>
      <w:r>
        <w:rPr>
          <w:rStyle w:val="5"/>
          <w:rFonts w:hint="default" w:ascii="Times New Roman Regular" w:hAnsi="Times New Roman Regular" w:cs="Times New Roman Regular"/>
          <w:sz w:val="24"/>
          <w:szCs w:val="24"/>
          <w:lang w:val="en-US"/>
        </w:rPr>
        <w:t>for different age groups</w:t>
      </w:r>
    </w:p>
    <w:p>
      <w:pPr>
        <w:pStyle w:val="2"/>
        <w:keepNext w:val="0"/>
        <w:keepLines w:val="0"/>
        <w:widowControl/>
        <w:suppressLineNumbers w:val="0"/>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Due to the distinctions between L2 children and L2 adult learners, it becomes imperative for language instructors to make wise choices when it comes to selecting teaching methodologies and educational resources. The teaching approach should be captivating and engaging for younger learners, catering to their youthful curiosity and attention spans. Conversely, for adult learners with more refined learning strategies, it is advisable to provide structured and clear-cut instruction to facilitate their comprehension and retention of the language material. VanPatten (1996) recommends employing visual aids, gestures, and simplified language input when teaching children, as these elements can enhance their understanding and make the learning process more enjoyable. On the other hand, when instructing adult learners, incorporating more intricate and sophisticated language input is encouraged to challenge their cognitive abilities and promote deeper language acquisition. Furthermore, educators should implement a scaffolding approach in their teaching practices, gradually increasing the linguistic complexity of the learning tasks based on the learners' proficiency levels. By customizing the instructional approaches to align with the specific requirements and characteristics of L2 child and L2 adult learners, language educators can effectively establish a conducive learning environment that nurtures language development and proficiency in their students.</w:t>
      </w:r>
    </w:p>
    <w:p>
      <w:pPr>
        <w:pStyle w:val="2"/>
        <w:keepNext w:val="0"/>
        <w:keepLines w:val="0"/>
        <w:widowControl/>
        <w:suppressLineNumbers w:val="0"/>
        <w:spacing w:line="360" w:lineRule="auto"/>
        <w:rPr>
          <w:rFonts w:hint="default" w:ascii="Times New Roman Regular" w:hAnsi="Times New Roman Regular" w:cs="Times New Roman Regular"/>
          <w:sz w:val="24"/>
          <w:szCs w:val="24"/>
        </w:rPr>
      </w:pPr>
      <w:r>
        <w:rPr>
          <w:rStyle w:val="5"/>
          <w:rFonts w:hint="default" w:ascii="Times New Roman Regular" w:hAnsi="Times New Roman Regular" w:cs="Times New Roman Regular"/>
          <w:sz w:val="24"/>
          <w:szCs w:val="24"/>
        </w:rPr>
        <w:t>5. Conclusion</w:t>
      </w:r>
    </w:p>
    <w:p>
      <w:pPr>
        <w:pStyle w:val="2"/>
        <w:keepNext w:val="0"/>
        <w:keepLines w:val="0"/>
        <w:widowControl/>
        <w:suppressLineNumbers w:val="0"/>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Critical Period Hypothesis (CPH) suggests a specific period in human life where individuals are more inclined to acquire a language and reach a level of proficiency similar to that of native speakers. This timeframe is commonly identified as from birth to puberty due to the decreasing ability to learn languages as individuals grow older. Numerous research studies have investigated the CPH, presenting arguments supporting and against it. Penfield and Lenneberg established the foundational concepts of the CPH, highlighting the decreasing capability for language acquisition as individuals age. Johnson and Newport's research upheld the CPH by demonstrating that those who immigrated at a younger age achieved superior grammatical skills in English. Nevertheless, recent studies have contested the CPH, proposing that L2 adults can rarely achieve native-like competence.</w:t>
      </w:r>
    </w:p>
    <w:p>
      <w:pPr>
        <w:pStyle w:val="2"/>
        <w:keepNext w:val="0"/>
        <w:keepLines w:val="0"/>
        <w:widowControl/>
        <w:suppressLineNumbers w:val="0"/>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Comparisons between L2 children and adults have uncovered similarities and distinctions in language acquisition. Commonalities include the universal nature of initial language learning mechanisms among different age groups, the influence of sociocultural elements like exposure and motivation, and the importance of positive attitudes toward language learning. Disparities emerge in the effect of the critical period, with children displaying advantages in phonological acquisition and adults relying more on explicit learning methods. Furthermore, L2 children are typically propelled by innate motivation, while adults' drive may be affected by external factors.</w:t>
      </w:r>
    </w:p>
    <w:p>
      <w:pPr>
        <w:pStyle w:val="2"/>
        <w:keepNext w:val="0"/>
        <w:keepLines w:val="0"/>
        <w:widowControl/>
        <w:suppressLineNumbers w:val="0"/>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Implications for education entail the significance of early exposure to the target language for L2 children, the encouragement of motivation, and the provision of consistent feedback for both young and adult learners. They also include the integration of cultural immersion experiences and the adjustment of teaching techniques and materials according to the learners' age and proficiency level. By considering these implications, language instructors can develop effective and stimulating learning environments that cater to the distinct needs of L2 children and adults.</w:t>
      </w:r>
    </w:p>
    <w:p>
      <w:pPr>
        <w:pStyle w:val="2"/>
        <w:keepNext w:val="0"/>
        <w:keepLines w:val="0"/>
        <w:widowControl/>
        <w:suppressLineNumbers w:val="0"/>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Ultimately, by understanding the impact of CPH and combining it with the results of interdisciplinary research, educators can develop wiser and more efficient teaching methods to meet the different learning needs of language learners of different age groups. Whether helping children acquire language or supporting adults in their language-learning journey, it is crucial to carefully grasp the factors that affect language ability in order to cultivate meaningful language development and communication skills for learners of all ages.</w:t>
      </w:r>
    </w:p>
    <w:p>
      <w:pPr>
        <w:spacing w:line="360" w:lineRule="auto"/>
        <w:jc w:val="left"/>
        <w:rPr>
          <w:rFonts w:hint="default" w:ascii="Times New Roman Regular" w:hAnsi="Times New Roman Regular" w:cs="Times New Roman Regular"/>
          <w:sz w:val="24"/>
          <w:szCs w:val="24"/>
        </w:rPr>
      </w:pPr>
    </w:p>
    <w:p>
      <w:pPr>
        <w:spacing w:line="360" w:lineRule="auto"/>
        <w:jc w:val="left"/>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Reference List:</w:t>
      </w:r>
    </w:p>
    <w:p>
      <w:pPr>
        <w:pStyle w:val="2"/>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Birdsong, D. (1999). </w:t>
      </w:r>
      <w:r>
        <w:rPr>
          <w:rFonts w:hint="default" w:ascii="Times New Roman" w:hAnsi="Times New Roman" w:cs="Times New Roman"/>
          <w:i/>
          <w:iCs/>
          <w:sz w:val="24"/>
          <w:szCs w:val="24"/>
        </w:rPr>
        <w:t>Second Language Acquisition and the Critical Period Hypothesis</w:t>
      </w:r>
      <w:r>
        <w:rPr>
          <w:rFonts w:hint="default" w:ascii="Times New Roman" w:hAnsi="Times New Roman" w:cs="Times New Roman"/>
          <w:sz w:val="24"/>
          <w:szCs w:val="24"/>
        </w:rPr>
        <w:t>. Routledge.</w:t>
      </w:r>
    </w:p>
    <w:p>
      <w:pPr>
        <w:pStyle w:val="2"/>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Birdsong, D. (2005). </w:t>
      </w:r>
      <w:r>
        <w:rPr>
          <w:rFonts w:hint="default" w:ascii="Times New Roman" w:hAnsi="Times New Roman" w:cs="Times New Roman"/>
          <w:i/>
          <w:iCs/>
          <w:sz w:val="24"/>
          <w:szCs w:val="24"/>
        </w:rPr>
        <w:t>Interpreting age effects in second language acquisition</w:t>
      </w:r>
      <w:r>
        <w:rPr>
          <w:rFonts w:hint="default" w:ascii="Times New Roman" w:hAnsi="Times New Roman" w:cs="Times New Roman"/>
          <w:sz w:val="24"/>
          <w:szCs w:val="24"/>
        </w:rPr>
        <w:t>.</w:t>
      </w:r>
    </w:p>
    <w:p>
      <w:pPr>
        <w:pStyle w:val="2"/>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Byram, M. (1997). </w:t>
      </w:r>
      <w:r>
        <w:rPr>
          <w:rFonts w:hint="default" w:ascii="Times New Roman" w:hAnsi="Times New Roman" w:cs="Times New Roman"/>
          <w:i/>
          <w:iCs/>
          <w:sz w:val="24"/>
          <w:szCs w:val="24"/>
        </w:rPr>
        <w:t>Teaching and assessing intercultural communicative competence</w:t>
      </w:r>
      <w:r>
        <w:rPr>
          <w:rFonts w:hint="default" w:ascii="Times New Roman" w:hAnsi="Times New Roman" w:cs="Times New Roman"/>
          <w:sz w:val="24"/>
          <w:szCs w:val="24"/>
        </w:rPr>
        <w:t>. Clevedon: Multilingual Matters.</w:t>
      </w:r>
    </w:p>
    <w:p>
      <w:pPr>
        <w:pStyle w:val="2"/>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Carterette, E.C., Friedman, M.P. and Wyman, M.J. (1966). Feedback and Psychophysical Variables in Signal Detection. </w:t>
      </w:r>
      <w:r>
        <w:rPr>
          <w:rFonts w:hint="default" w:ascii="Times New Roman" w:hAnsi="Times New Roman" w:cs="Times New Roman"/>
          <w:i/>
          <w:iCs/>
          <w:sz w:val="24"/>
          <w:szCs w:val="24"/>
        </w:rPr>
        <w:t>The Journal of the Acoustical Society of America</w:t>
      </w:r>
      <w:r>
        <w:rPr>
          <w:rFonts w:hint="default" w:ascii="Times New Roman" w:hAnsi="Times New Roman" w:cs="Times New Roman"/>
          <w:sz w:val="24"/>
          <w:szCs w:val="24"/>
        </w:rPr>
        <w:t>, 39(6), pp.1051–1055. doi:https://doi.org/10.1121/1.1909991.</w:t>
      </w:r>
    </w:p>
    <w:p>
      <w:pPr>
        <w:pStyle w:val="2"/>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DeKeyser, R.M. (2000). The robustness of critical period effects in second language acquisition. </w:t>
      </w:r>
      <w:r>
        <w:rPr>
          <w:rFonts w:hint="default" w:ascii="Times New Roman" w:hAnsi="Times New Roman" w:cs="Times New Roman"/>
          <w:i/>
          <w:iCs/>
          <w:sz w:val="24"/>
          <w:szCs w:val="24"/>
        </w:rPr>
        <w:t>Studies in Second Language Acquisition</w:t>
      </w:r>
      <w:r>
        <w:rPr>
          <w:rFonts w:hint="default" w:ascii="Times New Roman" w:hAnsi="Times New Roman" w:cs="Times New Roman"/>
          <w:sz w:val="24"/>
          <w:szCs w:val="24"/>
        </w:rPr>
        <w:t>, 22(4), pp.499–533. doi:https://doi.org/10.1017/s0272263100004022.</w:t>
      </w:r>
    </w:p>
    <w:p>
      <w:pPr>
        <w:pStyle w:val="2"/>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Dornyei, Z. (1994). Motivation and Motivating in the Foreign Language Classroom. </w:t>
      </w:r>
      <w:r>
        <w:rPr>
          <w:rFonts w:hint="default" w:ascii="Times New Roman" w:hAnsi="Times New Roman" w:cs="Times New Roman"/>
          <w:i/>
          <w:iCs/>
          <w:sz w:val="24"/>
          <w:szCs w:val="24"/>
        </w:rPr>
        <w:t>The Modern Language Journal</w:t>
      </w:r>
      <w:r>
        <w:rPr>
          <w:rFonts w:hint="default" w:ascii="Times New Roman" w:hAnsi="Times New Roman" w:cs="Times New Roman"/>
          <w:sz w:val="24"/>
          <w:szCs w:val="24"/>
        </w:rPr>
        <w:t>, 78(3), pp.273–284. doi:https://doi.org/10.2307/330107.</w:t>
      </w:r>
    </w:p>
    <w:p>
      <w:pPr>
        <w:pStyle w:val="2"/>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Dörnyei, Z. and Ushioda, E. (2011). </w:t>
      </w:r>
      <w:r>
        <w:rPr>
          <w:rFonts w:hint="default" w:ascii="Times New Roman" w:hAnsi="Times New Roman" w:cs="Times New Roman"/>
          <w:i/>
          <w:iCs/>
          <w:sz w:val="24"/>
          <w:szCs w:val="24"/>
        </w:rPr>
        <w:t>Teaching and Researching Motivation</w:t>
      </w:r>
      <w:r>
        <w:rPr>
          <w:rFonts w:hint="default" w:ascii="Times New Roman" w:hAnsi="Times New Roman" w:cs="Times New Roman"/>
          <w:sz w:val="24"/>
          <w:szCs w:val="24"/>
        </w:rPr>
        <w:t>. London: Routledge.</w:t>
      </w:r>
    </w:p>
    <w:p>
      <w:pPr>
        <w:pStyle w:val="2"/>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Du, L. (2010). Assess the Critical Period Hypothesis in Second Language Acquisition. </w:t>
      </w:r>
      <w:r>
        <w:rPr>
          <w:rFonts w:hint="default" w:ascii="Times New Roman" w:hAnsi="Times New Roman" w:cs="Times New Roman"/>
          <w:i/>
          <w:iCs/>
          <w:sz w:val="24"/>
          <w:szCs w:val="24"/>
        </w:rPr>
        <w:t>English Language Teaching</w:t>
      </w:r>
      <w:r>
        <w:rPr>
          <w:rFonts w:hint="default" w:ascii="Times New Roman" w:hAnsi="Times New Roman" w:cs="Times New Roman"/>
          <w:sz w:val="24"/>
          <w:szCs w:val="24"/>
        </w:rPr>
        <w:t>, 3(2). doi:https://doi.org/10.5539/elt.v3n2p219.</w:t>
      </w:r>
    </w:p>
    <w:p>
      <w:pPr>
        <w:pStyle w:val="2"/>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Ellis, R. (1994). </w:t>
      </w:r>
      <w:r>
        <w:rPr>
          <w:rFonts w:hint="default" w:ascii="Times New Roman" w:hAnsi="Times New Roman" w:cs="Times New Roman"/>
          <w:i/>
          <w:iCs/>
          <w:sz w:val="24"/>
          <w:szCs w:val="24"/>
        </w:rPr>
        <w:t>The Study of Second Language Acquisition = 第二语言习得研究 /</w:t>
      </w:r>
      <w:r>
        <w:rPr>
          <w:rFonts w:hint="default" w:ascii="Times New Roman" w:hAnsi="Times New Roman" w:cs="Times New Roman"/>
          <w:sz w:val="24"/>
          <w:szCs w:val="24"/>
        </w:rPr>
        <w:t>. 上海外语教育出版社.</w:t>
      </w:r>
    </w:p>
    <w:p>
      <w:pPr>
        <w:pStyle w:val="2"/>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Flege, J. (1995). </w:t>
      </w:r>
      <w:r>
        <w:rPr>
          <w:rFonts w:hint="default" w:ascii="Times New Roman" w:hAnsi="Times New Roman" w:cs="Times New Roman"/>
          <w:i/>
          <w:iCs/>
          <w:sz w:val="24"/>
          <w:szCs w:val="24"/>
        </w:rPr>
        <w:t>Second language speech learning: Theory, findings and problems</w:t>
      </w:r>
      <w:r>
        <w:rPr>
          <w:rFonts w:hint="default" w:ascii="Times New Roman" w:hAnsi="Times New Roman" w:cs="Times New Roman"/>
          <w:sz w:val="24"/>
          <w:szCs w:val="24"/>
        </w:rPr>
        <w:t>.</w:t>
      </w:r>
    </w:p>
    <w:p>
      <w:pPr>
        <w:pStyle w:val="2"/>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Gardner, R.C. (1985). </w:t>
      </w:r>
      <w:r>
        <w:rPr>
          <w:rFonts w:hint="default" w:ascii="Times New Roman" w:hAnsi="Times New Roman" w:cs="Times New Roman"/>
          <w:i/>
          <w:iCs/>
          <w:sz w:val="24"/>
          <w:szCs w:val="24"/>
        </w:rPr>
        <w:t>Social psychology and second language learning: The role of attitudes and motivation.</w:t>
      </w:r>
      <w:r>
        <w:rPr>
          <w:rFonts w:hint="default" w:ascii="Times New Roman" w:hAnsi="Times New Roman" w:cs="Times New Roman"/>
          <w:sz w:val="24"/>
          <w:szCs w:val="24"/>
        </w:rPr>
        <w:t xml:space="preserve"> London: Edward Arnold.</w:t>
      </w:r>
    </w:p>
    <w:p>
      <w:pPr>
        <w:pStyle w:val="2"/>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Hakuta, K., Bialystok, E. and Wiley, E. (2003). Critical evidence: A test of the critical-period hypothesis for second-language acquisition. </w:t>
      </w:r>
      <w:r>
        <w:rPr>
          <w:rFonts w:hint="default" w:ascii="Times New Roman" w:hAnsi="Times New Roman" w:cs="Times New Roman"/>
          <w:i/>
          <w:iCs/>
          <w:sz w:val="24"/>
          <w:szCs w:val="24"/>
        </w:rPr>
        <w:t>Psychological Science</w:t>
      </w:r>
      <w:r>
        <w:rPr>
          <w:rFonts w:hint="default" w:ascii="Times New Roman" w:hAnsi="Times New Roman" w:cs="Times New Roman"/>
          <w:sz w:val="24"/>
          <w:szCs w:val="24"/>
        </w:rPr>
        <w:t>, 14(1), pp.31–38. doi:https://doi.org/10.1111/1467-9280.01415.</w:t>
      </w:r>
    </w:p>
    <w:p>
      <w:pPr>
        <w:pStyle w:val="2"/>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Hubel, D.H. and Wiesel, T.N. (1970). The period of susceptibility to the physiological effects of unilateral eye closure in kittens. </w:t>
      </w:r>
      <w:r>
        <w:rPr>
          <w:rFonts w:hint="default" w:ascii="Times New Roman" w:hAnsi="Times New Roman" w:cs="Times New Roman"/>
          <w:i/>
          <w:iCs/>
          <w:sz w:val="24"/>
          <w:szCs w:val="24"/>
        </w:rPr>
        <w:t>The Journal of Physiology</w:t>
      </w:r>
      <w:r>
        <w:rPr>
          <w:rFonts w:hint="default" w:ascii="Times New Roman" w:hAnsi="Times New Roman" w:cs="Times New Roman"/>
          <w:sz w:val="24"/>
          <w:szCs w:val="24"/>
        </w:rPr>
        <w:t>, 206(2), pp.419–436. doi:https://doi.org/10.1113/jphysiol.1970.sp009022.</w:t>
      </w:r>
    </w:p>
    <w:p>
      <w:pPr>
        <w:pStyle w:val="2"/>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Johnson, J.S. and Newport, E.L. (1989). Critical period effects in second language learning: The influence of maturational state on the acquisition of English as a second language. </w:t>
      </w:r>
      <w:r>
        <w:rPr>
          <w:rFonts w:hint="default" w:ascii="Times New Roman" w:hAnsi="Times New Roman" w:cs="Times New Roman"/>
          <w:i/>
          <w:iCs/>
          <w:sz w:val="24"/>
          <w:szCs w:val="24"/>
        </w:rPr>
        <w:t>Cognitive Psychology</w:t>
      </w:r>
      <w:r>
        <w:rPr>
          <w:rFonts w:hint="default" w:ascii="Times New Roman" w:hAnsi="Times New Roman" w:cs="Times New Roman"/>
          <w:sz w:val="24"/>
          <w:szCs w:val="24"/>
        </w:rPr>
        <w:t>, [online] 21(1), pp.60–99. doi:https://doi.org/10.1016/0010-0285(89)90003-0.</w:t>
      </w:r>
    </w:p>
    <w:p>
      <w:pPr>
        <w:pStyle w:val="2"/>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Krashen, S.D. (1982). </w:t>
      </w:r>
      <w:r>
        <w:rPr>
          <w:rFonts w:hint="default" w:ascii="Times New Roman" w:hAnsi="Times New Roman" w:cs="Times New Roman"/>
          <w:i/>
          <w:iCs/>
          <w:sz w:val="24"/>
          <w:szCs w:val="24"/>
        </w:rPr>
        <w:t>Principles and Practice in Second Language Acquisition</w:t>
      </w:r>
      <w:r>
        <w:rPr>
          <w:rFonts w:hint="default" w:ascii="Times New Roman" w:hAnsi="Times New Roman" w:cs="Times New Roman"/>
          <w:sz w:val="24"/>
          <w:szCs w:val="24"/>
        </w:rPr>
        <w:t>. Pergamon.</w:t>
      </w:r>
    </w:p>
    <w:p>
      <w:pPr>
        <w:pStyle w:val="2"/>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Krashen, S.D., Long, M.A. and Scarcella, R.C. (1979). Age, Rate and Eventual Attainment in Second Language Acquisition. </w:t>
      </w:r>
      <w:r>
        <w:rPr>
          <w:rFonts w:hint="default" w:ascii="Times New Roman" w:hAnsi="Times New Roman" w:cs="Times New Roman"/>
          <w:i/>
          <w:iCs/>
          <w:sz w:val="24"/>
          <w:szCs w:val="24"/>
        </w:rPr>
        <w:t>TESOL Quarterly</w:t>
      </w:r>
      <w:r>
        <w:rPr>
          <w:rFonts w:hint="default" w:ascii="Times New Roman" w:hAnsi="Times New Roman" w:cs="Times New Roman"/>
          <w:sz w:val="24"/>
          <w:szCs w:val="24"/>
        </w:rPr>
        <w:t>, 13(4), p.573. doi:https://doi.org/10.2307/3586451.</w:t>
      </w:r>
    </w:p>
    <w:p>
      <w:pPr>
        <w:pStyle w:val="2"/>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Krashen, S.D. and Terrell, T.D. (1988). </w:t>
      </w:r>
      <w:r>
        <w:rPr>
          <w:rFonts w:hint="default" w:ascii="Times New Roman" w:hAnsi="Times New Roman" w:cs="Times New Roman"/>
          <w:i/>
          <w:iCs/>
          <w:sz w:val="24"/>
          <w:szCs w:val="24"/>
        </w:rPr>
        <w:t>The Natural Approach</w:t>
      </w:r>
      <w:r>
        <w:rPr>
          <w:rFonts w:hint="default" w:ascii="Times New Roman" w:hAnsi="Times New Roman" w:cs="Times New Roman"/>
          <w:sz w:val="24"/>
          <w:szCs w:val="24"/>
        </w:rPr>
        <w:t>. Bloodaxe Books.</w:t>
      </w:r>
    </w:p>
    <w:p>
      <w:pPr>
        <w:pStyle w:val="2"/>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Lenneberg, E.H. (1967). </w:t>
      </w:r>
      <w:r>
        <w:rPr>
          <w:rFonts w:hint="default" w:ascii="Times New Roman" w:hAnsi="Times New Roman" w:cs="Times New Roman"/>
          <w:i/>
          <w:iCs/>
          <w:sz w:val="24"/>
          <w:szCs w:val="24"/>
        </w:rPr>
        <w:t>Biological foundations of language</w:t>
      </w:r>
      <w:r>
        <w:rPr>
          <w:rFonts w:hint="default" w:ascii="Times New Roman" w:hAnsi="Times New Roman" w:cs="Times New Roman"/>
          <w:sz w:val="24"/>
          <w:szCs w:val="24"/>
        </w:rPr>
        <w:t>. New York: Wiley.</w:t>
      </w:r>
    </w:p>
    <w:p>
      <w:pPr>
        <w:pStyle w:val="2"/>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Lightbown, P.M. and Spada, N. (2013). </w:t>
      </w:r>
      <w:r>
        <w:rPr>
          <w:rFonts w:hint="default" w:ascii="Times New Roman" w:hAnsi="Times New Roman" w:cs="Times New Roman"/>
          <w:i/>
          <w:iCs/>
          <w:sz w:val="24"/>
          <w:szCs w:val="24"/>
        </w:rPr>
        <w:t>How Languages Are Learned</w:t>
      </w:r>
      <w:r>
        <w:rPr>
          <w:rFonts w:hint="default" w:ascii="Times New Roman" w:hAnsi="Times New Roman" w:cs="Times New Roman"/>
          <w:sz w:val="24"/>
          <w:szCs w:val="24"/>
        </w:rPr>
        <w:t>. 4th ed. Oxford: Oxford University Press.</w:t>
      </w:r>
    </w:p>
    <w:p>
      <w:pPr>
        <w:pStyle w:val="2"/>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Long, M.H. (1983). Linguistic and Conversational Adjustments to Non-Native Speakers. </w:t>
      </w:r>
      <w:r>
        <w:rPr>
          <w:rFonts w:hint="default" w:ascii="Times New Roman" w:hAnsi="Times New Roman" w:cs="Times New Roman"/>
          <w:i/>
          <w:iCs/>
          <w:sz w:val="24"/>
          <w:szCs w:val="24"/>
        </w:rPr>
        <w:t>Studies in Second Language Acquisition</w:t>
      </w:r>
      <w:r>
        <w:rPr>
          <w:rFonts w:hint="default" w:ascii="Times New Roman" w:hAnsi="Times New Roman" w:cs="Times New Roman"/>
          <w:sz w:val="24"/>
          <w:szCs w:val="24"/>
        </w:rPr>
        <w:t>, [online] 5(2), pp.177–193. doi:https://doi.org/10.1017/s0272263100004848.</w:t>
      </w:r>
    </w:p>
    <w:p>
      <w:pPr>
        <w:pStyle w:val="2"/>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Newport, E. (1990). Maturational constraints on language learning. </w:t>
      </w:r>
      <w:r>
        <w:rPr>
          <w:rFonts w:hint="default" w:ascii="Times New Roman" w:hAnsi="Times New Roman" w:cs="Times New Roman"/>
          <w:i/>
          <w:iCs/>
          <w:sz w:val="24"/>
          <w:szCs w:val="24"/>
        </w:rPr>
        <w:t>Cognitive Science</w:t>
      </w:r>
      <w:r>
        <w:rPr>
          <w:rFonts w:hint="default" w:ascii="Times New Roman" w:hAnsi="Times New Roman" w:cs="Times New Roman"/>
          <w:sz w:val="24"/>
          <w:szCs w:val="24"/>
        </w:rPr>
        <w:t>, 14(1), pp.11–28. doi:https://doi.org/10.1016/0364-0213(90)90024-q.</w:t>
      </w:r>
    </w:p>
    <w:p>
      <w:pPr>
        <w:pStyle w:val="2"/>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Noam Chomsky (1957). </w:t>
      </w:r>
      <w:r>
        <w:rPr>
          <w:rFonts w:hint="default" w:ascii="Times New Roman" w:hAnsi="Times New Roman" w:cs="Times New Roman"/>
          <w:i/>
          <w:iCs/>
          <w:sz w:val="24"/>
          <w:szCs w:val="24"/>
        </w:rPr>
        <w:t>Syntactic structures</w:t>
      </w:r>
      <w:r>
        <w:rPr>
          <w:rFonts w:hint="default" w:ascii="Times New Roman" w:hAnsi="Times New Roman" w:cs="Times New Roman"/>
          <w:sz w:val="24"/>
          <w:szCs w:val="24"/>
        </w:rPr>
        <w:t>. Mansfield Centre, Conn.: Martino.</w:t>
      </w:r>
    </w:p>
    <w:p>
      <w:pPr>
        <w:pStyle w:val="2"/>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Ullman, M.T. (2001). The neural basis of lexicon and grammar in first and second language: the declarative/procedural model. </w:t>
      </w:r>
      <w:r>
        <w:rPr>
          <w:rFonts w:hint="default" w:ascii="Times New Roman" w:hAnsi="Times New Roman" w:cs="Times New Roman"/>
          <w:i/>
          <w:iCs/>
          <w:sz w:val="24"/>
          <w:szCs w:val="24"/>
        </w:rPr>
        <w:t>Bilingualism: Language and Cognition</w:t>
      </w:r>
      <w:r>
        <w:rPr>
          <w:rFonts w:hint="default" w:ascii="Times New Roman" w:hAnsi="Times New Roman" w:cs="Times New Roman"/>
          <w:sz w:val="24"/>
          <w:szCs w:val="24"/>
        </w:rPr>
        <w:t>, 4(2), pp.105–122. doi:https://doi.org/10.1017/s1366728901000220.</w:t>
      </w:r>
    </w:p>
    <w:p>
      <w:pPr>
        <w:pStyle w:val="2"/>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Unsworth, S. (2007). Child L2, Adult L2, Child L1: Differences and Similarities. A Study on the Acquisition of Direct Object Scrambling in Dutch. </w:t>
      </w:r>
      <w:r>
        <w:rPr>
          <w:rFonts w:hint="default" w:ascii="Times New Roman" w:hAnsi="Times New Roman" w:cs="Times New Roman"/>
          <w:i/>
          <w:iCs/>
          <w:sz w:val="24"/>
          <w:szCs w:val="24"/>
        </w:rPr>
        <w:t>Language Acquisition</w:t>
      </w:r>
      <w:r>
        <w:rPr>
          <w:rFonts w:hint="default" w:ascii="Times New Roman" w:hAnsi="Times New Roman" w:cs="Times New Roman"/>
          <w:sz w:val="24"/>
          <w:szCs w:val="24"/>
        </w:rPr>
        <w:t>, 14(2), pp.215–217. doi:https://doi.org/10.1080/10489220701353891.</w:t>
      </w:r>
    </w:p>
    <w:p>
      <w:pPr>
        <w:pStyle w:val="2"/>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Vanpatten, B. (1996). </w:t>
      </w:r>
      <w:r>
        <w:rPr>
          <w:rFonts w:hint="default" w:ascii="Times New Roman" w:hAnsi="Times New Roman" w:cs="Times New Roman"/>
          <w:i/>
          <w:iCs/>
          <w:sz w:val="24"/>
          <w:szCs w:val="24"/>
        </w:rPr>
        <w:t>Input processing and grammar instruction in second language acquisition</w:t>
      </w:r>
      <w:r>
        <w:rPr>
          <w:rFonts w:hint="default" w:ascii="Times New Roman" w:hAnsi="Times New Roman" w:cs="Times New Roman"/>
          <w:sz w:val="24"/>
          <w:szCs w:val="24"/>
        </w:rPr>
        <w:t>. Norwood, N.J.: Ablex Pub.</w:t>
      </w:r>
    </w:p>
    <w:p>
      <w:pPr>
        <w:pStyle w:val="2"/>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Wang, Y., Derakhshan, A. and Zhang, L.J. (2021). Researching and Practicing Positive Psychology in Second/Foreign Language Learning and Teaching: The Past, Current Status and Future Directions. </w:t>
      </w:r>
      <w:r>
        <w:rPr>
          <w:rFonts w:hint="default" w:ascii="Times New Roman" w:hAnsi="Times New Roman" w:cs="Times New Roman"/>
          <w:i/>
          <w:iCs/>
          <w:sz w:val="24"/>
          <w:szCs w:val="24"/>
        </w:rPr>
        <w:t>Frontiers in Psychology</w:t>
      </w:r>
      <w:r>
        <w:rPr>
          <w:rFonts w:hint="default" w:ascii="Times New Roman" w:hAnsi="Times New Roman" w:cs="Times New Roman"/>
          <w:sz w:val="24"/>
          <w:szCs w:val="24"/>
        </w:rPr>
        <w:t>, 12(25（1）). doi:https://doi.org/10.3389/fpsyg.2021.731721.</w:t>
      </w:r>
    </w:p>
    <w:p>
      <w:pPr>
        <w:pStyle w:val="2"/>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Wilder Penfield (2016). </w:t>
      </w:r>
      <w:r>
        <w:rPr>
          <w:rFonts w:hint="default" w:ascii="Times New Roman" w:hAnsi="Times New Roman" w:cs="Times New Roman"/>
          <w:i/>
          <w:iCs/>
          <w:sz w:val="24"/>
          <w:szCs w:val="24"/>
        </w:rPr>
        <w:t>Speech and brain mechanisms.</w:t>
      </w:r>
      <w:r>
        <w:rPr>
          <w:rFonts w:hint="default" w:ascii="Times New Roman" w:hAnsi="Times New Roman" w:cs="Times New Roman"/>
          <w:sz w:val="24"/>
          <w:szCs w:val="24"/>
        </w:rPr>
        <w:t xml:space="preserve"> Princeton University Pres.</w:t>
      </w:r>
    </w:p>
    <w:p>
      <w:pPr>
        <w:spacing w:line="360" w:lineRule="auto"/>
        <w:jc w:val="left"/>
        <w:rPr>
          <w:rFonts w:hint="default" w:ascii="Times New Roman Regular" w:hAnsi="Times New Roman Regular" w:cs="Times New Roman Regular"/>
          <w:sz w:val="24"/>
          <w:szCs w:val="24"/>
        </w:rPr>
      </w:pPr>
    </w:p>
    <w:sectPr>
      <w:pgSz w:w="11906" w:h="16838"/>
      <w:pgMar w:top="1440" w:right="1440" w:bottom="1440" w:left="1440" w:header="851" w:footer="992" w:gutter="0"/>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503050405090304"/>
    <w:charset w:val="86"/>
    <w:family w:val="auto"/>
    <w:pitch w:val="default"/>
    <w:sig w:usb0="E0000AFF" w:usb1="00007843" w:usb2="00000001" w:usb3="00000000" w:csb0="400001BF" w:csb1="DFF7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Times New Roman Bold">
    <w:panose1 w:val="02020503050405090304"/>
    <w:charset w:val="00"/>
    <w:family w:val="auto"/>
    <w:pitch w:val="default"/>
    <w:sig w:usb0="E0000AFF" w:usb1="00007843" w:usb2="00000001" w:usb3="00000000" w:csb0="400001BF" w:csb1="DFF70000"/>
  </w:font>
  <w:font w:name="Times New Roman Regular">
    <w:panose1 w:val="02020503050405090304"/>
    <w:charset w:val="00"/>
    <w:family w:val="auto"/>
    <w:pitch w:val="default"/>
    <w:sig w:usb0="E0000AFF" w:usb1="00007843" w:usb2="00000001" w:usb3="00000000" w:csb0="400001BF" w:csb1="DFF7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Georgia Regular">
    <w:panose1 w:val="02040502050405090303"/>
    <w:charset w:val="00"/>
    <w:family w:val="auto"/>
    <w:pitch w:val="default"/>
    <w:sig w:usb0="00000287" w:usb1="00000000" w:usb2="00000000" w:usb3="00000000" w:csb0="2000009F" w:csb1="00000000"/>
  </w:font>
  <w:font w:name="Gurmukhi Sangam MN Regular">
    <w:panose1 w:val="00000500000000000000"/>
    <w:charset w:val="00"/>
    <w:family w:val="auto"/>
    <w:pitch w:val="default"/>
    <w:sig w:usb0="00020001" w:usb1="00000000" w:usb2="00000000" w:usb3="00000000" w:csb0="00000000" w:csb1="00000000"/>
  </w:font>
  <w:font w:name="雅痞-繁">
    <w:panose1 w:val="020F0603040207020204"/>
    <w:charset w:val="86"/>
    <w:family w:val="auto"/>
    <w:pitch w:val="default"/>
    <w:sig w:usb0="A00002FF" w:usb1="7ACFFCFB" w:usb2="0000001E" w:usb3="00000000" w:csb0="20140197" w:csb1="00000000"/>
  </w:font>
  <w:font w:name="Al Nile Regular">
    <w:panose1 w:val="00000400000000000000"/>
    <w:charset w:val="00"/>
    <w:family w:val="auto"/>
    <w:pitch w:val="default"/>
    <w:sig w:usb0="00000003" w:usb1="00000000" w:usb2="00000000" w:usb3="00000000" w:csb0="00000001" w:csb1="00000000"/>
  </w:font>
  <w:font w:name="宋体-简">
    <w:panose1 w:val="02010800040101010101"/>
    <w:charset w:val="86"/>
    <w:family w:val="auto"/>
    <w:pitch w:val="default"/>
    <w:sig w:usb0="00000001" w:usb1="080F0000" w:usb2="00000000" w:usb3="00000000" w:csb0="00040000" w:csb1="00000000"/>
  </w:font>
  <w:font w:name="方正仿宋_GBK">
    <w:panose1 w:val="02000000000000000000"/>
    <w:charset w:val="86"/>
    <w:family w:val="auto"/>
    <w:pitch w:val="default"/>
    <w:sig w:usb0="A00002BF" w:usb1="38CF7CFA" w:usb2="0008201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9"/>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A07FA337"/>
    <w:rsid w:val="3F6DE032"/>
    <w:rsid w:val="5D75FE4B"/>
    <w:rsid w:val="6EB23D08"/>
    <w:rsid w:val="77B4B630"/>
    <w:rsid w:val="7AB67128"/>
    <w:rsid w:val="A07FA337"/>
    <w:rsid w:val="FB6F8EE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2">
    <w:name w:val="Normal (Web)"/>
    <w:basedOn w:val="1"/>
    <w:uiPriority w:val="0"/>
    <w:pPr>
      <w:spacing w:before="0" w:beforeAutospacing="1" w:after="0" w:afterAutospacing="1"/>
      <w:ind w:left="0" w:right="0"/>
      <w:jc w:val="left"/>
    </w:pPr>
    <w:rPr>
      <w:kern w:val="0"/>
      <w:sz w:val="24"/>
      <w:lang w:val="en-US" w:eastAsia="zh-CN" w:bidi="ar"/>
    </w:rPr>
  </w:style>
  <w:style w:type="character" w:styleId="5">
    <w:name w:val="Strong"/>
    <w:basedOn w:val="4"/>
    <w:qFormat/>
    <w:uiPriority w:val="0"/>
    <w:rPr>
      <w:b/>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12</Pages>
  <Words>0</Words>
  <Characters>0</Characters>
  <Lines>1</Lines>
  <Paragraphs>1</Paragraphs>
  <TotalTime>95</TotalTime>
  <ScaleCrop>false</ScaleCrop>
  <LinksUpToDate>false</LinksUpToDate>
  <CharactersWithSpaces>0</CharactersWithSpaces>
  <Application>WPS Office_6.6.1.8808_F1E327BC-269C-435d-A152-05C5408002CA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2024-04-17T23:44:00Z</dcterms:created>
  <dc:creator>郝豆豆</dc:creator>
  <cp:lastModifiedBy>郝豆豆</cp:lastModifiedBy>
  <dcterms:modified xsi:type="dcterms:W3CDTF">2024-04-18T21:04:24Z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2052-6.6.1.8808</vt:lpwstr>
  </property>
  <property fmtid="{D5CDD505-2E9C-101B-9397-08002B2CF9AE}" pid="3" name="ICV">
    <vt:lpwstr>37EC0CB8DA0336A2C87C2166B8544DBE_43</vt:lpwstr>
  </property>
</Properties>
</file>