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fill="FFFFFF"/>
        <w:spacing w:before="0" w:beforeAutospacing="1" w:after="0" w:afterAutospacing="1"/>
        <w:ind w:left="0" w:right="0" w:firstLine="0"/>
        <w:jc w:val="left"/>
        <w:rPr>
          <w:rFonts w:hint="default" w:ascii="Arial" w:hAnsi="Arial" w:cs="Arial"/>
          <w:i w:val="0"/>
          <w:iCs w:val="0"/>
          <w:caps w:val="0"/>
          <w:color w:val="000000"/>
          <w:spacing w:val="0"/>
          <w:sz w:val="24"/>
          <w:szCs w:val="24"/>
        </w:rPr>
      </w:pPr>
      <w:r>
        <w:rPr>
          <w:rFonts w:hint="default" w:ascii="Arial" w:hAnsi="Arial" w:eastAsia="Times" w:cs="Arial"/>
          <w:i w:val="0"/>
          <w:iCs w:val="0"/>
          <w:caps w:val="0"/>
          <w:color w:val="000000"/>
          <w:spacing w:val="0"/>
          <w:kern w:val="0"/>
          <w:sz w:val="24"/>
          <w:szCs w:val="24"/>
          <w:shd w:val="clear" w:fill="FFFFFF"/>
          <w:lang w:val="en-US" w:eastAsia="zh-CN" w:bidi="ar"/>
        </w:rPr>
        <w:br w:type="textWrapping"/>
      </w:r>
      <w:r>
        <w:rPr>
          <w:rFonts w:hint="default" w:ascii="Arial" w:hAnsi="Arial" w:cs="Arial" w:eastAsiaTheme="minorEastAsia"/>
          <w:i w:val="0"/>
          <w:iCs w:val="0"/>
          <w:caps w:val="0"/>
          <w:color w:val="000000"/>
          <w:spacing w:val="0"/>
          <w:kern w:val="0"/>
          <w:sz w:val="24"/>
          <w:szCs w:val="24"/>
          <w:shd w:val="clear" w:fill="FFFFFF"/>
          <w:lang w:val="en-US" w:eastAsia="zh-CN" w:bidi="ar"/>
        </w:rPr>
        <w:t>According to Freud (1943), 'play' plays an instrumental role in children's social and cognitive development. His psychoanalytic theory suggests that play can dispel negative emotions and replace them with positive ones.</w:t>
      </w:r>
      <w:r>
        <w:rPr>
          <w:rFonts w:hint="default" w:ascii="Arial" w:hAnsi="Arial" w:cs="Arial" w:eastAsiaTheme="minorEastAsia"/>
          <w:i w:val="0"/>
          <w:iCs w:val="0"/>
          <w:caps w:val="0"/>
          <w:color w:val="000000"/>
          <w:spacing w:val="-2"/>
          <w:kern w:val="0"/>
          <w:sz w:val="24"/>
          <w:szCs w:val="24"/>
          <w:shd w:val="clear" w:fill="FFFFFF"/>
          <w:lang w:val="en-US" w:eastAsia="zh-CN" w:bidi="ar"/>
        </w:rPr>
        <w:t> Additionally, he recommends that children should be allowed to play and engage in games frequently, since combining imagination with experience is essential to their development. </w:t>
      </w:r>
      <w:r>
        <w:rPr>
          <w:rFonts w:hint="default" w:ascii="Arial" w:hAnsi="Arial" w:cs="Arial" w:eastAsiaTheme="minorEastAsia"/>
          <w:i w:val="0"/>
          <w:iCs w:val="0"/>
          <w:caps w:val="0"/>
          <w:color w:val="000000"/>
          <w:spacing w:val="0"/>
          <w:kern w:val="0"/>
          <w:sz w:val="24"/>
          <w:szCs w:val="24"/>
          <w:shd w:val="clear" w:fill="FFFFFF"/>
          <w:lang w:val="en-US" w:eastAsia="zh-CN" w:bidi="ar"/>
        </w:rPr>
        <w:t>Unlike Freud (1950), Piaget (1950) focused less on the emotional and psychological aspects of a child's development through play, placing a greater emphasis on a specific structure according to the age of the child. The type of play and games a child experiences should be determined by their age and appropriate for the stage they are at. His main concerns were intelligence, adaptive thinking, and behavior levels. By combining these two approaches to play, we are able to achieve a combination of progressive activity and free recreation that is beneficial to young children.</w:t>
      </w:r>
    </w:p>
    <w:p>
      <w:pPr>
        <w:keepNext w:val="0"/>
        <w:keepLines w:val="0"/>
        <w:widowControl/>
        <w:suppressLineNumbers w:val="0"/>
        <w:shd w:val="clear" w:fill="FFFFFF"/>
        <w:spacing w:before="0" w:beforeAutospacing="1" w:after="0" w:afterAutospacing="1"/>
        <w:ind w:left="0" w:right="0" w:firstLine="0"/>
        <w:jc w:val="left"/>
        <w:rPr>
          <w:rFonts w:hint="default" w:ascii="Arial" w:hAnsi="Arial" w:cs="Arial"/>
          <w:i w:val="0"/>
          <w:iCs w:val="0"/>
          <w:caps w:val="0"/>
          <w:color w:val="000000"/>
          <w:spacing w:val="0"/>
          <w:sz w:val="24"/>
          <w:szCs w:val="24"/>
        </w:rPr>
      </w:pPr>
      <w:r>
        <w:rPr>
          <w:rFonts w:hint="default" w:ascii="Arial" w:hAnsi="Arial" w:cs="Arial" w:eastAsiaTheme="minorEastAsia"/>
          <w:i w:val="0"/>
          <w:iCs w:val="0"/>
          <w:caps w:val="0"/>
          <w:color w:val="000000"/>
          <w:spacing w:val="0"/>
          <w:kern w:val="0"/>
          <w:sz w:val="24"/>
          <w:szCs w:val="24"/>
          <w:shd w:val="clear" w:fill="FFFFFF"/>
          <w:lang w:val="en-US" w:eastAsia="zh-CN" w:bidi="ar"/>
        </w:rPr>
        <w:t>Bruno (1960) and Vygotsky (1978) emphasize the importance of the child's environment, including the social setting, as well as the need for caregivers to play an active role in the child's development. Vygotsky (1978) suggested that when a student is in the zone of proximal development for a given task, providing the appropriate assistance will boost the student's performance. Elaborated by Kozulin (2003), It is suggested to be important for someone moving through the zone of proximal development to pay attention to the key components that aid the learning process: someone with knowledge and skills that are different from the learner. Learners are able to observe and practice under the guidance of a skilled tutor. In order to develop through the zone of proximal development, the educator provides "scaffolding" and supports the student (Holzman, 2009). As with Vygotsky (1978), Bruner emphasized the social nature of learning. The development of skills requires scaffolding. Essentially, this involves slightly reducing the amount of freedom available to a child to perform particular tasks in order to concentrate on learning a difficult skill. Providing scaffolding involves structuring interactions between an adult and a child in order to help the child accomplish a specific goal.</w:t>
      </w:r>
    </w:p>
    <w:p>
      <w:pPr>
        <w:pStyle w:val="6"/>
        <w:keepNext w:val="0"/>
        <w:keepLines w:val="0"/>
        <w:widowControl/>
        <w:suppressLineNumbers w:val="0"/>
        <w:shd w:val="clear" w:fill="FFFFFF"/>
        <w:spacing w:before="0" w:beforeAutospacing="0" w:after="165" w:afterAutospacing="0"/>
        <w:ind w:left="0" w:right="0" w:firstLine="0"/>
        <w:jc w:val="left"/>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kern w:val="0"/>
          <w:sz w:val="24"/>
          <w:szCs w:val="24"/>
          <w:shd w:val="clear" w:fill="FFFFFF"/>
          <w:lang w:val="en-US" w:eastAsia="zh-CN" w:bidi="ar"/>
        </w:rPr>
        <w:t>In summary, all theorists have their perspective on the importance of play and each can be applied by practitioners to the child's development through work and play.</w:t>
      </w:r>
    </w:p>
    <w:p>
      <w:pPr>
        <w:pStyle w:val="6"/>
        <w:keepNext w:val="0"/>
        <w:keepLines w:val="0"/>
        <w:widowControl/>
        <w:suppressLineNumbers w:val="0"/>
        <w:spacing w:before="0" w:beforeAutospacing="0" w:after="165" w:afterAutospacing="0"/>
        <w:ind w:left="0" w:right="0"/>
        <w:rPr>
          <w:rFonts w:hint="default" w:ascii="Arial" w:hAnsi="Arial" w:eastAsia="Georgia" w:cs="Arial"/>
          <w:b w:val="0"/>
          <w:bCs w:val="0"/>
          <w:color w:val="000000" w:themeColor="text1"/>
          <w:sz w:val="24"/>
          <w:szCs w:val="24"/>
          <w14:textFill>
            <w14:solidFill>
              <w14:schemeClr w14:val="tx1"/>
            </w14:solidFill>
          </w14:textFill>
        </w:rPr>
      </w:pPr>
    </w:p>
    <w:p>
      <w:pPr>
        <w:rPr>
          <w:rFonts w:hint="default" w:ascii="Arial" w:hAnsi="Arial" w:eastAsia="SimSun" w:cs="Arial"/>
          <w:sz w:val="24"/>
          <w:szCs w:val="24"/>
        </w:rPr>
      </w:pPr>
    </w:p>
    <w:p>
      <w:pPr>
        <w:rPr>
          <w:rFonts w:hint="default" w:ascii="Arial" w:hAnsi="Arial" w:eastAsia="SimSun" w:cs="Arial"/>
          <w:sz w:val="24"/>
          <w:szCs w:val="24"/>
        </w:rPr>
      </w:pPr>
    </w:p>
    <w:p>
      <w:pPr>
        <w:rPr>
          <w:rFonts w:hint="default" w:ascii="Arial" w:hAnsi="Arial" w:eastAsia="SimSun" w:cs="Arial"/>
          <w:sz w:val="24"/>
          <w:szCs w:val="24"/>
        </w:rPr>
      </w:pPr>
    </w:p>
    <w:p>
      <w:pPr>
        <w:rPr>
          <w:rFonts w:hint="default" w:ascii="Arial" w:hAnsi="Arial" w:eastAsia="SimSun" w:cs="Arial"/>
          <w:sz w:val="24"/>
          <w:szCs w:val="24"/>
        </w:rPr>
      </w:pPr>
    </w:p>
    <w:p>
      <w:pPr>
        <w:rPr>
          <w:rFonts w:hint="default" w:ascii="Arial" w:hAnsi="Arial" w:eastAsia="SimSun" w:cs="Arial"/>
          <w:i w:val="0"/>
          <w:iCs w:val="0"/>
          <w:caps w:val="0"/>
          <w:color w:val="2C3E50"/>
          <w:spacing w:val="0"/>
          <w:sz w:val="24"/>
          <w:szCs w:val="24"/>
          <w:shd w:val="clear" w:fill="FEF1C4"/>
        </w:rPr>
      </w:pPr>
    </w:p>
    <w:p>
      <w:pPr>
        <w:rPr>
          <w:rFonts w:hint="default" w:ascii="Arial" w:hAnsi="Arial" w:eastAsia="SimSun" w:cs="Arial"/>
          <w:i w:val="0"/>
          <w:iCs w:val="0"/>
          <w:caps w:val="0"/>
          <w:color w:val="2C3E50"/>
          <w:spacing w:val="0"/>
          <w:sz w:val="24"/>
          <w:szCs w:val="24"/>
          <w:shd w:val="clear" w:fill="FEF1C4"/>
        </w:rPr>
      </w:pPr>
    </w:p>
    <w:p>
      <w:pPr>
        <w:rPr>
          <w:rFonts w:hint="default" w:ascii="Arial" w:hAnsi="Arial" w:eastAsia="SimSun" w:cs="Arial"/>
          <w:i w:val="0"/>
          <w:iCs w:val="0"/>
          <w:caps w:val="0"/>
          <w:color w:val="2C3E50"/>
          <w:spacing w:val="0"/>
          <w:sz w:val="24"/>
          <w:szCs w:val="24"/>
          <w:shd w:val="clear" w:fill="FEF1C4"/>
        </w:rPr>
      </w:pPr>
    </w:p>
    <w:p>
      <w:pPr>
        <w:rPr>
          <w:rFonts w:hint="default" w:ascii="Arial" w:hAnsi="Arial" w:eastAsia="SimSun" w:cs="Arial"/>
          <w:i w:val="0"/>
          <w:iCs w:val="0"/>
          <w:caps w:val="0"/>
          <w:color w:val="2C3E50"/>
          <w:spacing w:val="0"/>
          <w:sz w:val="24"/>
          <w:szCs w:val="24"/>
          <w:shd w:val="clear" w:fill="FEF1C4"/>
        </w:rPr>
      </w:pPr>
    </w:p>
    <w:p>
      <w:pPr>
        <w:rPr>
          <w:rFonts w:hint="default" w:ascii="Arial" w:hAnsi="Arial" w:eastAsia="SimSun" w:cs="Arial"/>
          <w:i w:val="0"/>
          <w:iCs w:val="0"/>
          <w:caps w:val="0"/>
          <w:color w:val="2C3E50"/>
          <w:spacing w:val="0"/>
          <w:sz w:val="24"/>
          <w:szCs w:val="24"/>
          <w:shd w:val="clear" w:fill="FEF1C4"/>
        </w:rPr>
      </w:pPr>
    </w:p>
    <w:p>
      <w:pPr>
        <w:rPr>
          <w:rFonts w:hint="default" w:ascii="Arial" w:hAnsi="Arial" w:eastAsia="SimSun" w:cs="Arial"/>
          <w:i w:val="0"/>
          <w:iCs w:val="0"/>
          <w:caps w:val="0"/>
          <w:color w:val="2C3E50"/>
          <w:spacing w:val="0"/>
          <w:sz w:val="24"/>
          <w:szCs w:val="24"/>
          <w:shd w:val="clear" w:fill="FEF1C4"/>
        </w:rPr>
      </w:pPr>
      <w:bookmarkStart w:id="0" w:name="_GoBack"/>
      <w:bookmarkEnd w:id="0"/>
    </w:p>
    <w:p>
      <w:pPr>
        <w:rPr>
          <w:rFonts w:hint="default" w:ascii="Arial" w:hAnsi="Arial" w:eastAsia="SimSun" w:cs="Arial"/>
          <w:sz w:val="24"/>
          <w:szCs w:val="24"/>
        </w:rPr>
      </w:pPr>
      <w:r>
        <w:rPr>
          <w:rFonts w:hint="default" w:ascii="Arial" w:hAnsi="Arial" w:eastAsia="SimSun" w:cs="Arial"/>
          <w:sz w:val="24"/>
          <w:szCs w:val="24"/>
        </w:rPr>
        <w:t>Bruner, J.S. (1960). The Process of Education. Cambridge, Mass.: Harvard University Press.</w:t>
      </w:r>
    </w:p>
    <w:p>
      <w:pPr>
        <w:rPr>
          <w:rFonts w:hint="default" w:ascii="Arial" w:hAnsi="Arial" w:eastAsia="SimSun" w:cs="Arial"/>
          <w:sz w:val="24"/>
          <w:szCs w:val="24"/>
        </w:rPr>
      </w:pPr>
    </w:p>
    <w:p>
      <w:pPr>
        <w:rPr>
          <w:rFonts w:hint="default" w:ascii="Arial" w:hAnsi="Arial" w:eastAsia="SimSun" w:cs="Arial"/>
          <w:sz w:val="24"/>
          <w:szCs w:val="24"/>
        </w:rPr>
      </w:pPr>
      <w:r>
        <w:rPr>
          <w:rFonts w:hint="default" w:ascii="Arial" w:hAnsi="Arial" w:eastAsia="SimSun" w:cs="Arial"/>
          <w:sz w:val="24"/>
          <w:szCs w:val="24"/>
        </w:rPr>
        <w:t>Freud, S. (1943). A general introduction to psychoanalysis : a course of twenty-eight lectures delivered at the University of Vienna, by Prof. Sigmund Freud. New York, N.Y.: Liveright Pub. Corp.</w:t>
      </w:r>
    </w:p>
    <w:p>
      <w:pPr>
        <w:rPr>
          <w:rFonts w:hint="default" w:ascii="Arial" w:hAnsi="Arial" w:eastAsia="SimSun" w:cs="Arial"/>
          <w:sz w:val="24"/>
          <w:szCs w:val="24"/>
        </w:rPr>
      </w:pPr>
    </w:p>
    <w:p>
      <w:pPr>
        <w:rPr>
          <w:rFonts w:hint="default" w:ascii="Arial" w:hAnsi="Arial" w:eastAsia="SimSun" w:cs="Arial"/>
          <w:sz w:val="24"/>
          <w:szCs w:val="24"/>
        </w:rPr>
      </w:pPr>
      <w:r>
        <w:rPr>
          <w:rFonts w:hint="default" w:ascii="Arial" w:hAnsi="Arial" w:eastAsia="SimSun" w:cs="Arial"/>
          <w:sz w:val="24"/>
          <w:szCs w:val="24"/>
        </w:rPr>
        <w:t>Holzman, L. (2009) Vygotsky at work and play. London ;: Routledge.</w:t>
      </w:r>
    </w:p>
    <w:p>
      <w:pPr>
        <w:rPr>
          <w:rFonts w:hint="default" w:ascii="Arial" w:hAnsi="Arial" w:eastAsia="SimSun" w:cs="Arial"/>
          <w:sz w:val="24"/>
          <w:szCs w:val="24"/>
        </w:rPr>
      </w:pPr>
    </w:p>
    <w:p>
      <w:pPr>
        <w:rPr>
          <w:rFonts w:hint="default" w:ascii="Arial" w:hAnsi="Arial" w:eastAsia="SimSun" w:cs="Arial"/>
          <w:sz w:val="24"/>
          <w:szCs w:val="24"/>
        </w:rPr>
      </w:pPr>
      <w:r>
        <w:rPr>
          <w:rFonts w:hint="default" w:ascii="Arial" w:hAnsi="Arial" w:eastAsia="SimSun" w:cs="Arial"/>
          <w:sz w:val="24"/>
          <w:szCs w:val="24"/>
        </w:rPr>
        <w:t>Kozulin, A. (2003) Vygotsky’s educational theory in cultural context. Cambridge: Cambridge University Press.</w:t>
      </w:r>
    </w:p>
    <w:p>
      <w:pPr>
        <w:rPr>
          <w:rFonts w:hint="default" w:ascii="Arial" w:hAnsi="Arial" w:eastAsia="SimSun" w:cs="Arial"/>
          <w:sz w:val="24"/>
          <w:szCs w:val="24"/>
        </w:rPr>
      </w:pPr>
    </w:p>
    <w:p>
      <w:pPr>
        <w:rPr>
          <w:rFonts w:hint="default" w:ascii="Arial" w:hAnsi="Arial" w:eastAsia="SimSun" w:cs="Arial"/>
          <w:sz w:val="24"/>
          <w:szCs w:val="24"/>
        </w:rPr>
      </w:pPr>
      <w:r>
        <w:rPr>
          <w:rFonts w:hint="default" w:ascii="Arial" w:hAnsi="Arial" w:eastAsia="SimSun" w:cs="Arial"/>
          <w:sz w:val="24"/>
          <w:szCs w:val="24"/>
        </w:rPr>
        <w:t>Piaget, J. (1950). The origin of intelligence in the child. London] Routledge &amp; Kegan Paul.</w:t>
      </w:r>
    </w:p>
    <w:p>
      <w:pPr>
        <w:rPr>
          <w:rFonts w:hint="default" w:ascii="Arial" w:hAnsi="Arial" w:eastAsia="SimSun" w:cs="Arial"/>
          <w:sz w:val="24"/>
          <w:szCs w:val="24"/>
        </w:rPr>
      </w:pPr>
    </w:p>
    <w:p>
      <w:pPr>
        <w:rPr>
          <w:rFonts w:hint="default" w:ascii="Arial" w:hAnsi="Arial" w:eastAsia="SimSun" w:cs="Arial"/>
          <w:sz w:val="24"/>
          <w:szCs w:val="24"/>
        </w:rPr>
      </w:pPr>
      <w:r>
        <w:rPr>
          <w:rFonts w:hint="default" w:ascii="Arial" w:hAnsi="Arial" w:eastAsia="SimSun" w:cs="Arial"/>
          <w:sz w:val="24"/>
          <w:szCs w:val="24"/>
        </w:rPr>
        <w:t>Vygotsky, L. (1978). Mind in society: the development of higher psychological processes. Cambridge, Mass. ; London: Harvard University Press.</w:t>
      </w: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 w:name="Times">
    <w:altName w:val="Times New Roman"/>
    <w:panose1 w:val="00000000000000000000"/>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E74A8C"/>
    <w:rsid w:val="24E74A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iPriority w:val="0"/>
    <w:rPr>
      <w:color w:val="0000FF"/>
      <w:u w:val="single"/>
    </w:rPr>
  </w:style>
  <w:style w:type="paragraph" w:styleId="6">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2022-01-30T14:56:00Z</dcterms:created>
  <dc:creator>Kalon</dc:creator>
  <cp:lastModifiedBy>Kalon Smithers</cp:lastModifiedBy>
  <dcterms:modified xsi:type="dcterms:W3CDTF">2022-01-30T16:51:01Z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2057-11.2.0.10463</vt:lpwstr>
  </property>
  <property fmtid="{D5CDD505-2E9C-101B-9397-08002B2CF9AE}" pid="3" name="ICV">
    <vt:lpwstr>B77E1762EB1C4483B45BB01041C8B91C</vt:lpwstr>
  </property>
</Properties>
</file>