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0E7AC5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F4E49">
              <w:rPr>
                <w:rFonts w:ascii="Times New Roman" w:hAnsi="Times New Roman" w:cs="Times New Roman"/>
                <w:b/>
                <w:color w:val="auto"/>
                <w:sz w:val="48"/>
              </w:rPr>
              <w:t>Ffion Mai Howells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BF353D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F4E49">
              <w:rPr>
                <w:rFonts w:ascii="Times New Roman" w:hAnsi="Times New Roman" w:cs="Times New Roman"/>
                <w:b/>
                <w:color w:val="auto"/>
                <w:sz w:val="48"/>
              </w:rPr>
              <w:t xml:space="preserve">   FMHowells@carmarthenshire.gov.uk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75986C1"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F4E49">
              <w:rPr>
                <w:rFonts w:ascii="Times New Roman" w:hAnsi="Times New Roman" w:cs="Times New Roman"/>
                <w:b/>
                <w:color w:val="auto"/>
                <w:sz w:val="48"/>
              </w:rPr>
              <w:t xml:space="preserve">      1702897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7E1DEB64" w14:textId="77777777" w:rsidR="00AF4E49" w:rsidRDefault="00AF4E49" w:rsidP="00AF4E49">
      <w:pPr>
        <w:rPr>
          <w:rFonts w:ascii="Times New Roman" w:hAnsi="Times New Roman" w:cs="Times New Roman"/>
          <w:b/>
          <w:color w:val="auto"/>
          <w:sz w:val="48"/>
        </w:rPr>
      </w:pPr>
    </w:p>
    <w:p w14:paraId="0944F993" w14:textId="77777777" w:rsidR="00AF4E49" w:rsidRDefault="00AF4E49" w:rsidP="00AF4E49">
      <w:pPr>
        <w:rPr>
          <w:rFonts w:ascii="Times New Roman" w:hAnsi="Times New Roman" w:cs="Times New Roman"/>
          <w:b/>
          <w:color w:val="auto"/>
          <w:sz w:val="48"/>
        </w:rPr>
      </w:pPr>
    </w:p>
    <w:p w14:paraId="0EF984DF" w14:textId="5CDC44B7" w:rsidR="000D0BB6" w:rsidRPr="00AF4E49" w:rsidRDefault="00337FEF" w:rsidP="00AF4E49">
      <w:pPr>
        <w:rPr>
          <w:b/>
          <w:sz w:val="24"/>
          <w:szCs w:val="24"/>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5AFF3248" w14:textId="77777777" w:rsidR="00857D96" w:rsidRDefault="00857D96"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370ECCDD" w14:textId="77777777" w:rsidR="00857D96" w:rsidRDefault="00857D96" w:rsidP="00FF7EBB">
            <w:pPr>
              <w:jc w:val="both"/>
              <w:rPr>
                <w:sz w:val="24"/>
                <w:szCs w:val="24"/>
              </w:rPr>
            </w:pPr>
          </w:p>
          <w:p w14:paraId="26B2799D" w14:textId="77777777" w:rsidR="00857D96" w:rsidRDefault="00857D96" w:rsidP="00FF7EBB">
            <w:pPr>
              <w:jc w:val="both"/>
              <w:rPr>
                <w:sz w:val="24"/>
                <w:szCs w:val="24"/>
              </w:rPr>
            </w:pPr>
          </w:p>
          <w:p w14:paraId="4569BA1B" w14:textId="77777777" w:rsidR="00857D96" w:rsidRDefault="00857D96" w:rsidP="00FF7EBB">
            <w:pPr>
              <w:jc w:val="both"/>
              <w:rPr>
                <w:sz w:val="24"/>
                <w:szCs w:val="24"/>
              </w:rPr>
            </w:pPr>
          </w:p>
          <w:p w14:paraId="04157375" w14:textId="77777777" w:rsidR="00857D96" w:rsidRPr="00AF4E49" w:rsidRDefault="00857D96" w:rsidP="00857D96">
            <w:pPr>
              <w:pStyle w:val="paragraph"/>
              <w:spacing w:before="0" w:beforeAutospacing="0" w:after="0" w:afterAutospacing="0"/>
              <w:jc w:val="both"/>
              <w:textAlignment w:val="baseline"/>
              <w:rPr>
                <w:rStyle w:val="eop"/>
                <w:rFonts w:ascii="Aptos" w:eastAsiaTheme="majorEastAsia" w:hAnsi="Aptos" w:cs="Arial"/>
                <w:color w:val="000000" w:themeColor="text1"/>
              </w:rPr>
            </w:pPr>
            <w:r w:rsidRPr="00AF4E49">
              <w:rPr>
                <w:rStyle w:val="eop"/>
                <w:rFonts w:ascii="Aptos" w:eastAsiaTheme="majorEastAsia" w:hAnsi="Aptos" w:cs="Arial"/>
                <w:color w:val="000000" w:themeColor="text1"/>
              </w:rPr>
              <w:t xml:space="preserve">In the team that I work in, I primarily work with children and young people, however I do work with adults through this </w:t>
            </w:r>
            <w:proofErr w:type="gramStart"/>
            <w:r w:rsidRPr="00AF4E49">
              <w:rPr>
                <w:rStyle w:val="eop"/>
                <w:rFonts w:ascii="Aptos" w:eastAsiaTheme="majorEastAsia" w:hAnsi="Aptos" w:cs="Arial"/>
                <w:color w:val="000000" w:themeColor="text1"/>
              </w:rPr>
              <w:t>role</w:t>
            </w:r>
            <w:proofErr w:type="gramEnd"/>
            <w:r w:rsidRPr="00AF4E49">
              <w:rPr>
                <w:rStyle w:val="eop"/>
                <w:rFonts w:ascii="Aptos" w:eastAsiaTheme="majorEastAsia" w:hAnsi="Aptos" w:cs="Arial"/>
                <w:color w:val="000000" w:themeColor="text1"/>
              </w:rPr>
              <w:t xml:space="preserve"> and it is important that I understand the safeguarding legislation around </w:t>
            </w:r>
            <w:proofErr w:type="gramStart"/>
            <w:r w:rsidRPr="00AF4E49">
              <w:rPr>
                <w:rStyle w:val="eop"/>
                <w:rFonts w:ascii="Aptos" w:eastAsiaTheme="majorEastAsia" w:hAnsi="Aptos" w:cs="Arial"/>
                <w:color w:val="000000" w:themeColor="text1"/>
              </w:rPr>
              <w:t>this;</w:t>
            </w:r>
            <w:proofErr w:type="gramEnd"/>
            <w:r w:rsidRPr="00AF4E49">
              <w:rPr>
                <w:rStyle w:val="eop"/>
                <w:rFonts w:ascii="Aptos" w:eastAsiaTheme="majorEastAsia" w:hAnsi="Aptos" w:cs="Arial"/>
                <w:color w:val="000000" w:themeColor="text1"/>
              </w:rPr>
              <w:t xml:space="preserve"> </w:t>
            </w:r>
            <w:proofErr w:type="gramStart"/>
            <w:r w:rsidRPr="00AF4E49">
              <w:rPr>
                <w:rStyle w:val="eop"/>
                <w:rFonts w:ascii="Aptos" w:eastAsiaTheme="majorEastAsia" w:hAnsi="Aptos" w:cs="Arial"/>
                <w:color w:val="000000" w:themeColor="text1"/>
              </w:rPr>
              <w:t>with regard to</w:t>
            </w:r>
            <w:proofErr w:type="gramEnd"/>
            <w:r w:rsidRPr="00AF4E49">
              <w:rPr>
                <w:rStyle w:val="eop"/>
                <w:rFonts w:ascii="Aptos" w:eastAsiaTheme="majorEastAsia" w:hAnsi="Aptos" w:cs="Arial"/>
                <w:color w:val="000000" w:themeColor="text1"/>
              </w:rPr>
              <w:t xml:space="preserve"> both national, local and organisational policies. Within my role working with children, I am often providing information and advice to parents of the children. Within Wales, adult safeguarding works with adults from 18 years of </w:t>
            </w:r>
            <w:proofErr w:type="gramStart"/>
            <w:r w:rsidRPr="00AF4E49">
              <w:rPr>
                <w:rStyle w:val="eop"/>
                <w:rFonts w:ascii="Aptos" w:eastAsiaTheme="majorEastAsia" w:hAnsi="Aptos" w:cs="Arial"/>
                <w:color w:val="000000" w:themeColor="text1"/>
              </w:rPr>
              <w:t>age;</w:t>
            </w:r>
            <w:proofErr w:type="gramEnd"/>
            <w:r w:rsidRPr="00AF4E49">
              <w:rPr>
                <w:rStyle w:val="eop"/>
                <w:rFonts w:ascii="Aptos" w:eastAsiaTheme="majorEastAsia" w:hAnsi="Aptos" w:cs="Arial"/>
                <w:color w:val="000000" w:themeColor="text1"/>
              </w:rPr>
              <w:t xml:space="preserve"> who are at risk of abuse or neglect under the Social Services and Wellbeing (Wales) Act 2014 (SSWB(W)A, 2014).  Section 197 defines the different types of abuse that adults can suffer from (Clements, 2025)</w:t>
            </w:r>
          </w:p>
          <w:p w14:paraId="45FAF438" w14:textId="77777777" w:rsidR="00857D96" w:rsidRPr="00AF4E49" w:rsidRDefault="00857D96" w:rsidP="00857D96">
            <w:pPr>
              <w:pStyle w:val="paragraph"/>
              <w:spacing w:before="0" w:beforeAutospacing="0" w:after="0" w:afterAutospacing="0"/>
              <w:jc w:val="both"/>
              <w:textAlignment w:val="baseline"/>
              <w:rPr>
                <w:rStyle w:val="eop"/>
                <w:rFonts w:ascii="Aptos" w:eastAsiaTheme="majorEastAsia" w:hAnsi="Aptos" w:cs="Arial"/>
                <w:color w:val="000000" w:themeColor="text1"/>
              </w:rPr>
            </w:pPr>
          </w:p>
          <w:p w14:paraId="4777E255" w14:textId="77777777" w:rsidR="00857D96" w:rsidRPr="00AF4E49" w:rsidRDefault="00857D96" w:rsidP="00857D96">
            <w:pPr>
              <w:pStyle w:val="paragraph"/>
              <w:spacing w:before="0" w:beforeAutospacing="0" w:after="0" w:afterAutospacing="0"/>
              <w:jc w:val="both"/>
              <w:textAlignment w:val="baseline"/>
              <w:rPr>
                <w:rStyle w:val="eop"/>
                <w:rFonts w:ascii="Aptos" w:eastAsiaTheme="majorEastAsia" w:hAnsi="Aptos" w:cs="Arial"/>
                <w:color w:val="000000" w:themeColor="text1"/>
              </w:rPr>
            </w:pPr>
            <w:commentRangeStart w:id="0"/>
            <w:r w:rsidRPr="00AF4E49">
              <w:rPr>
                <w:rStyle w:val="eop"/>
                <w:rFonts w:ascii="Aptos" w:eastAsiaTheme="majorEastAsia" w:hAnsi="Aptos" w:cs="Arial"/>
                <w:color w:val="000000" w:themeColor="text1"/>
              </w:rPr>
              <w:t xml:space="preserve">When the Social Services and Wellbeing (Wales) Act (SSWB(W)A) 2014 was introduced, one big change for legislation in Wales was that both children and adult safeguarding was that it had combined </w:t>
            </w:r>
            <w:proofErr w:type="gramStart"/>
            <w:r w:rsidRPr="00AF4E49">
              <w:rPr>
                <w:rStyle w:val="eop"/>
                <w:rFonts w:ascii="Aptos" w:eastAsiaTheme="majorEastAsia" w:hAnsi="Aptos" w:cs="Arial"/>
                <w:color w:val="000000" w:themeColor="text1"/>
              </w:rPr>
              <w:t>the both</w:t>
            </w:r>
            <w:commentRangeEnd w:id="0"/>
            <w:proofErr w:type="gramEnd"/>
            <w:r w:rsidRPr="00AF4E49">
              <w:rPr>
                <w:rStyle w:val="CommentReference"/>
                <w:rFonts w:ascii="Aptos" w:eastAsiaTheme="minorHAnsi" w:hAnsi="Aptos" w:cstheme="minorBidi"/>
                <w:kern w:val="2"/>
                <w:sz w:val="24"/>
                <w:szCs w:val="24"/>
                <w:lang w:eastAsia="en-US"/>
                <w14:ligatures w14:val="standardContextual"/>
              </w:rPr>
              <w:commentReference w:id="0"/>
            </w:r>
            <w:r w:rsidRPr="00AF4E49">
              <w:rPr>
                <w:rStyle w:val="eop"/>
                <w:rFonts w:ascii="Aptos" w:eastAsiaTheme="majorEastAsia" w:hAnsi="Aptos" w:cs="Arial"/>
                <w:color w:val="000000" w:themeColor="text1"/>
              </w:rPr>
              <w:t xml:space="preserve">. Despite the SSWB(W)A acknowledging the duty to make enquiries, it does not include statutory powers of barring and removal (Williams, 2017). What the act does not tell us as practitioners is what the thresholds for risk are and this is something that we would refer to our local and organisational policies. The Wales Safeguarding Procedures (WSP) provide practitioners with guidance in respect of adult safeguarding and ensure that there is a level of consistency across local authorities in Wales (WSP, 2019). </w:t>
            </w:r>
          </w:p>
          <w:p w14:paraId="5D32B67C" w14:textId="77777777" w:rsidR="00857D96" w:rsidRPr="00AF4E49" w:rsidRDefault="00857D96" w:rsidP="00857D96">
            <w:pPr>
              <w:pStyle w:val="paragraph"/>
              <w:spacing w:before="0" w:beforeAutospacing="0" w:after="0" w:afterAutospacing="0"/>
              <w:jc w:val="both"/>
              <w:textAlignment w:val="baseline"/>
              <w:rPr>
                <w:rStyle w:val="eop"/>
                <w:rFonts w:ascii="Aptos" w:eastAsiaTheme="majorEastAsia" w:hAnsi="Aptos" w:cs="Arial"/>
                <w:color w:val="000000" w:themeColor="text1"/>
              </w:rPr>
            </w:pPr>
          </w:p>
          <w:p w14:paraId="7D8FAA8E" w14:textId="77777777" w:rsidR="00857D96" w:rsidRPr="00AF4E49" w:rsidRDefault="00857D96" w:rsidP="00857D96">
            <w:pPr>
              <w:pStyle w:val="paragraph"/>
              <w:spacing w:before="0" w:beforeAutospacing="0" w:after="0" w:afterAutospacing="0"/>
              <w:jc w:val="both"/>
              <w:textAlignment w:val="baseline"/>
              <w:rPr>
                <w:rStyle w:val="eop"/>
                <w:rFonts w:ascii="Aptos" w:eastAsiaTheme="majorEastAsia" w:hAnsi="Aptos" w:cs="Arial"/>
                <w:color w:val="000000" w:themeColor="text1"/>
              </w:rPr>
            </w:pPr>
            <w:r w:rsidRPr="00AF4E49">
              <w:rPr>
                <w:rStyle w:val="eop"/>
                <w:rFonts w:ascii="Aptos" w:eastAsiaTheme="majorEastAsia" w:hAnsi="Aptos" w:cs="Arial"/>
                <w:color w:val="000000" w:themeColor="text1"/>
              </w:rPr>
              <w:t xml:space="preserve">The SSWBA places a duty on both local authorities and health boards to promote an adults emotional, physical and social wellbeing (Welsh Government, 2025). The key principles of the act include the </w:t>
            </w:r>
            <w:proofErr w:type="gramStart"/>
            <w:r w:rsidRPr="00AF4E49">
              <w:rPr>
                <w:rStyle w:val="eop"/>
                <w:rFonts w:ascii="Aptos" w:eastAsiaTheme="majorEastAsia" w:hAnsi="Aptos" w:cs="Arial"/>
                <w:color w:val="000000" w:themeColor="text1"/>
              </w:rPr>
              <w:t>individuals</w:t>
            </w:r>
            <w:proofErr w:type="gramEnd"/>
            <w:r w:rsidRPr="00AF4E49">
              <w:rPr>
                <w:rStyle w:val="eop"/>
                <w:rFonts w:ascii="Aptos" w:eastAsiaTheme="majorEastAsia" w:hAnsi="Aptos" w:cs="Arial"/>
                <w:color w:val="000000" w:themeColor="text1"/>
              </w:rPr>
              <w:t xml:space="preserve"> wellbeing; voice and control; prevention; co production; and </w:t>
            </w:r>
            <w:r w:rsidRPr="00AF4E49">
              <w:rPr>
                <w:rStyle w:val="eop"/>
                <w:rFonts w:ascii="Aptos" w:eastAsiaTheme="majorEastAsia" w:hAnsi="Aptos" w:cs="Arial"/>
                <w:color w:val="000000" w:themeColor="text1"/>
              </w:rPr>
              <w:lastRenderedPageBreak/>
              <w:t>multiagency working (Welsh Government, 2025). It is important to note that when an assessment is undertaken of an adult, consideration should be given to the capacity of the individual regarding the decision in question. More importantly, capacity should always be assumed unless there is evidence surrounding why the individual does not have capacity. In these situations, The Mental Capacity Act (2005) would apply. Individuals who are considered at risk of abuse or neglect under the SSWBA are eligible for care and support, even if their needs to not meet the eligibility criteria (Clements, 2025). The Mental Capacity Act (2005) places a duty on supporting individuals in making their own choices which links in with the principles of the SSWBA of co-production and voice and control (NHS, 2024)</w:t>
            </w:r>
          </w:p>
          <w:p w14:paraId="0B8EFEED" w14:textId="77777777" w:rsidR="00857D96" w:rsidRPr="00AF4E49" w:rsidRDefault="00857D96" w:rsidP="00857D96">
            <w:pPr>
              <w:pStyle w:val="paragraph"/>
              <w:spacing w:before="0" w:beforeAutospacing="0" w:after="0" w:afterAutospacing="0"/>
              <w:jc w:val="both"/>
              <w:textAlignment w:val="baseline"/>
              <w:rPr>
                <w:rStyle w:val="eop"/>
                <w:rFonts w:ascii="Aptos" w:eastAsiaTheme="majorEastAsia" w:hAnsi="Aptos" w:cs="Arial"/>
                <w:color w:val="000000" w:themeColor="text1"/>
              </w:rPr>
            </w:pPr>
          </w:p>
          <w:p w14:paraId="07D68EF6" w14:textId="77777777" w:rsidR="00857D96" w:rsidRPr="00AF4E49" w:rsidRDefault="00857D96" w:rsidP="00857D96">
            <w:pPr>
              <w:pStyle w:val="paragraph"/>
              <w:spacing w:before="0" w:beforeAutospacing="0" w:after="0" w:afterAutospacing="0"/>
              <w:jc w:val="both"/>
              <w:textAlignment w:val="baseline"/>
              <w:rPr>
                <w:rStyle w:val="eop"/>
                <w:rFonts w:ascii="Aptos" w:eastAsiaTheme="majorEastAsia" w:hAnsi="Aptos" w:cs="Arial"/>
                <w:color w:val="000000" w:themeColor="text1"/>
              </w:rPr>
            </w:pPr>
          </w:p>
          <w:p w14:paraId="4D372412" w14:textId="77777777" w:rsidR="00857D96" w:rsidRDefault="00857D96" w:rsidP="00857D96">
            <w:pPr>
              <w:pStyle w:val="paragraph"/>
              <w:spacing w:before="0" w:beforeAutospacing="0" w:after="0" w:afterAutospacing="0"/>
              <w:jc w:val="both"/>
              <w:textAlignment w:val="baseline"/>
              <w:rPr>
                <w:rStyle w:val="eop"/>
                <w:rFonts w:ascii="Arial" w:eastAsiaTheme="majorEastAsia" w:hAnsi="Arial" w:cs="Arial"/>
                <w:color w:val="000000" w:themeColor="text1"/>
              </w:rPr>
            </w:pPr>
            <w:r w:rsidRPr="00AF4E49">
              <w:rPr>
                <w:rStyle w:val="eop"/>
                <w:rFonts w:ascii="Aptos" w:eastAsiaTheme="majorEastAsia" w:hAnsi="Aptos" w:cs="Arial"/>
                <w:color w:val="000000" w:themeColor="text1"/>
              </w:rPr>
              <w:t xml:space="preserve">It is Part 7 of the SSWBA that places a focus on adults at </w:t>
            </w:r>
            <w:proofErr w:type="gramStart"/>
            <w:r w:rsidRPr="00AF4E49">
              <w:rPr>
                <w:rStyle w:val="eop"/>
                <w:rFonts w:ascii="Aptos" w:eastAsiaTheme="majorEastAsia" w:hAnsi="Aptos" w:cs="Arial"/>
                <w:color w:val="000000" w:themeColor="text1"/>
              </w:rPr>
              <w:t>risk</w:t>
            </w:r>
            <w:proofErr w:type="gramEnd"/>
            <w:r w:rsidRPr="00AF4E49">
              <w:rPr>
                <w:rStyle w:val="eop"/>
                <w:rFonts w:ascii="Aptos" w:eastAsiaTheme="majorEastAsia" w:hAnsi="Aptos" w:cs="Arial"/>
                <w:color w:val="000000" w:themeColor="text1"/>
              </w:rPr>
              <w:t xml:space="preserve"> and this interlinks with many previous Acts such as the Human Rights Act (1998) which shares that no harm should come to an individual. The SSWB(W)A 2014 complements factors discussed within the Human Rights Act 1998 (Age Cymru, 2024). Albeit both Acts share similar views, it is important that the duty to protect the individual is balanced with the </w:t>
            </w:r>
            <w:proofErr w:type="spellStart"/>
            <w:r w:rsidRPr="00AF4E49">
              <w:rPr>
                <w:rStyle w:val="eop"/>
                <w:rFonts w:ascii="Aptos" w:eastAsiaTheme="majorEastAsia" w:hAnsi="Aptos" w:cs="Arial"/>
                <w:color w:val="000000" w:themeColor="text1"/>
              </w:rPr>
              <w:t>individuals</w:t>
            </w:r>
            <w:proofErr w:type="spellEnd"/>
            <w:r w:rsidRPr="00AF4E49">
              <w:rPr>
                <w:rStyle w:val="eop"/>
                <w:rFonts w:ascii="Aptos" w:eastAsiaTheme="majorEastAsia" w:hAnsi="Aptos" w:cs="Arial"/>
                <w:color w:val="000000" w:themeColor="text1"/>
              </w:rPr>
              <w:t xml:space="preserve"> right to make decisions for themselves (Age Cymru, 2024). Within Part 7 of the SSWB(W)A 2014 Section 126, this gives a definition of an adult at risk along with Section 128 which is the duty to report</w:t>
            </w:r>
            <w:r>
              <w:rPr>
                <w:rStyle w:val="eop"/>
                <w:rFonts w:ascii="Arial" w:eastAsiaTheme="majorEastAsia" w:hAnsi="Arial" w:cs="Arial"/>
                <w:color w:val="000000" w:themeColor="text1"/>
              </w:rPr>
              <w:t xml:space="preserve">. </w:t>
            </w:r>
          </w:p>
          <w:p w14:paraId="27E09DA0" w14:textId="77777777" w:rsidR="007A628F" w:rsidRDefault="007A628F" w:rsidP="00FF7EBB">
            <w:pPr>
              <w:jc w:val="both"/>
              <w:rPr>
                <w:b/>
                <w:sz w:val="24"/>
                <w:szCs w:val="24"/>
              </w:rPr>
            </w:pPr>
          </w:p>
          <w:p w14:paraId="03BD6D93" w14:textId="72E7EC24" w:rsidR="00857D96" w:rsidRPr="008B28E7" w:rsidRDefault="00857D96" w:rsidP="00FF7EBB">
            <w:pPr>
              <w:jc w:val="both"/>
              <w:rPr>
                <w:b/>
                <w:sz w:val="24"/>
                <w:szCs w:val="24"/>
              </w:rPr>
            </w:pPr>
            <w:r>
              <w:rPr>
                <w:b/>
                <w:sz w:val="24"/>
                <w:szCs w:val="24"/>
              </w:rPr>
              <w:t>Word count: 503</w:t>
            </w: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4201E5F1" w14:textId="77777777" w:rsidR="00FC0334" w:rsidRDefault="00FC0334" w:rsidP="00FC0334">
            <w:pPr>
              <w:jc w:val="both"/>
              <w:rPr>
                <w:sz w:val="24"/>
                <w:szCs w:val="24"/>
              </w:rPr>
            </w:pPr>
          </w:p>
          <w:p w14:paraId="36D4E8D1" w14:textId="77777777" w:rsidR="00857D96" w:rsidRDefault="00857D96" w:rsidP="00FC0334">
            <w:pPr>
              <w:jc w:val="both"/>
              <w:rPr>
                <w:sz w:val="24"/>
                <w:szCs w:val="24"/>
              </w:rPr>
            </w:pPr>
          </w:p>
          <w:p w14:paraId="52853780" w14:textId="77777777" w:rsidR="009E7B94" w:rsidRPr="00AF4E49" w:rsidRDefault="009E7B94" w:rsidP="009E7B94">
            <w:pPr>
              <w:rPr>
                <w:rFonts w:ascii="Aptos" w:hAnsi="Aptos"/>
                <w:sz w:val="24"/>
                <w:szCs w:val="24"/>
              </w:rPr>
            </w:pPr>
            <w:r w:rsidRPr="00AF4E49">
              <w:rPr>
                <w:rFonts w:ascii="Aptos" w:hAnsi="Aptos"/>
                <w:sz w:val="24"/>
                <w:szCs w:val="24"/>
              </w:rPr>
              <w:t xml:space="preserve">Despite having only worked in children’s services since qualifying, I was fortunate enough to get the opportunity to complete my second placement as a student social worker. Although there are a </w:t>
            </w:r>
            <w:proofErr w:type="gramStart"/>
            <w:r w:rsidRPr="00AF4E49">
              <w:rPr>
                <w:rFonts w:ascii="Aptos" w:hAnsi="Aptos"/>
                <w:sz w:val="24"/>
                <w:szCs w:val="24"/>
              </w:rPr>
              <w:t>number</w:t>
            </w:r>
            <w:proofErr w:type="gramEnd"/>
            <w:r w:rsidRPr="00AF4E49">
              <w:rPr>
                <w:rFonts w:ascii="Aptos" w:hAnsi="Aptos"/>
                <w:sz w:val="24"/>
                <w:szCs w:val="24"/>
              </w:rPr>
              <w:t xml:space="preserve"> similarities between Children and adult safeguarding they are both underpinned by the Social Services and Wellbeing (Wales) Act (2014). Part 7 of the SSWB(W)A 2014 applies to the safeguarding of both adults and children and it is under the SSWB(W)A 2014 that a local authority has the duty to assess care and support needs of both adults and children (Clements, 2019). From my own experiences and upon reflection, there are also several differences between adult and children safeguarding.  One of the main differences upon reflection is the consent and capacity within both areas. </w:t>
            </w:r>
          </w:p>
          <w:p w14:paraId="26E1BBB2" w14:textId="77777777" w:rsidR="009E7B94" w:rsidRPr="00AF4E49" w:rsidRDefault="009E7B94" w:rsidP="009E7B94">
            <w:pPr>
              <w:rPr>
                <w:rFonts w:ascii="Aptos" w:hAnsi="Aptos"/>
                <w:sz w:val="24"/>
                <w:szCs w:val="24"/>
              </w:rPr>
            </w:pPr>
          </w:p>
          <w:p w14:paraId="5BAF01C4" w14:textId="77777777" w:rsidR="009E7B94" w:rsidRPr="00AF4E49" w:rsidRDefault="009E7B94" w:rsidP="009E7B94">
            <w:pPr>
              <w:rPr>
                <w:rFonts w:ascii="Aptos" w:hAnsi="Aptos"/>
                <w:sz w:val="24"/>
                <w:szCs w:val="24"/>
              </w:rPr>
            </w:pPr>
            <w:r w:rsidRPr="00AF4E49">
              <w:rPr>
                <w:rFonts w:ascii="Aptos" w:hAnsi="Aptos"/>
                <w:sz w:val="24"/>
                <w:szCs w:val="24"/>
              </w:rPr>
              <w:t xml:space="preserve">For adult services, the Mental Capacity Act (2005) (MCA 2005) applies to all adults within Wales and England, this can also be from 16 years of age (Marshall and Sprung 2018). It is important to note that even though </w:t>
            </w:r>
            <w:proofErr w:type="gramStart"/>
            <w:r w:rsidRPr="00AF4E49">
              <w:rPr>
                <w:rFonts w:ascii="Aptos" w:hAnsi="Aptos"/>
                <w:sz w:val="24"/>
                <w:szCs w:val="24"/>
              </w:rPr>
              <w:t>16-17 year olds</w:t>
            </w:r>
            <w:proofErr w:type="gramEnd"/>
            <w:r w:rsidRPr="00AF4E49">
              <w:rPr>
                <w:rFonts w:ascii="Aptos" w:hAnsi="Aptos"/>
                <w:sz w:val="24"/>
                <w:szCs w:val="24"/>
              </w:rPr>
              <w:t xml:space="preserve"> deemed to have capacity regarding a particular decision under the MCA 2005, they would still need to be protected under The Children Act 1989 as an </w:t>
            </w:r>
            <w:r w:rsidRPr="00AF4E49">
              <w:rPr>
                <w:rFonts w:ascii="Aptos" w:hAnsi="Aptos"/>
                <w:sz w:val="24"/>
                <w:szCs w:val="24"/>
              </w:rPr>
              <w:lastRenderedPageBreak/>
              <w:t xml:space="preserve">adult is 18 under the Children Act 1989.  If there is any doubt regarding an </w:t>
            </w:r>
            <w:proofErr w:type="spellStart"/>
            <w:proofErr w:type="gramStart"/>
            <w:r w:rsidRPr="00AF4E49">
              <w:rPr>
                <w:rFonts w:ascii="Aptos" w:hAnsi="Aptos"/>
                <w:sz w:val="24"/>
                <w:szCs w:val="24"/>
              </w:rPr>
              <w:t>individuals</w:t>
            </w:r>
            <w:proofErr w:type="spellEnd"/>
            <w:proofErr w:type="gramEnd"/>
            <w:r w:rsidRPr="00AF4E49">
              <w:rPr>
                <w:rFonts w:ascii="Aptos" w:hAnsi="Aptos"/>
                <w:sz w:val="24"/>
                <w:szCs w:val="24"/>
              </w:rPr>
              <w:t xml:space="preserve"> capacity, then this Act would </w:t>
            </w:r>
            <w:proofErr w:type="gramStart"/>
            <w:r w:rsidRPr="00AF4E49">
              <w:rPr>
                <w:rFonts w:ascii="Aptos" w:hAnsi="Aptos"/>
                <w:sz w:val="24"/>
                <w:szCs w:val="24"/>
              </w:rPr>
              <w:t>apply</w:t>
            </w:r>
            <w:proofErr w:type="gramEnd"/>
            <w:r w:rsidRPr="00AF4E49">
              <w:rPr>
                <w:rFonts w:ascii="Aptos" w:hAnsi="Aptos"/>
                <w:sz w:val="24"/>
                <w:szCs w:val="24"/>
              </w:rPr>
              <w:t xml:space="preserve"> and a capacity assessment would be undertaken by a social worker and other professional. Any decisions made for a person who lacks capacity, must be one that is in their best interest </w:t>
            </w:r>
            <w:bookmarkStart w:id="1" w:name="_Hlk206144305"/>
            <w:r w:rsidRPr="00AF4E49">
              <w:rPr>
                <w:rFonts w:ascii="Aptos" w:hAnsi="Aptos"/>
                <w:sz w:val="24"/>
                <w:szCs w:val="24"/>
              </w:rPr>
              <w:t xml:space="preserve">(Henke, Sheperd and O’Callaghan. 2018). </w:t>
            </w:r>
            <w:bookmarkEnd w:id="1"/>
            <w:r w:rsidRPr="00AF4E49">
              <w:rPr>
                <w:rFonts w:ascii="Aptos" w:hAnsi="Aptos"/>
                <w:sz w:val="24"/>
                <w:szCs w:val="24"/>
              </w:rPr>
              <w:t xml:space="preserve">A complicated factor within the MCA 2005 is that an individual may lack capacity in respect of one factor, </w:t>
            </w:r>
            <w:proofErr w:type="gramStart"/>
            <w:r w:rsidRPr="00AF4E49">
              <w:rPr>
                <w:rFonts w:ascii="Aptos" w:hAnsi="Aptos"/>
                <w:sz w:val="24"/>
                <w:szCs w:val="24"/>
              </w:rPr>
              <w:t>however</w:t>
            </w:r>
            <w:proofErr w:type="gramEnd"/>
            <w:r w:rsidRPr="00AF4E49">
              <w:rPr>
                <w:rFonts w:ascii="Aptos" w:hAnsi="Aptos"/>
                <w:sz w:val="24"/>
                <w:szCs w:val="24"/>
              </w:rPr>
              <w:t xml:space="preserve"> would have capacity for something else (Henke, Sheperd and O’Callaghan, 2018). The Mental Capacity Act (2005) is designed to empower individuals and for them to make decisions (Marshall and Sprung. 2018). </w:t>
            </w:r>
          </w:p>
          <w:p w14:paraId="07E19C1A" w14:textId="77777777" w:rsidR="009E7B94" w:rsidRPr="00AF4E49" w:rsidRDefault="009E7B94" w:rsidP="009E7B94">
            <w:pPr>
              <w:rPr>
                <w:rFonts w:ascii="Aptos" w:hAnsi="Aptos"/>
                <w:sz w:val="24"/>
                <w:szCs w:val="24"/>
              </w:rPr>
            </w:pPr>
          </w:p>
          <w:p w14:paraId="63E394FE" w14:textId="77777777" w:rsidR="009E7B94" w:rsidRPr="009E7B94" w:rsidRDefault="009E7B94" w:rsidP="009E7B94">
            <w:pPr>
              <w:rPr>
                <w:sz w:val="24"/>
                <w:szCs w:val="24"/>
              </w:rPr>
            </w:pPr>
            <w:r w:rsidRPr="00AF4E49">
              <w:rPr>
                <w:rFonts w:ascii="Aptos" w:hAnsi="Aptos"/>
                <w:sz w:val="24"/>
                <w:szCs w:val="24"/>
              </w:rPr>
              <w:t xml:space="preserve">When looking at children safeguarding, a child is always presumed to lack capacity, however their wishes and feelings as far as can be gathered will always be </w:t>
            </w:r>
            <w:proofErr w:type="gramStart"/>
            <w:r w:rsidRPr="00AF4E49">
              <w:rPr>
                <w:rFonts w:ascii="Aptos" w:hAnsi="Aptos"/>
                <w:sz w:val="24"/>
                <w:szCs w:val="24"/>
              </w:rPr>
              <w:t>taken into account</w:t>
            </w:r>
            <w:proofErr w:type="gramEnd"/>
            <w:r w:rsidRPr="00AF4E49">
              <w:rPr>
                <w:rFonts w:ascii="Aptos" w:hAnsi="Aptos"/>
                <w:sz w:val="24"/>
                <w:szCs w:val="24"/>
              </w:rPr>
              <w:t xml:space="preserve">, promoted and respected (Griffith, 2015). For a young person, Gillick competency will apply which allows for practitioners who work with them to balance the need of listening to the young </w:t>
            </w:r>
            <w:proofErr w:type="spellStart"/>
            <w:r w:rsidRPr="00AF4E49">
              <w:rPr>
                <w:rFonts w:ascii="Aptos" w:hAnsi="Aptos"/>
                <w:sz w:val="24"/>
                <w:szCs w:val="24"/>
              </w:rPr>
              <w:t>persons</w:t>
            </w:r>
            <w:proofErr w:type="spellEnd"/>
            <w:r w:rsidRPr="00AF4E49">
              <w:rPr>
                <w:rFonts w:ascii="Aptos" w:hAnsi="Aptos"/>
                <w:sz w:val="24"/>
                <w:szCs w:val="24"/>
              </w:rPr>
              <w:t xml:space="preserve"> wishes and feelings, whilst also having the responsibility to keep them safe. (NSPCC, 2025). However, safeguarding overrides Gillick competency in a child. If a child is deemed at risk of significant harm and a S47 investigation needs to be undertaken under The Children Act (1989), then this will override consent. Upon reflection, this is a noticeable difference between children and adult safeguarding; within adult safeguarding regardless of whether the person is at risk of harm, if they have the capacity then they are able to make decisions themselves, however within children’s safeguarding  under the Children Act (1989) and the Wales Safeguarding Procedures (2019), we as social workers have the right to intervene if there is reason to suspect a child is suffering significant harm</w:t>
            </w:r>
            <w:r w:rsidRPr="009E7B94">
              <w:rPr>
                <w:sz w:val="24"/>
                <w:szCs w:val="24"/>
              </w:rPr>
              <w:t xml:space="preserve">. </w:t>
            </w:r>
          </w:p>
          <w:p w14:paraId="0BDD6957" w14:textId="77777777" w:rsidR="00857D96" w:rsidRDefault="00857D96" w:rsidP="00FC0334">
            <w:pPr>
              <w:jc w:val="both"/>
              <w:rPr>
                <w:sz w:val="24"/>
                <w:szCs w:val="24"/>
              </w:rPr>
            </w:pPr>
          </w:p>
          <w:p w14:paraId="08760B3D" w14:textId="30B21F87" w:rsidR="009E7B94" w:rsidRPr="006108C9" w:rsidRDefault="009E7B94" w:rsidP="00FC0334">
            <w:pPr>
              <w:jc w:val="both"/>
              <w:rPr>
                <w:sz w:val="24"/>
                <w:szCs w:val="24"/>
              </w:rPr>
            </w:pPr>
            <w:r>
              <w:rPr>
                <w:sz w:val="24"/>
                <w:szCs w:val="24"/>
              </w:rPr>
              <w:t>Word count: 488</w:t>
            </w:r>
          </w:p>
        </w:tc>
      </w:tr>
    </w:tbl>
    <w:p w14:paraId="76FCF233" w14:textId="77777777" w:rsidR="00FC0334" w:rsidRDefault="00FC0334" w:rsidP="00FC0334">
      <w:pPr>
        <w:rPr>
          <w:sz w:val="24"/>
          <w:szCs w:val="24"/>
        </w:rPr>
      </w:pPr>
    </w:p>
    <w:sectPr w:rsidR="00FC0334" w:rsidSect="00F15354">
      <w:headerReference w:type="default" r:id="rId16"/>
      <w:footerReference w:type="default" r:id="rId17"/>
      <w:pgSz w:w="12240" w:h="15840"/>
      <w:pgMar w:top="1440" w:right="1080" w:bottom="1440" w:left="108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aura Quayle" w:date="2025-08-12T10:50:00Z" w:initials="LQ">
    <w:p w14:paraId="576FA2ED" w14:textId="77777777" w:rsidR="00857D96" w:rsidRDefault="00857D96" w:rsidP="00857D96">
      <w:pPr>
        <w:pStyle w:val="CommentText"/>
      </w:pPr>
      <w:r>
        <w:rPr>
          <w:rStyle w:val="CommentReference"/>
        </w:rPr>
        <w:annotationRef/>
      </w:r>
      <w:r>
        <w:t>Good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76FA2E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4A91C3" w16cex:dateUtc="2025-08-12T09:50:00Z">
    <w16cex:extLst>
      <w16:ext w16:uri="{CE6994B0-6A32-4C9F-8C6B-6E91EDA988CE}">
        <cr:reactions xmlns:cr="http://schemas.microsoft.com/office/comments/2020/reactions">
          <cr:reaction reactionType="1">
            <cr:reactionInfo dateUtc="2025-09-24T19:20:46Z">
              <cr:user userId="S::FMHowells@carmarthenshire.gov.uk::66ea3889-653b-45d9-9812-c989e4d08ee1" userProvider="AD" userName="Ffion M Howells"/>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76FA2ED" w16cid:durableId="704A91C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ura Quayle">
    <w15:presenceInfo w15:providerId="AD" w15:userId="S::LQuayle@carmarthenshire.gov.uk::ebdc5c4e-a524-462a-89db-eef6ba23fb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3BA8"/>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7D96"/>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7B94"/>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13F6"/>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4E49"/>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5E"/>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aragraph">
    <w:name w:val="paragraph"/>
    <w:basedOn w:val="Normal"/>
    <w:rsid w:val="00857D9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eop">
    <w:name w:val="eop"/>
    <w:basedOn w:val="DefaultParagraphFont"/>
    <w:rsid w:val="00857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2930D6-468A-4572-B81F-FA0685794F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4.xml><?xml version="1.0" encoding="utf-8"?>
<ds:datastoreItem xmlns:ds="http://schemas.openxmlformats.org/officeDocument/2006/customXml" ds:itemID="{E274E46C-312D-4585-8BBF-B1B9D73A483E}">
  <ds:schemaRefs>
    <ds:schemaRef ds:uri="26efbe58-47b3-4718-9b64-083ac342c32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1198</Words>
  <Characters>6267</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Ffion M Howells</cp:lastModifiedBy>
  <cp:revision>2</cp:revision>
  <cp:lastPrinted>2020-02-11T19:20:00Z</cp:lastPrinted>
  <dcterms:created xsi:type="dcterms:W3CDTF">2025-10-01T17:47:00Z</dcterms:created>
  <dcterms:modified xsi:type="dcterms:W3CDTF">2025-10-01T17:47:00Z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ies>
</file>