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156082" w:themeColor="accent1"/>
        </w:rPr>
        <w:id w:val="-2030635733"/>
        <w:docPartObj>
          <w:docPartGallery w:val="Cover Pages"/>
          <w:docPartUnique/>
        </w:docPartObj>
      </w:sdtPr>
      <w:sdtEndPr>
        <w:rPr>
          <w:color w:val="auto"/>
          <w:kern w:val="2"/>
          <w:sz w:val="22"/>
          <w:szCs w:val="22"/>
        </w:rPr>
      </w:sdtEndPr>
      <w:sdtContent>
        <w:p w14:paraId="0FAE50FB" w14:textId="6D2BC6EF" w:rsidR="00631F73" w:rsidRDefault="00631F7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8BC2A25" wp14:editId="78487A1A">
                <wp:extent cx="1417320" cy="750898"/>
                <wp:effectExtent l="171450" t="152400" r="87630" b="14478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outerShdw blurRad="190500" algn="tl" rotWithShape="0">
                            <a:srgbClr val="000000">
                              <a:alpha val="70000"/>
                            </a:srgbClr>
                          </a:outerShdw>
                        </a:effectLst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sz w:val="72"/>
              <w:szCs w:val="72"/>
            </w:rPr>
            <w:alias w:val="Title"/>
            <w:tag w:val=""/>
            <w:id w:val="1735040861"/>
            <w:placeholder>
              <w:docPart w:val="C2FE0E3387CB4D05BA3F52F42D535D0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D6561DC" w14:textId="617B9E11" w:rsidR="00631F73" w:rsidRPr="000633C9" w:rsidRDefault="000633C9" w:rsidP="000633C9">
              <w:pPr>
                <w:pStyle w:val="Heading1"/>
                <w:rPr>
                  <w:sz w:val="72"/>
                  <w:szCs w:val="72"/>
                </w:rPr>
              </w:pPr>
              <w:r>
                <w:rPr>
                  <w:sz w:val="72"/>
                  <w:szCs w:val="72"/>
                </w:rPr>
                <w:t xml:space="preserve">              </w:t>
              </w:r>
              <w:r w:rsidRPr="000633C9">
                <w:rPr>
                  <w:sz w:val="72"/>
                  <w:szCs w:val="72"/>
                </w:rPr>
                <w:t>Debate discussion</w:t>
              </w:r>
            </w:p>
          </w:sdtContent>
        </w:sdt>
        <w:p w14:paraId="13219557" w14:textId="77777777" w:rsidR="000633C9" w:rsidRDefault="000633C9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</w:p>
        <w:p w14:paraId="4038846A" w14:textId="77777777" w:rsidR="000633C9" w:rsidRDefault="000633C9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</w:p>
        <w:p w14:paraId="17DC2D68" w14:textId="0A6AD9F7" w:rsidR="000633C9" w:rsidRPr="000633C9" w:rsidRDefault="00631F73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Student name:</w:t>
          </w:r>
          <w:r w:rsidR="000633C9" w:rsidRPr="000633C9">
            <w:rPr>
              <w:color w:val="153D63" w:themeColor="text2" w:themeTint="E6"/>
              <w:sz w:val="28"/>
              <w:szCs w:val="28"/>
            </w:rPr>
            <w:t xml:space="preserve"> Sevdalina Velinova</w:t>
          </w:r>
        </w:p>
        <w:p w14:paraId="52A2ED7F" w14:textId="10B96BD0" w:rsidR="00631F73" w:rsidRPr="000633C9" w:rsidRDefault="000633C9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Student ID: 2017540</w:t>
          </w:r>
          <w:r w:rsidR="00631F73" w:rsidRPr="000633C9">
            <w:rPr>
              <w:color w:val="153D63" w:themeColor="text2" w:themeTint="E6"/>
              <w:sz w:val="28"/>
              <w:szCs w:val="28"/>
            </w:rPr>
            <w:tab/>
          </w:r>
        </w:p>
        <w:p w14:paraId="4F7E0983" w14:textId="77777777" w:rsidR="00631F73" w:rsidRPr="000633C9" w:rsidRDefault="00631F73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Programme:</w:t>
          </w:r>
          <w:r w:rsidRPr="000633C9">
            <w:rPr>
              <w:color w:val="153D63" w:themeColor="text2" w:themeTint="E6"/>
              <w:sz w:val="28"/>
              <w:szCs w:val="28"/>
            </w:rPr>
            <w:tab/>
            <w:t>BSc Health and Social Care</w:t>
          </w:r>
        </w:p>
        <w:p w14:paraId="313FC167" w14:textId="77777777" w:rsidR="00631F73" w:rsidRPr="000633C9" w:rsidRDefault="00631F73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Module:</w:t>
          </w:r>
          <w:r w:rsidRPr="000633C9">
            <w:rPr>
              <w:color w:val="153D63" w:themeColor="text2" w:themeTint="E6"/>
              <w:sz w:val="28"/>
              <w:szCs w:val="28"/>
            </w:rPr>
            <w:tab/>
            <w:t>Mental Disorders and Psychopathology</w:t>
          </w:r>
        </w:p>
        <w:p w14:paraId="75EB6BF3" w14:textId="77777777" w:rsidR="00631F73" w:rsidRPr="000633C9" w:rsidRDefault="00631F73" w:rsidP="00631F73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Module code:</w:t>
          </w:r>
          <w:r w:rsidRPr="000633C9">
            <w:rPr>
              <w:color w:val="153D63" w:themeColor="text2" w:themeTint="E6"/>
              <w:sz w:val="28"/>
              <w:szCs w:val="28"/>
            </w:rPr>
            <w:tab/>
            <w:t>BMHP6006</w:t>
          </w:r>
        </w:p>
        <w:p w14:paraId="6E9636CA" w14:textId="77777777" w:rsidR="000633C9" w:rsidRPr="000633C9" w:rsidRDefault="00631F73" w:rsidP="000633C9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3D63" w:themeColor="text2" w:themeTint="E6"/>
              <w:sz w:val="28"/>
              <w:szCs w:val="28"/>
            </w:rPr>
          </w:pPr>
          <w:r w:rsidRPr="000633C9">
            <w:rPr>
              <w:color w:val="153D63" w:themeColor="text2" w:themeTint="E6"/>
              <w:sz w:val="28"/>
              <w:szCs w:val="28"/>
            </w:rPr>
            <w:t>Lecturer:</w:t>
          </w:r>
          <w:r w:rsidRPr="000633C9">
            <w:rPr>
              <w:color w:val="153D63" w:themeColor="text2" w:themeTint="E6"/>
              <w:sz w:val="28"/>
              <w:szCs w:val="28"/>
            </w:rPr>
            <w:tab/>
            <w:t>Alice Clayton</w:t>
          </w:r>
        </w:p>
        <w:p w14:paraId="3457258E" w14:textId="77777777" w:rsidR="000633C9" w:rsidRDefault="000633C9" w:rsidP="000633C9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6082" w:themeColor="accent1"/>
              <w:sz w:val="28"/>
              <w:szCs w:val="28"/>
            </w:rPr>
          </w:pPr>
        </w:p>
        <w:p w14:paraId="74985ABE" w14:textId="77777777" w:rsidR="000633C9" w:rsidRDefault="000633C9" w:rsidP="000633C9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6082" w:themeColor="accent1"/>
              <w:sz w:val="28"/>
              <w:szCs w:val="28"/>
            </w:rPr>
          </w:pPr>
        </w:p>
        <w:p w14:paraId="2247D4D1" w14:textId="6F9B0B2E" w:rsidR="00631F73" w:rsidRPr="000633C9" w:rsidRDefault="00631F73" w:rsidP="000633C9">
          <w:pPr>
            <w:pStyle w:val="NoSpacing"/>
            <w:pBdr>
              <w:top w:val="single" w:sz="6" w:space="6" w:color="156082" w:themeColor="accent1"/>
              <w:bottom w:val="single" w:sz="6" w:space="31" w:color="156082" w:themeColor="accent1"/>
            </w:pBdr>
            <w:spacing w:after="240"/>
            <w:jc w:val="center"/>
            <w:rPr>
              <w:color w:val="156082" w:themeColor="accent1"/>
              <w:sz w:val="28"/>
              <w:szCs w:val="28"/>
            </w:rPr>
          </w:pPr>
        </w:p>
        <w:p w14:paraId="43CFD96D" w14:textId="304A0B76" w:rsidR="00631F73" w:rsidRDefault="000633C9">
          <w:r>
            <w:rPr>
              <w:noProof/>
              <w:color w:val="156082" w:themeColor="accent1"/>
            </w:rPr>
            <w:drawing>
              <wp:anchor distT="0" distB="0" distL="114300" distR="114300" simplePos="0" relativeHeight="251657216" behindDoc="0" locked="0" layoutInCell="1" allowOverlap="1" wp14:anchorId="7290111C" wp14:editId="1C4481E4">
                <wp:simplePos x="0" y="0"/>
                <wp:positionH relativeFrom="column">
                  <wp:posOffset>2628900</wp:posOffset>
                </wp:positionH>
                <wp:positionV relativeFrom="paragraph">
                  <wp:posOffset>960755</wp:posOffset>
                </wp:positionV>
                <wp:extent cx="758825" cy="478790"/>
                <wp:effectExtent l="152400" t="171450" r="79375" b="149860"/>
                <wp:wrapSquare wrapText="bothSides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825" cy="47879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outerShdw blurRad="190500" algn="tl" rotWithShape="0">
                            <a:srgbClr val="000000">
                              <a:alpha val="70000"/>
                            </a:srgbClr>
                          </a:outerShdw>
                        </a:effectLst>
                      </pic:spPr>
                    </pic:pic>
                  </a:graphicData>
                </a:graphic>
              </wp:anchor>
            </w:drawing>
          </w:r>
          <w:r w:rsidR="00631F73">
            <w:br w:type="page"/>
          </w:r>
        </w:p>
      </w:sdtContent>
    </w:sdt>
    <w:p w14:paraId="49ADB3F6" w14:textId="22324423" w:rsidR="00631F73" w:rsidRDefault="000633C9" w:rsidP="002424C4">
      <w:pPr>
        <w:jc w:val="center"/>
        <w:rPr>
          <w:rFonts w:ascii="Arial" w:hAnsi="Arial" w:cs="Arial"/>
          <w:color w:val="0F4761" w:themeColor="accent1" w:themeShade="BF"/>
          <w:sz w:val="24"/>
          <w:szCs w:val="24"/>
          <w:u w:val="single"/>
        </w:rPr>
      </w:pPr>
      <w:r w:rsidRPr="000633C9">
        <w:rPr>
          <w:rFonts w:ascii="Arial" w:hAnsi="Arial" w:cs="Arial"/>
          <w:color w:val="0F4761" w:themeColor="accent1" w:themeShade="BF"/>
          <w:sz w:val="24"/>
          <w:szCs w:val="24"/>
          <w:u w:val="single"/>
        </w:rPr>
        <w:lastRenderedPageBreak/>
        <w:t>References</w:t>
      </w:r>
    </w:p>
    <w:p w14:paraId="1C9884FB" w14:textId="77777777" w:rsidR="002424C4" w:rsidRDefault="002424C4" w:rsidP="002424C4">
      <w:pPr>
        <w:jc w:val="center"/>
        <w:rPr>
          <w:rFonts w:ascii="Arial" w:hAnsi="Arial" w:cs="Arial"/>
          <w:color w:val="0F4761" w:themeColor="accent1" w:themeShade="BF"/>
          <w:sz w:val="24"/>
          <w:szCs w:val="24"/>
          <w:u w:val="single"/>
        </w:rPr>
      </w:pPr>
    </w:p>
    <w:p w14:paraId="525A36D7" w14:textId="569E5884" w:rsidR="005C249E" w:rsidRDefault="00F14452" w:rsidP="008E761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Ali, I., Balboa, V., Datta, S., Dobson, L., Dubey, D., Oguz, A. E., Horobin, R., Ladha, S., Moore, C. and Tan, L. (2023) 'Long Waiting Lists and Poor Attendance-How Can Psychiatry Do Better? a Review of Services in </w:t>
      </w:r>
      <w:r w:rsidR="008E761F" w:rsidRPr="008E761F">
        <w:rPr>
          <w:rFonts w:ascii="Arial" w:hAnsi="Arial" w:cs="Arial"/>
          <w:sz w:val="24"/>
          <w:szCs w:val="24"/>
          <w:u w:val="single"/>
        </w:rPr>
        <w:t>Northwest</w:t>
      </w:r>
      <w:r w:rsidRPr="008E761F">
        <w:rPr>
          <w:rFonts w:ascii="Arial" w:hAnsi="Arial" w:cs="Arial"/>
          <w:sz w:val="24"/>
          <w:szCs w:val="24"/>
          <w:u w:val="single"/>
        </w:rPr>
        <w:t xml:space="preserve"> Edinburgh',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BJPsych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 xml:space="preserve"> Open, 9(S1), pp. S137-S138.</w:t>
      </w:r>
    </w:p>
    <w:p w14:paraId="2D97788A" w14:textId="77777777" w:rsidR="008E761F" w:rsidRPr="008E761F" w:rsidRDefault="008E761F" w:rsidP="008E761F">
      <w:pPr>
        <w:rPr>
          <w:rFonts w:ascii="Arial" w:hAnsi="Arial" w:cs="Arial"/>
          <w:sz w:val="24"/>
          <w:szCs w:val="24"/>
          <w:u w:val="single"/>
        </w:rPr>
      </w:pPr>
    </w:p>
    <w:p w14:paraId="3F53C9B2" w14:textId="77777777" w:rsidR="00B33F63" w:rsidRDefault="00B33F63" w:rsidP="008E761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Alonso, J., Liu, Z., Evans</w:t>
      </w:r>
      <w:r w:rsidRPr="008E761F">
        <w:rPr>
          <w:rFonts w:ascii="Cambria Math" w:hAnsi="Cambria Math" w:cs="Cambria Math"/>
          <w:sz w:val="24"/>
          <w:szCs w:val="24"/>
          <w:u w:val="single"/>
        </w:rPr>
        <w:t>‐</w:t>
      </w:r>
      <w:r w:rsidRPr="008E761F">
        <w:rPr>
          <w:rFonts w:ascii="Arial" w:hAnsi="Arial" w:cs="Arial"/>
          <w:sz w:val="24"/>
          <w:szCs w:val="24"/>
          <w:u w:val="single"/>
        </w:rPr>
        <w:t xml:space="preserve">Lacko, S.,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Sadikova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>, E., Sampson, N., Chatterji, S., Abdulmalik, J., Aguilar</w:t>
      </w:r>
      <w:r w:rsidRPr="008E761F">
        <w:rPr>
          <w:rFonts w:ascii="Cambria Math" w:hAnsi="Cambria Math" w:cs="Cambria Math"/>
          <w:sz w:val="24"/>
          <w:szCs w:val="24"/>
          <w:u w:val="single"/>
        </w:rPr>
        <w:t>‐</w:t>
      </w:r>
      <w:r w:rsidRPr="008E761F">
        <w:rPr>
          <w:rFonts w:ascii="Arial" w:hAnsi="Arial" w:cs="Arial"/>
          <w:sz w:val="24"/>
          <w:szCs w:val="24"/>
          <w:u w:val="single"/>
        </w:rPr>
        <w:t>Gaxiola, S., Al</w:t>
      </w:r>
      <w:r w:rsidRPr="008E761F">
        <w:rPr>
          <w:rFonts w:ascii="Cambria Math" w:hAnsi="Cambria Math" w:cs="Cambria Math"/>
          <w:sz w:val="24"/>
          <w:szCs w:val="24"/>
          <w:u w:val="single"/>
        </w:rPr>
        <w:t>‐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Hamzawi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>, A. and Andrade, L. H. (2018) 'Treatment gap for anxiety disorders is global: Results of the World Mental Health Surveys in 21 countries', Depression and anxiety, 35(3), pp. 195-208.</w:t>
      </w:r>
    </w:p>
    <w:p w14:paraId="4A106335" w14:textId="77777777" w:rsidR="008E761F" w:rsidRPr="008E761F" w:rsidRDefault="008E761F" w:rsidP="008E761F">
      <w:pPr>
        <w:rPr>
          <w:rFonts w:ascii="Arial" w:hAnsi="Arial" w:cs="Arial"/>
          <w:sz w:val="24"/>
          <w:szCs w:val="24"/>
          <w:u w:val="single"/>
        </w:rPr>
      </w:pPr>
    </w:p>
    <w:p w14:paraId="73033DBB" w14:textId="59FAB2CF" w:rsidR="008E761F" w:rsidRDefault="00B33F63" w:rsidP="008E761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American Psychiatric Association (2013) Diagnostic and Statistical Manual of Mental Disorders. 5th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edn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>. American Psychiatric Publishing</w:t>
      </w:r>
    </w:p>
    <w:p w14:paraId="05949F1A" w14:textId="77777777" w:rsidR="009532E1" w:rsidRPr="009532E1" w:rsidRDefault="009532E1" w:rsidP="009532E1">
      <w:pPr>
        <w:rPr>
          <w:rFonts w:ascii="Arial" w:hAnsi="Arial" w:cs="Arial"/>
          <w:sz w:val="24"/>
          <w:szCs w:val="24"/>
          <w:u w:val="single"/>
        </w:rPr>
      </w:pPr>
    </w:p>
    <w:p w14:paraId="142B502E" w14:textId="00606095" w:rsidR="00BB328A" w:rsidRDefault="00BB328A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Bargiela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 xml:space="preserve"> S., Steward R., Mandy W. (2016). The experiences of late-diagnosed women with autism spectrum conditions: An investigation of the female autism phenotype. Journal of Autism and Developmental Disorders, 46(10), 3281–3294. </w:t>
      </w:r>
      <w:hyperlink r:id="rId8" w:history="1">
        <w:r w:rsidR="009532E1" w:rsidRPr="005624AA">
          <w:rPr>
            <w:rStyle w:val="Hyperlink"/>
            <w:rFonts w:ascii="Arial" w:hAnsi="Arial" w:cs="Arial"/>
            <w:sz w:val="24"/>
            <w:szCs w:val="24"/>
          </w:rPr>
          <w:t>https://doi.org/10.1007/s10803-016-2872-8</w:t>
        </w:r>
      </w:hyperlink>
    </w:p>
    <w:p w14:paraId="537FA618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9FB3C46" w14:textId="629F3F23" w:rsidR="00BB328A" w:rsidRDefault="00BB328A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Bradley, L., Shaw, R., Baron-Cohen, S., &amp; Cassidy, S. (2021). Autistic Adults' Experiences of Camouflaging and Its Perceived Impact on Mental Health. Autism in </w:t>
      </w:r>
      <w:r w:rsidR="00DB22FE" w:rsidRPr="008E761F">
        <w:rPr>
          <w:rFonts w:ascii="Arial" w:hAnsi="Arial" w:cs="Arial"/>
          <w:sz w:val="24"/>
          <w:szCs w:val="24"/>
          <w:u w:val="single"/>
        </w:rPr>
        <w:t>adulthood:</w:t>
      </w:r>
      <w:r w:rsidRPr="008E761F">
        <w:rPr>
          <w:rFonts w:ascii="Arial" w:hAnsi="Arial" w:cs="Arial"/>
          <w:sz w:val="24"/>
          <w:szCs w:val="24"/>
          <w:u w:val="single"/>
        </w:rPr>
        <w:t xml:space="preserve"> challenges and management, 3(4), 320–329. </w:t>
      </w:r>
      <w:hyperlink r:id="rId9" w:history="1">
        <w:r w:rsidR="00C503D2" w:rsidRPr="008E761F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https://doi.org/10.1089/aut.2020.0071</w:t>
        </w:r>
      </w:hyperlink>
    </w:p>
    <w:p w14:paraId="6C4A5FC7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9B84AE3" w14:textId="3E74D920" w:rsidR="002E4E72" w:rsidRDefault="002E4E72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Bharat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Velani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 xml:space="preserve">, Sawhney, I., Alexander, R., Shardlow, S. and Zia, A. I. (2022) ‘Implementing proposed reforms of the Mental Health Act for people with intellectual disability and autism: the perspective of multidisciplinary professionals in intellectual disability teams’, British Journal of Psychiatry Open, 8(6). Available at: </w:t>
      </w:r>
      <w:hyperlink r:id="rId10" w:history="1">
        <w:r w:rsidR="000E0E17" w:rsidRPr="008E761F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https://doi.org/10.1192/bjo.2022.604</w:t>
        </w:r>
      </w:hyperlink>
      <w:r w:rsidRPr="008E761F">
        <w:rPr>
          <w:rFonts w:ascii="Arial" w:hAnsi="Arial" w:cs="Arial"/>
          <w:sz w:val="24"/>
          <w:szCs w:val="24"/>
          <w:u w:val="single"/>
        </w:rPr>
        <w:t>.</w:t>
      </w:r>
    </w:p>
    <w:p w14:paraId="5819E482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2255FEBA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21BDCC5" w14:textId="76B2A449" w:rsidR="000E0E17" w:rsidRPr="008E761F" w:rsidRDefault="000E0E17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Docherty, M. and Thornicroft, G. (2015) 'Specialist mental health services in England in 2014: overview of funding, access and levels of care', International Journal of Mental Health Systems, 9, pp. 1-8.</w:t>
      </w:r>
    </w:p>
    <w:p w14:paraId="5F6B4647" w14:textId="6C0CE4F9" w:rsidR="00C503D2" w:rsidRDefault="00C503D2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lastRenderedPageBreak/>
        <w:t xml:space="preserve">Field, S. L., Williams, M. O., Jones, C. R. G., &amp; Fox, J. R. E. (2024). A meta-ethnography of autistic people’s experiences of social camouflaging and its relationship with mental health. Autism, 0(0). </w:t>
      </w:r>
      <w:hyperlink r:id="rId11" w:history="1">
        <w:r w:rsidR="00BF6D63" w:rsidRPr="008E761F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https://doi.org/10.1177/13623613231223036</w:t>
        </w:r>
      </w:hyperlink>
    </w:p>
    <w:p w14:paraId="04113FFF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3697CA4" w14:textId="37522B0A" w:rsidR="00BF6D63" w:rsidRDefault="00BF6D63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Henderson, C., Noblett, J., Parke, H., Clement, S., Caffrey, A., Gale-Grant, O., Schulze, B., Druss, B. and Thornicroft, G. (2014) 'Mental health-related stigma in health care and mental health-care settings', The Lancet Psychiatry, 1(6), pp. 467-482.</w:t>
      </w:r>
    </w:p>
    <w:p w14:paraId="0F140525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6A8A4DAE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4D6BE57" w14:textId="77777777" w:rsidR="004D101D" w:rsidRDefault="004D101D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Livingston, L.A., Shah, P., &amp;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Happé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 xml:space="preserve">, F. (2019). Compensatory strategies below the </w:t>
      </w:r>
      <w:proofErr w:type="spellStart"/>
      <w:r w:rsidRPr="008E761F">
        <w:rPr>
          <w:rFonts w:ascii="Arial" w:hAnsi="Arial" w:cs="Arial"/>
          <w:sz w:val="24"/>
          <w:szCs w:val="24"/>
          <w:u w:val="single"/>
        </w:rPr>
        <w:t>behavioural</w:t>
      </w:r>
      <w:proofErr w:type="spellEnd"/>
      <w:r w:rsidRPr="008E761F">
        <w:rPr>
          <w:rFonts w:ascii="Arial" w:hAnsi="Arial" w:cs="Arial"/>
          <w:sz w:val="24"/>
          <w:szCs w:val="24"/>
          <w:u w:val="single"/>
        </w:rPr>
        <w:t xml:space="preserve"> surface in autism: A qualitative study. Lancet Psychiatry, 6(9), 766–777.</w:t>
      </w:r>
    </w:p>
    <w:p w14:paraId="2A9047CA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02524E3E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D50ED57" w14:textId="77777777" w:rsidR="004D101D" w:rsidRDefault="004D101D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Mandy, W. (2019). Social camouflaging in autism: Is it time to lose the mask? Autism, 23(8), 1879–1881.</w:t>
      </w:r>
    </w:p>
    <w:p w14:paraId="47F83DC6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A576088" w14:textId="34AE055D" w:rsidR="004D101D" w:rsidRDefault="004D101D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Major, B., Dovidio, J. F., Link, B. G., &amp; Calabrese, S. K. (2018). Stigma and its implications for health: Introduction and overview. The Oxford handbook of stigma, discrimination, and health, 3-28.</w:t>
      </w:r>
    </w:p>
    <w:p w14:paraId="4FC96FB1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4E528BC9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B2FC618" w14:textId="0F98A700" w:rsidR="00987FB8" w:rsidRDefault="00987FB8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National Autistic Society (2021) New shocking data highlights the autism employment gap, www.autism.org.uk. Available at: </w:t>
      </w:r>
      <w:hyperlink r:id="rId12" w:history="1">
        <w:r w:rsidR="009532E1" w:rsidRPr="005624AA">
          <w:rPr>
            <w:rStyle w:val="Hyperlink"/>
            <w:rFonts w:ascii="Arial" w:hAnsi="Arial" w:cs="Arial"/>
            <w:sz w:val="24"/>
            <w:szCs w:val="24"/>
          </w:rPr>
          <w:t>https://www.autism.org.uk/what-we-do/news/new-data-on-the-autism-employment-gap</w:t>
        </w:r>
      </w:hyperlink>
      <w:r w:rsidRPr="008E761F">
        <w:rPr>
          <w:rFonts w:ascii="Arial" w:hAnsi="Arial" w:cs="Arial"/>
          <w:sz w:val="24"/>
          <w:szCs w:val="24"/>
          <w:u w:val="single"/>
        </w:rPr>
        <w:t>.</w:t>
      </w:r>
    </w:p>
    <w:p w14:paraId="3EC309DA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14BF16D" w14:textId="41CDE2EC" w:rsidR="00987FB8" w:rsidRDefault="00987FB8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Office for National Statistics (2022) Outcomes for disabled people in the </w:t>
      </w:r>
      <w:proofErr w:type="gramStart"/>
      <w:r w:rsidRPr="008E761F">
        <w:rPr>
          <w:rFonts w:ascii="Arial" w:hAnsi="Arial" w:cs="Arial"/>
          <w:sz w:val="24"/>
          <w:szCs w:val="24"/>
          <w:u w:val="single"/>
        </w:rPr>
        <w:t>UK ,</w:t>
      </w:r>
      <w:proofErr w:type="gramEnd"/>
      <w:r w:rsidRPr="008E761F">
        <w:rPr>
          <w:rFonts w:ascii="Arial" w:hAnsi="Arial" w:cs="Arial"/>
          <w:sz w:val="24"/>
          <w:szCs w:val="24"/>
          <w:u w:val="single"/>
        </w:rPr>
        <w:t xml:space="preserve"> www.ons.gov.uk. Available at: </w:t>
      </w:r>
      <w:hyperlink r:id="rId13" w:history="1">
        <w:r w:rsidR="009532E1" w:rsidRPr="005624AA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https://www.ons.gov.uk/peoplepopulationandcommunity/healthandsocialcare/disability/articles/outcomesfordisabledpeopleintheuk/2021</w:t>
        </w:r>
      </w:hyperlink>
      <w:r w:rsidRPr="008E761F">
        <w:rPr>
          <w:rFonts w:ascii="Arial" w:hAnsi="Arial" w:cs="Arial"/>
          <w:sz w:val="24"/>
          <w:szCs w:val="24"/>
          <w:u w:val="single"/>
        </w:rPr>
        <w:t>.</w:t>
      </w:r>
    </w:p>
    <w:p w14:paraId="12875F5D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34314C2C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D7861B4" w14:textId="00130E16" w:rsidR="00542754" w:rsidRDefault="00542754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lastRenderedPageBreak/>
        <w:t xml:space="preserve">Pearson, A., &amp; Rose, K. (2021). A Conceptual Analysis of Autistic Masking: Understanding the Narrative of Stigma and the Illusion of Choice. Autism in </w:t>
      </w:r>
      <w:r w:rsidR="00C91FB4" w:rsidRPr="008E761F">
        <w:rPr>
          <w:rFonts w:ascii="Arial" w:hAnsi="Arial" w:cs="Arial"/>
          <w:sz w:val="24"/>
          <w:szCs w:val="24"/>
          <w:u w:val="single"/>
        </w:rPr>
        <w:t>adulthood:</w:t>
      </w:r>
      <w:r w:rsidRPr="008E761F">
        <w:rPr>
          <w:rFonts w:ascii="Arial" w:hAnsi="Arial" w:cs="Arial"/>
          <w:sz w:val="24"/>
          <w:szCs w:val="24"/>
          <w:u w:val="single"/>
        </w:rPr>
        <w:t xml:space="preserve"> challenges and management, 3(1), 52–60. </w:t>
      </w:r>
      <w:hyperlink r:id="rId14" w:history="1">
        <w:r w:rsidRPr="008E761F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https://doi.org/10.1089/aut.2020.0043</w:t>
        </w:r>
      </w:hyperlink>
    </w:p>
    <w:p w14:paraId="044FC0C7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3532E7B" w14:textId="6014C549" w:rsidR="00215323" w:rsidRDefault="00215323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Peter Phillips, Tom Sandford, &amp; Claire Johnston. (2012). Working in Mental </w:t>
      </w:r>
      <w:r w:rsidR="00C91FB4" w:rsidRPr="008E761F">
        <w:rPr>
          <w:rFonts w:ascii="Arial" w:hAnsi="Arial" w:cs="Arial"/>
          <w:sz w:val="24"/>
          <w:szCs w:val="24"/>
          <w:u w:val="single"/>
        </w:rPr>
        <w:t>Health:</w:t>
      </w:r>
      <w:r w:rsidRPr="008E761F">
        <w:rPr>
          <w:rFonts w:ascii="Arial" w:hAnsi="Arial" w:cs="Arial"/>
          <w:sz w:val="24"/>
          <w:szCs w:val="24"/>
          <w:u w:val="single"/>
        </w:rPr>
        <w:t xml:space="preserve"> Practice and Policy in a Changing Environment. Routledge.</w:t>
      </w:r>
    </w:p>
    <w:p w14:paraId="576D3334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18CEFA83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4014A85" w14:textId="7A24D5E4" w:rsidR="00CC1648" w:rsidRDefault="00CC1648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Taylor, S. J., &amp; Brumby, A. (2020). Correction to: Healthy Minds in the Twentieth Century. Healthy Minds in the Twentieth Century: In and Beyond the Asylum, C1-C1.</w:t>
      </w:r>
    </w:p>
    <w:p w14:paraId="64D893C0" w14:textId="77777777" w:rsidR="00554344" w:rsidRPr="00554344" w:rsidRDefault="00554344" w:rsidP="00554344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BC00110" w14:textId="77777777" w:rsidR="00554344" w:rsidRDefault="00554344" w:rsidP="00554344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554344">
        <w:rPr>
          <w:rFonts w:ascii="Arial" w:hAnsi="Arial" w:cs="Arial"/>
          <w:sz w:val="24"/>
          <w:szCs w:val="24"/>
          <w:u w:val="single"/>
        </w:rPr>
        <w:t xml:space="preserve">Tsai, L. Y. and </w:t>
      </w:r>
      <w:proofErr w:type="spellStart"/>
      <w:r w:rsidRPr="00554344">
        <w:rPr>
          <w:rFonts w:ascii="Arial" w:hAnsi="Arial" w:cs="Arial"/>
          <w:sz w:val="24"/>
          <w:szCs w:val="24"/>
          <w:u w:val="single"/>
        </w:rPr>
        <w:t>Ghaziuddin</w:t>
      </w:r>
      <w:proofErr w:type="spellEnd"/>
      <w:r w:rsidRPr="00554344">
        <w:rPr>
          <w:rFonts w:ascii="Arial" w:hAnsi="Arial" w:cs="Arial"/>
          <w:sz w:val="24"/>
          <w:szCs w:val="24"/>
          <w:u w:val="single"/>
        </w:rPr>
        <w:t>, M. (2014) 'DSM-5 ASD moves forward into the past', Journal of autism and developmental disorders, 44, pp. 321-330.</w:t>
      </w:r>
    </w:p>
    <w:p w14:paraId="621E0B56" w14:textId="77777777" w:rsidR="00554344" w:rsidRPr="00554344" w:rsidRDefault="00554344" w:rsidP="00554344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4FF5A2F2" w14:textId="77777777" w:rsidR="00554344" w:rsidRPr="00B024E5" w:rsidRDefault="00554344" w:rsidP="00B024E5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0ACB792" w14:textId="4845E00B" w:rsidR="00554344" w:rsidRDefault="00554344" w:rsidP="00554344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554344">
        <w:rPr>
          <w:rFonts w:ascii="Arial" w:hAnsi="Arial" w:cs="Arial"/>
          <w:sz w:val="24"/>
          <w:szCs w:val="24"/>
          <w:u w:val="single"/>
        </w:rPr>
        <w:t xml:space="preserve">Van </w:t>
      </w:r>
      <w:proofErr w:type="spellStart"/>
      <w:r w:rsidRPr="00554344">
        <w:rPr>
          <w:rFonts w:ascii="Arial" w:hAnsi="Arial" w:cs="Arial"/>
          <w:sz w:val="24"/>
          <w:szCs w:val="24"/>
          <w:u w:val="single"/>
        </w:rPr>
        <w:t>Steensel</w:t>
      </w:r>
      <w:proofErr w:type="spellEnd"/>
      <w:r w:rsidRPr="00554344">
        <w:rPr>
          <w:rFonts w:ascii="Arial" w:hAnsi="Arial" w:cs="Arial"/>
          <w:sz w:val="24"/>
          <w:szCs w:val="24"/>
          <w:u w:val="single"/>
        </w:rPr>
        <w:t xml:space="preserve">, F. J., </w:t>
      </w:r>
      <w:proofErr w:type="spellStart"/>
      <w:r w:rsidRPr="00554344">
        <w:rPr>
          <w:rFonts w:ascii="Arial" w:hAnsi="Arial" w:cs="Arial"/>
          <w:sz w:val="24"/>
          <w:szCs w:val="24"/>
          <w:u w:val="single"/>
        </w:rPr>
        <w:t>Bögels</w:t>
      </w:r>
      <w:proofErr w:type="spellEnd"/>
      <w:r w:rsidRPr="00554344">
        <w:rPr>
          <w:rFonts w:ascii="Arial" w:hAnsi="Arial" w:cs="Arial"/>
          <w:sz w:val="24"/>
          <w:szCs w:val="24"/>
          <w:u w:val="single"/>
        </w:rPr>
        <w:t>, S. M. and Perrin, S. (2011) '</w:t>
      </w:r>
      <w:r w:rsidR="00B024E5" w:rsidRPr="00554344">
        <w:rPr>
          <w:rFonts w:ascii="Arial" w:hAnsi="Arial" w:cs="Arial"/>
          <w:sz w:val="24"/>
          <w:szCs w:val="24"/>
          <w:u w:val="single"/>
        </w:rPr>
        <w:t>anxiety disorders</w:t>
      </w:r>
      <w:r w:rsidRPr="00554344">
        <w:rPr>
          <w:rFonts w:ascii="Arial" w:hAnsi="Arial" w:cs="Arial"/>
          <w:sz w:val="24"/>
          <w:szCs w:val="24"/>
          <w:u w:val="single"/>
        </w:rPr>
        <w:t xml:space="preserve"> in autistic spectrum disorders: A meta-analysis', Clinical child and family psychology review, 14, pp. 302-317.</w:t>
      </w:r>
    </w:p>
    <w:p w14:paraId="1F9E72FA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0014B10" w14:textId="0EA27B2A" w:rsidR="008E761F" w:rsidRDefault="008E761F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 xml:space="preserve">World Health Organization (2019) ICD-10 Version:2019, icd.who.int. Available at: </w:t>
      </w:r>
      <w:hyperlink r:id="rId15" w:history="1">
        <w:r w:rsidR="009532E1" w:rsidRPr="005624AA">
          <w:rPr>
            <w:rStyle w:val="Hyperlink"/>
            <w:rFonts w:ascii="Arial" w:hAnsi="Arial" w:cs="Arial"/>
            <w:sz w:val="24"/>
            <w:szCs w:val="24"/>
          </w:rPr>
          <w:t>https://icd.who.int/browse10/2019/en</w:t>
        </w:r>
      </w:hyperlink>
      <w:r w:rsidRPr="008E761F">
        <w:rPr>
          <w:rFonts w:ascii="Arial" w:hAnsi="Arial" w:cs="Arial"/>
          <w:sz w:val="24"/>
          <w:szCs w:val="24"/>
          <w:u w:val="single"/>
        </w:rPr>
        <w:t>.</w:t>
      </w:r>
    </w:p>
    <w:p w14:paraId="0A5BAB44" w14:textId="77777777" w:rsidR="009532E1" w:rsidRPr="009532E1" w:rsidRDefault="009532E1" w:rsidP="009532E1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14:paraId="063F9130" w14:textId="77777777" w:rsidR="009532E1" w:rsidRPr="009532E1" w:rsidRDefault="009532E1" w:rsidP="009532E1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0BDF44D" w14:textId="4E1ED652" w:rsidR="008E761F" w:rsidRPr="008E761F" w:rsidRDefault="008E761F" w:rsidP="008E76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u w:val="single"/>
        </w:rPr>
      </w:pPr>
      <w:r w:rsidRPr="008E761F">
        <w:rPr>
          <w:rFonts w:ascii="Arial" w:hAnsi="Arial" w:cs="Arial"/>
          <w:sz w:val="24"/>
          <w:szCs w:val="24"/>
          <w:u w:val="single"/>
        </w:rPr>
        <w:t>World Health Organization (2022) 'World mental health report: transforming mental health for all'.</w:t>
      </w:r>
    </w:p>
    <w:p w14:paraId="491DF6DF" w14:textId="77777777" w:rsidR="00120C3D" w:rsidRPr="008E761F" w:rsidRDefault="00120C3D">
      <w:pPr>
        <w:rPr>
          <w:rFonts w:ascii="Arial" w:hAnsi="Arial" w:cs="Arial"/>
          <w:sz w:val="24"/>
          <w:szCs w:val="24"/>
          <w:u w:val="single"/>
        </w:rPr>
      </w:pPr>
    </w:p>
    <w:p w14:paraId="253E472D" w14:textId="77777777" w:rsidR="00542754" w:rsidRPr="000633C9" w:rsidRDefault="00542754">
      <w:pPr>
        <w:rPr>
          <w:rFonts w:ascii="Arial" w:hAnsi="Arial" w:cs="Arial"/>
          <w:color w:val="0F4761" w:themeColor="accent1" w:themeShade="BF"/>
          <w:sz w:val="24"/>
          <w:szCs w:val="24"/>
          <w:u w:val="single"/>
        </w:rPr>
      </w:pPr>
    </w:p>
    <w:sectPr w:rsidR="00542754" w:rsidRPr="000633C9" w:rsidSect="00631F73"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75857"/>
    <w:multiLevelType w:val="hybridMultilevel"/>
    <w:tmpl w:val="B046FE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2201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1F73"/>
    <w:rsid w:val="000633C9"/>
    <w:rsid w:val="000E0E17"/>
    <w:rsid w:val="00102F2F"/>
    <w:rsid w:val="00120C3D"/>
    <w:rsid w:val="00136127"/>
    <w:rsid w:val="00215323"/>
    <w:rsid w:val="002424C4"/>
    <w:rsid w:val="002E4E72"/>
    <w:rsid w:val="003A5A8C"/>
    <w:rsid w:val="004A3DA7"/>
    <w:rsid w:val="004D101D"/>
    <w:rsid w:val="00542754"/>
    <w:rsid w:val="00554344"/>
    <w:rsid w:val="005C249E"/>
    <w:rsid w:val="00631F73"/>
    <w:rsid w:val="008A6254"/>
    <w:rsid w:val="008E761F"/>
    <w:rsid w:val="009532E1"/>
    <w:rsid w:val="00987FB8"/>
    <w:rsid w:val="00991540"/>
    <w:rsid w:val="00996B73"/>
    <w:rsid w:val="00A3413A"/>
    <w:rsid w:val="00AD7B25"/>
    <w:rsid w:val="00AE570A"/>
    <w:rsid w:val="00B024E5"/>
    <w:rsid w:val="00B33F63"/>
    <w:rsid w:val="00BB328A"/>
    <w:rsid w:val="00BF6D63"/>
    <w:rsid w:val="00C503D2"/>
    <w:rsid w:val="00C91FB4"/>
    <w:rsid w:val="00CC1648"/>
    <w:rsid w:val="00DB22FE"/>
    <w:rsid w:val="00F14452"/>
    <w:rsid w:val="00FB6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,"/>
  <w:listSeparator w:val=";"/>
  <w14:docId w14:val="53F7BB27"/>
  <w15:docId w15:val="{B5BD8C5B-87E3-4DF1-A6DA-FCDE7A36F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33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31F73"/>
    <w:pPr>
      <w:spacing w:after="0" w:line="240" w:lineRule="auto"/>
    </w:pPr>
    <w:rPr>
      <w:color w:val="0E2841" w:themeColor="text2"/>
      <w:kern w:val="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631F73"/>
    <w:rPr>
      <w:color w:val="0E2841" w:themeColor="text2"/>
      <w:kern w:val="0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063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D7B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7B2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E76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803-016-2872-8" TargetMode="External"/><Relationship Id="rId13" Type="http://schemas.openxmlformats.org/officeDocument/2006/relationships/hyperlink" Target="https://www.ons.gov.uk/peoplepopulationandcommunity/healthandsocialcare/disability/articles/outcomesfordisabledpeopleintheuk/2021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autism.org.uk/what-we-do/news/new-data-on-the-autism-employment-gap" TargetMode="External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177/1362361323122303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cd.who.int/browse10/2019/en" TargetMode="External"/><Relationship Id="rId10" Type="http://schemas.openxmlformats.org/officeDocument/2006/relationships/hyperlink" Target="https://doi.org/10.1192/bjo.2022.60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9/aut.2020.0071" TargetMode="External"/><Relationship Id="rId14" Type="http://schemas.openxmlformats.org/officeDocument/2006/relationships/hyperlink" Target="https://doi.org/10.1089/aut.2020.0043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2FE0E3387CB4D05BA3F52F42D535D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6AC6E2-2C65-4858-B1B2-A4A21811FC94}"/>
      </w:docPartPr>
      <w:docPartBody>
        <w:p w:rsidR="00792A94" w:rsidRDefault="00792A94" w:rsidP="00792A94">
          <w:pPr>
            <w:pStyle w:val="C2FE0E3387CB4D05BA3F52F42D535D0D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comments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A94"/>
    <w:rsid w:val="00792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DF424DFB3044F7C9DA9D580ED1C57E9">
    <w:name w:val="3DF424DFB3044F7C9DA9D580ED1C57E9"/>
    <w:rsid w:val="00792A94"/>
  </w:style>
  <w:style w:type="paragraph" w:customStyle="1" w:styleId="3320EA7A155149878600D9250B25C473">
    <w:name w:val="3320EA7A155149878600D9250B25C473"/>
    <w:rsid w:val="00792A94"/>
  </w:style>
  <w:style w:type="paragraph" w:customStyle="1" w:styleId="AE39E62EF3C44754BEB360E34103AFC4">
    <w:name w:val="AE39E62EF3C44754BEB360E34103AFC4"/>
    <w:rsid w:val="00792A94"/>
  </w:style>
  <w:style w:type="paragraph" w:customStyle="1" w:styleId="B89A81A7870244F7A1C0D23DCBE83EBA">
    <w:name w:val="B89A81A7870244F7A1C0D23DCBE83EBA"/>
    <w:rsid w:val="00792A94"/>
  </w:style>
  <w:style w:type="paragraph" w:customStyle="1" w:styleId="4E8AFA9E504B4FE8BD8ACBE387C7B8F1">
    <w:name w:val="4E8AFA9E504B4FE8BD8ACBE387C7B8F1"/>
    <w:rsid w:val="00792A94"/>
  </w:style>
  <w:style w:type="paragraph" w:customStyle="1" w:styleId="C2FE0E3387CB4D05BA3F52F42D535D0D">
    <w:name w:val="C2FE0E3387CB4D05BA3F52F42D535D0D"/>
    <w:rsid w:val="00792A94"/>
  </w:style>
  <w:style w:type="paragraph" w:customStyle="1" w:styleId="292F722CFE6D44F58175EDC41F14CC35">
    <w:name w:val="292F722CFE6D44F58175EDC41F14CC35"/>
    <w:rsid w:val="00792A9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9F7422-B2BA-455C-B295-E615EF8F6A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767</Words>
  <Characters>4376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Debate discussion</vt:lpstr>
    </vt:vector>
  </TitlesOfParts>
  <Company/>
  <LinksUpToDate>false</LinksUpToDate>
  <CharactersWithSpaces>5133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discussion</dc:title>
  <dc:subject/>
  <dc:creator>sevdalina Veli</dc:creator>
  <cp:keywords/>
  <dc:description/>
  <cp:lastModifiedBy>sevdalina Veli</cp:lastModifiedBy>
  <cp:revision>2</cp:revision>
  <dcterms:created xsi:type="dcterms:W3CDTF">2024-02-25T18:12:00Z</dcterms:created>
  <dcterms:modified xsi:type="dcterms:W3CDTF">2024-02-25T18:12:00Z</dcterms:modified>
</cp:coreProperties>
</file>