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065CA" w14:textId="63C103D4" w:rsidR="00BE2A57" w:rsidRDefault="00BF0CFF">
      <w:pPr>
        <w:rPr>
          <w:rFonts w:ascii="Times New Roman" w:hAnsi="Times New Roman" w:cs="Times New Roman"/>
          <w:b/>
          <w:sz w:val="28"/>
          <w:szCs w:val="28"/>
          <w:u w:val="single"/>
        </w:rPr>
      </w:pPr>
      <w:r>
        <w:rPr>
          <w:rFonts w:ascii="Times New Roman" w:hAnsi="Times New Roman" w:cs="Times New Roman"/>
          <w:b/>
          <w:sz w:val="28"/>
          <w:szCs w:val="28"/>
          <w:u w:val="single"/>
        </w:rPr>
        <w:t>Book Review</w:t>
      </w:r>
    </w:p>
    <w:p w14:paraId="7EBCC729" w14:textId="1DE08A4D" w:rsidR="00BF0CFF" w:rsidRDefault="00BF0CFF">
      <w:pPr>
        <w:rPr>
          <w:rFonts w:ascii="Times New Roman" w:hAnsi="Times New Roman" w:cs="Times New Roman"/>
          <w:b/>
          <w:sz w:val="28"/>
          <w:szCs w:val="28"/>
          <w:u w:val="single"/>
        </w:rPr>
      </w:pPr>
      <w:r>
        <w:rPr>
          <w:rFonts w:ascii="Times New Roman" w:hAnsi="Times New Roman" w:cs="Times New Roman"/>
          <w:b/>
          <w:sz w:val="28"/>
          <w:szCs w:val="28"/>
          <w:u w:val="single"/>
        </w:rPr>
        <w:t>Week 5- Sacred Texts in Ancient Religions</w:t>
      </w:r>
    </w:p>
    <w:p w14:paraId="4A265B41" w14:textId="3C8797B1" w:rsidR="00BF0CFF" w:rsidRDefault="00BF0CFF">
      <w:pPr>
        <w:rPr>
          <w:rFonts w:ascii="Times New Roman" w:hAnsi="Times New Roman" w:cs="Times New Roman"/>
          <w:b/>
          <w:sz w:val="28"/>
          <w:szCs w:val="28"/>
          <w:u w:val="single"/>
        </w:rPr>
      </w:pPr>
    </w:p>
    <w:p w14:paraId="38D33B4A" w14:textId="6BE6FB22" w:rsidR="00BF0CFF" w:rsidRDefault="00774771">
      <w:pPr>
        <w:rPr>
          <w:rFonts w:ascii="Times New Roman" w:hAnsi="Times New Roman" w:cs="Times New Roman"/>
          <w:i/>
          <w:sz w:val="28"/>
          <w:szCs w:val="28"/>
          <w:u w:val="single"/>
        </w:rPr>
      </w:pPr>
      <w:r>
        <w:rPr>
          <w:rFonts w:ascii="Times New Roman" w:hAnsi="Times New Roman" w:cs="Times New Roman"/>
          <w:i/>
          <w:sz w:val="28"/>
          <w:szCs w:val="28"/>
          <w:u w:val="single"/>
        </w:rPr>
        <w:t>Henrichs, A. ‘Hieroi Logoi’ and ‘Hierai Bibloi’: the (un)written margins of the Sacred in Ancient Greece’, Harvard Studies in Classical Philology 2003, 101, 207-266.</w:t>
      </w:r>
    </w:p>
    <w:p w14:paraId="453CF4C8" w14:textId="4E876A0E" w:rsidR="00D400EE" w:rsidRDefault="00D400EE">
      <w:pPr>
        <w:rPr>
          <w:rFonts w:ascii="Times New Roman" w:hAnsi="Times New Roman" w:cs="Times New Roman"/>
          <w:i/>
          <w:sz w:val="28"/>
          <w:szCs w:val="28"/>
          <w:u w:val="single"/>
        </w:rPr>
      </w:pPr>
    </w:p>
    <w:p w14:paraId="36D7AAA8" w14:textId="541894F6" w:rsidR="002F039A" w:rsidRPr="001117FC" w:rsidRDefault="00D400EE" w:rsidP="00D400EE">
      <w:pPr>
        <w:spacing w:before="240" w:line="480" w:lineRule="auto"/>
        <w:rPr>
          <w:rFonts w:ascii="Times New Roman" w:hAnsi="Times New Roman" w:cs="Times New Roman"/>
          <w:sz w:val="28"/>
          <w:szCs w:val="28"/>
        </w:rPr>
      </w:pPr>
      <w:r>
        <w:rPr>
          <w:rFonts w:ascii="Times New Roman" w:hAnsi="Times New Roman" w:cs="Times New Roman"/>
          <w:sz w:val="28"/>
          <w:szCs w:val="28"/>
        </w:rPr>
        <w:t>Henrichs’ article is a fantastic example of an overview regarding sacred texts in ancient Greece. Whilst being both well-researched and easy to understand, the article provides explanations for both forms of sacred text mentioned in the title (</w:t>
      </w:r>
      <w:r>
        <w:rPr>
          <w:rFonts w:ascii="Times New Roman" w:hAnsi="Times New Roman" w:cs="Times New Roman"/>
          <w:i/>
          <w:sz w:val="28"/>
          <w:szCs w:val="28"/>
        </w:rPr>
        <w:t>Hieroi logoi and Hierai Bibloi)</w:t>
      </w:r>
      <w:r w:rsidR="00135CFB">
        <w:rPr>
          <w:rFonts w:ascii="Times New Roman" w:hAnsi="Times New Roman" w:cs="Times New Roman"/>
          <w:i/>
          <w:sz w:val="28"/>
          <w:szCs w:val="28"/>
        </w:rPr>
        <w:t xml:space="preserve"> </w:t>
      </w:r>
      <w:r w:rsidR="002F039A">
        <w:rPr>
          <w:rFonts w:ascii="Times New Roman" w:hAnsi="Times New Roman" w:cs="Times New Roman"/>
          <w:sz w:val="28"/>
          <w:szCs w:val="28"/>
        </w:rPr>
        <w:t>(209-211)</w:t>
      </w:r>
      <w:r>
        <w:rPr>
          <w:rFonts w:ascii="Times New Roman" w:hAnsi="Times New Roman" w:cs="Times New Roman"/>
          <w:sz w:val="28"/>
          <w:szCs w:val="28"/>
        </w:rPr>
        <w:t xml:space="preserve">, examples of ancient scholarship </w:t>
      </w:r>
      <w:r w:rsidR="002F039A">
        <w:rPr>
          <w:rFonts w:ascii="Times New Roman" w:hAnsi="Times New Roman" w:cs="Times New Roman"/>
          <w:sz w:val="28"/>
          <w:szCs w:val="28"/>
        </w:rPr>
        <w:t xml:space="preserve">(212-231) </w:t>
      </w:r>
      <w:r>
        <w:rPr>
          <w:rFonts w:ascii="Times New Roman" w:hAnsi="Times New Roman" w:cs="Times New Roman"/>
          <w:sz w:val="28"/>
          <w:szCs w:val="28"/>
        </w:rPr>
        <w:t>and their relevance towards the subject, and even comparisons of monotheistic religions such as Christianity and Judaism</w:t>
      </w:r>
      <w:r w:rsidR="002F039A">
        <w:rPr>
          <w:rFonts w:ascii="Times New Roman" w:hAnsi="Times New Roman" w:cs="Times New Roman"/>
          <w:sz w:val="28"/>
          <w:szCs w:val="28"/>
        </w:rPr>
        <w:t xml:space="preserve"> (240-242)</w:t>
      </w:r>
      <w:r>
        <w:rPr>
          <w:rFonts w:ascii="Times New Roman" w:hAnsi="Times New Roman" w:cs="Times New Roman"/>
          <w:sz w:val="28"/>
          <w:szCs w:val="28"/>
        </w:rPr>
        <w:t>.</w:t>
      </w:r>
      <w:r w:rsidR="001117FC">
        <w:rPr>
          <w:rFonts w:ascii="Times New Roman" w:hAnsi="Times New Roman" w:cs="Times New Roman"/>
          <w:sz w:val="28"/>
          <w:szCs w:val="28"/>
        </w:rPr>
        <w:t xml:space="preserve"> Although there has been some more recent research on the subject (see Downie 2013), they often focus on a singular part of </w:t>
      </w:r>
      <w:r w:rsidR="001117FC">
        <w:rPr>
          <w:rFonts w:ascii="Times New Roman" w:hAnsi="Times New Roman" w:cs="Times New Roman"/>
          <w:i/>
          <w:sz w:val="28"/>
          <w:szCs w:val="28"/>
        </w:rPr>
        <w:t xml:space="preserve">Hieroi logoi </w:t>
      </w:r>
      <w:r w:rsidR="001117FC">
        <w:rPr>
          <w:rFonts w:ascii="Times New Roman" w:hAnsi="Times New Roman" w:cs="Times New Roman"/>
          <w:sz w:val="28"/>
          <w:szCs w:val="28"/>
        </w:rPr>
        <w:t xml:space="preserve">(such as Aristides’ </w:t>
      </w:r>
      <w:r w:rsidR="001117FC">
        <w:rPr>
          <w:rFonts w:ascii="Times New Roman" w:hAnsi="Times New Roman" w:cs="Times New Roman"/>
          <w:i/>
          <w:sz w:val="28"/>
          <w:szCs w:val="28"/>
        </w:rPr>
        <w:t>Hieroi Logoi</w:t>
      </w:r>
      <w:r w:rsidR="001117FC">
        <w:rPr>
          <w:rFonts w:ascii="Times New Roman" w:hAnsi="Times New Roman" w:cs="Times New Roman"/>
          <w:sz w:val="28"/>
          <w:szCs w:val="28"/>
        </w:rPr>
        <w:t xml:space="preserve"> work) rather than the meaning of the actual term; this is why Heinrichs work is still important </w:t>
      </w:r>
      <w:r w:rsidR="00C45CC9">
        <w:rPr>
          <w:rFonts w:ascii="Times New Roman" w:hAnsi="Times New Roman" w:cs="Times New Roman"/>
          <w:sz w:val="28"/>
          <w:szCs w:val="28"/>
        </w:rPr>
        <w:t>today and remains one of the only works to concentrate entirely on the subject.</w:t>
      </w:r>
    </w:p>
    <w:p w14:paraId="7F1E6660" w14:textId="354C4817" w:rsidR="00E610BC" w:rsidRDefault="00E809B2" w:rsidP="00D400EE">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One of Henrichs’ main points throughout this article is that the term of </w:t>
      </w:r>
      <w:r>
        <w:rPr>
          <w:rFonts w:ascii="Times New Roman" w:hAnsi="Times New Roman" w:cs="Times New Roman"/>
          <w:i/>
          <w:sz w:val="28"/>
          <w:szCs w:val="28"/>
        </w:rPr>
        <w:t>Hieroi logoi</w:t>
      </w:r>
      <w:r>
        <w:rPr>
          <w:rFonts w:ascii="Times New Roman" w:hAnsi="Times New Roman" w:cs="Times New Roman"/>
          <w:sz w:val="28"/>
          <w:szCs w:val="28"/>
        </w:rPr>
        <w:t xml:space="preserve"> is often attributed to a wide range of material whilst seemingly ignoring the main criteria of this group: these texts are thought to have been either aetiological stories or rules for initiates of mystery cults, but more importantly they were kept completely secret by the majority of ancient authors, and therefore it is difficult to know even what they were definitively (209). </w:t>
      </w:r>
      <w:r w:rsidR="00403B63">
        <w:rPr>
          <w:rFonts w:ascii="Times New Roman" w:hAnsi="Times New Roman" w:cs="Times New Roman"/>
          <w:sz w:val="28"/>
          <w:szCs w:val="28"/>
        </w:rPr>
        <w:t xml:space="preserve">He also poses the importance of their </w:t>
      </w:r>
      <w:r w:rsidR="00403B63">
        <w:rPr>
          <w:rFonts w:ascii="Times New Roman" w:hAnsi="Times New Roman" w:cs="Times New Roman"/>
          <w:sz w:val="28"/>
          <w:szCs w:val="28"/>
        </w:rPr>
        <w:lastRenderedPageBreak/>
        <w:t xml:space="preserve">connection to both orality and religious instruction. </w:t>
      </w:r>
      <w:r w:rsidR="00F319A5">
        <w:rPr>
          <w:rFonts w:ascii="Times New Roman" w:hAnsi="Times New Roman" w:cs="Times New Roman"/>
          <w:sz w:val="28"/>
          <w:szCs w:val="28"/>
        </w:rPr>
        <w:t xml:space="preserve">Interestingly, Henrichs seems to be one of the only scholars to focus on this definition of the sacred texts and the problems with placing texts in this category without acknowledging their purpose in ancient Greece. </w:t>
      </w:r>
      <w:r w:rsidR="004059E6">
        <w:rPr>
          <w:rFonts w:ascii="Times New Roman" w:hAnsi="Times New Roman" w:cs="Times New Roman"/>
          <w:sz w:val="28"/>
          <w:szCs w:val="28"/>
        </w:rPr>
        <w:t xml:space="preserve">For example, whilst Downie’s </w:t>
      </w:r>
      <w:r w:rsidR="0094717C">
        <w:rPr>
          <w:rFonts w:ascii="Times New Roman" w:hAnsi="Times New Roman" w:cs="Times New Roman"/>
          <w:sz w:val="28"/>
          <w:szCs w:val="28"/>
        </w:rPr>
        <w:t xml:space="preserve">(2013) book is different to Henrichs because of her focus on Aristides’ </w:t>
      </w:r>
      <w:r w:rsidR="0094717C">
        <w:rPr>
          <w:rFonts w:ascii="Times New Roman" w:hAnsi="Times New Roman" w:cs="Times New Roman"/>
          <w:i/>
          <w:sz w:val="28"/>
          <w:szCs w:val="28"/>
        </w:rPr>
        <w:t>Hieroi Logoi</w:t>
      </w:r>
      <w:r w:rsidR="0094717C">
        <w:rPr>
          <w:rFonts w:ascii="Times New Roman" w:hAnsi="Times New Roman" w:cs="Times New Roman"/>
          <w:sz w:val="28"/>
          <w:szCs w:val="28"/>
        </w:rPr>
        <w:t xml:space="preserve">, it could be argued that Aristides’ work does not constitute a proper </w:t>
      </w:r>
      <w:r w:rsidR="0094717C">
        <w:rPr>
          <w:rFonts w:ascii="Times New Roman" w:hAnsi="Times New Roman" w:cs="Times New Roman"/>
          <w:i/>
          <w:sz w:val="28"/>
          <w:szCs w:val="28"/>
        </w:rPr>
        <w:t>Hieroi logoi</w:t>
      </w:r>
      <w:r w:rsidR="0094717C">
        <w:rPr>
          <w:rFonts w:ascii="Times New Roman" w:hAnsi="Times New Roman" w:cs="Times New Roman"/>
          <w:sz w:val="28"/>
          <w:szCs w:val="28"/>
        </w:rPr>
        <w:t xml:space="preserve"> purely because it ignores the main religious secrecy that so many other ancient authors adhered to. Therefore, could the work be properly classified as a </w:t>
      </w:r>
      <w:r w:rsidR="0094717C">
        <w:rPr>
          <w:rFonts w:ascii="Times New Roman" w:hAnsi="Times New Roman" w:cs="Times New Roman"/>
          <w:i/>
          <w:sz w:val="28"/>
          <w:szCs w:val="28"/>
        </w:rPr>
        <w:t>Hieroi logoi</w:t>
      </w:r>
      <w:r w:rsidR="0094717C">
        <w:rPr>
          <w:rFonts w:ascii="Times New Roman" w:hAnsi="Times New Roman" w:cs="Times New Roman"/>
          <w:sz w:val="28"/>
          <w:szCs w:val="28"/>
        </w:rPr>
        <w:t xml:space="preserve"> if we are to adhere to Henrichs’ definition? </w:t>
      </w:r>
    </w:p>
    <w:p w14:paraId="70F65076" w14:textId="1B4914C8" w:rsidR="00F607B6" w:rsidRDefault="00F607B6" w:rsidP="00D400EE">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Another common element to Henrichs’ work is that the majority of </w:t>
      </w:r>
      <w:r>
        <w:rPr>
          <w:rFonts w:ascii="Times New Roman" w:hAnsi="Times New Roman" w:cs="Times New Roman"/>
          <w:i/>
          <w:sz w:val="28"/>
          <w:szCs w:val="28"/>
        </w:rPr>
        <w:t>Hieroi logoi and Hierai Bibloi</w:t>
      </w:r>
      <w:r>
        <w:rPr>
          <w:rFonts w:ascii="Times New Roman" w:hAnsi="Times New Roman" w:cs="Times New Roman"/>
          <w:sz w:val="28"/>
          <w:szCs w:val="28"/>
        </w:rPr>
        <w:t xml:space="preserve"> refer to so-called mystery cults, such as those of Orpheus and Demeter (the Greater Mysteries) (213). </w:t>
      </w:r>
      <w:r w:rsidR="00AA1013">
        <w:rPr>
          <w:rFonts w:ascii="Times New Roman" w:hAnsi="Times New Roman" w:cs="Times New Roman"/>
          <w:sz w:val="28"/>
          <w:szCs w:val="28"/>
        </w:rPr>
        <w:t>These mystery cults are exactly what they are defined as: a mystery</w:t>
      </w:r>
      <w:r w:rsidR="0080755C">
        <w:rPr>
          <w:rFonts w:ascii="Times New Roman" w:hAnsi="Times New Roman" w:cs="Times New Roman"/>
          <w:sz w:val="28"/>
          <w:szCs w:val="28"/>
        </w:rPr>
        <w:t>; w</w:t>
      </w:r>
      <w:r w:rsidR="00AA1013">
        <w:rPr>
          <w:rFonts w:ascii="Times New Roman" w:hAnsi="Times New Roman" w:cs="Times New Roman"/>
          <w:sz w:val="28"/>
          <w:szCs w:val="28"/>
        </w:rPr>
        <w:t xml:space="preserve">e know very little, both textually and archaeologically, about them. </w:t>
      </w:r>
      <w:r w:rsidR="00CB1A71">
        <w:rPr>
          <w:rFonts w:ascii="Times New Roman" w:hAnsi="Times New Roman" w:cs="Times New Roman"/>
          <w:sz w:val="28"/>
          <w:szCs w:val="28"/>
        </w:rPr>
        <w:t xml:space="preserve">However, perhaps this is the very reason that Henrichs </w:t>
      </w:r>
      <w:r w:rsidR="00A50F94">
        <w:rPr>
          <w:rFonts w:ascii="Times New Roman" w:hAnsi="Times New Roman" w:cs="Times New Roman"/>
          <w:sz w:val="28"/>
          <w:szCs w:val="28"/>
        </w:rPr>
        <w:t>argues that</w:t>
      </w:r>
      <w:r w:rsidR="00CB1A71">
        <w:rPr>
          <w:rFonts w:ascii="Times New Roman" w:hAnsi="Times New Roman" w:cs="Times New Roman"/>
          <w:sz w:val="28"/>
          <w:szCs w:val="28"/>
        </w:rPr>
        <w:t xml:space="preserve"> the sacred texts come from these cults, as Johnston (2004:635) confirms, “</w:t>
      </w:r>
      <w:r w:rsidR="00CB1A71" w:rsidRPr="00CB1A71">
        <w:rPr>
          <w:rFonts w:ascii="Times New Roman" w:hAnsi="Times New Roman" w:cs="Times New Roman"/>
          <w:sz w:val="28"/>
          <w:szCs w:val="28"/>
        </w:rPr>
        <w:t>If sacred texts are hard to find in ancient Greece, it is because they were rare and confined to the esoteric margins of Greek religion.</w:t>
      </w:r>
      <w:r w:rsidR="00CB1A71">
        <w:rPr>
          <w:rFonts w:ascii="Times New Roman" w:hAnsi="Times New Roman" w:cs="Times New Roman"/>
          <w:sz w:val="28"/>
          <w:szCs w:val="28"/>
        </w:rPr>
        <w:t>”</w:t>
      </w:r>
      <w:r w:rsidR="00CB1A71" w:rsidRPr="00CB1A71">
        <w:rPr>
          <w:rFonts w:ascii="Times New Roman" w:hAnsi="Times New Roman" w:cs="Times New Roman"/>
          <w:sz w:val="28"/>
          <w:szCs w:val="28"/>
        </w:rPr>
        <w:t xml:space="preserve"> </w:t>
      </w:r>
      <w:r w:rsidR="00516F40">
        <w:rPr>
          <w:rFonts w:ascii="Times New Roman" w:hAnsi="Times New Roman" w:cs="Times New Roman"/>
          <w:sz w:val="28"/>
          <w:szCs w:val="28"/>
        </w:rPr>
        <w:t>The inclusion of these mystery cults in Henrichs’ work shows the breadth of his research but also shows his understanding of Greek religion as a whole</w:t>
      </w:r>
      <w:r w:rsidR="00466F26">
        <w:rPr>
          <w:rFonts w:ascii="Times New Roman" w:hAnsi="Times New Roman" w:cs="Times New Roman"/>
          <w:sz w:val="28"/>
          <w:szCs w:val="28"/>
        </w:rPr>
        <w:t xml:space="preserve"> as </w:t>
      </w:r>
      <w:r w:rsidR="00516F40">
        <w:rPr>
          <w:rFonts w:ascii="Times New Roman" w:hAnsi="Times New Roman" w:cs="Times New Roman"/>
          <w:sz w:val="28"/>
          <w:szCs w:val="28"/>
        </w:rPr>
        <w:t>Greek religion was a religion of orality, meaning their myths and tales surrounding their pantheon of gods was passed down through word of mouth. As Johnston (2004:633) tells us, “i</w:t>
      </w:r>
      <w:r w:rsidR="00516F40" w:rsidRPr="00516F40">
        <w:rPr>
          <w:rFonts w:ascii="Times New Roman" w:hAnsi="Times New Roman" w:cs="Times New Roman"/>
          <w:sz w:val="28"/>
          <w:szCs w:val="28"/>
        </w:rPr>
        <w:t xml:space="preserve">n stark contrast with the </w:t>
      </w:r>
      <w:r w:rsidR="00516F40" w:rsidRPr="00516F40">
        <w:rPr>
          <w:rFonts w:ascii="Times New Roman" w:hAnsi="Times New Roman" w:cs="Times New Roman"/>
          <w:sz w:val="28"/>
          <w:szCs w:val="28"/>
        </w:rPr>
        <w:lastRenderedPageBreak/>
        <w:t>monotheistic ‘religions of the book’, Greek religion survived for as long as it did without a canon of sacred scriptures, without a central religious authority, and without a belief system supported by authoritative texts and a cadre of professional exegetes to interpret them.</w:t>
      </w:r>
      <w:r w:rsidR="00516F40">
        <w:rPr>
          <w:rFonts w:ascii="Times New Roman" w:hAnsi="Times New Roman" w:cs="Times New Roman"/>
          <w:sz w:val="28"/>
          <w:szCs w:val="28"/>
        </w:rPr>
        <w:t>”</w:t>
      </w:r>
    </w:p>
    <w:p w14:paraId="5DAEEA5C" w14:textId="162CC9EF" w:rsidR="00FD3AB3" w:rsidRPr="006F6941" w:rsidRDefault="00FD3AB3" w:rsidP="00D400EE">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Many scholars also note the link between </w:t>
      </w:r>
      <w:r w:rsidR="007D4117">
        <w:rPr>
          <w:rFonts w:ascii="Times New Roman" w:hAnsi="Times New Roman" w:cs="Times New Roman"/>
          <w:sz w:val="28"/>
          <w:szCs w:val="28"/>
        </w:rPr>
        <w:t xml:space="preserve">foreign countries and </w:t>
      </w:r>
      <w:r w:rsidR="007D4117">
        <w:rPr>
          <w:rFonts w:ascii="Times New Roman" w:hAnsi="Times New Roman" w:cs="Times New Roman"/>
          <w:i/>
          <w:sz w:val="28"/>
          <w:szCs w:val="28"/>
        </w:rPr>
        <w:t>Hieroi logoi</w:t>
      </w:r>
      <w:r w:rsidR="007D4117">
        <w:rPr>
          <w:rFonts w:ascii="Times New Roman" w:hAnsi="Times New Roman" w:cs="Times New Roman"/>
          <w:sz w:val="28"/>
          <w:szCs w:val="28"/>
        </w:rPr>
        <w:t xml:space="preserve">; for example Egypt, Persia and Phoenicia (Johnston 2004: 634). This was probably because of the Greek presence in these countries, particularly when certain authors such as Herodotus and Pausanius were writing. Both authors tended to have an interest in foreign places, often with particular focus. Henrichs writes that because of the sacredness of the texts, and also </w:t>
      </w:r>
      <w:r w:rsidR="00356E6C">
        <w:rPr>
          <w:rFonts w:ascii="Times New Roman" w:hAnsi="Times New Roman" w:cs="Times New Roman"/>
          <w:sz w:val="28"/>
          <w:szCs w:val="28"/>
        </w:rPr>
        <w:t>the</w:t>
      </w:r>
      <w:r w:rsidR="007D4117">
        <w:rPr>
          <w:rFonts w:ascii="Times New Roman" w:hAnsi="Times New Roman" w:cs="Times New Roman"/>
          <w:sz w:val="28"/>
          <w:szCs w:val="28"/>
        </w:rPr>
        <w:t xml:space="preserve"> unwillingness to break religious duties, Herodotus, when writing about </w:t>
      </w:r>
      <w:r w:rsidR="00356E6C">
        <w:rPr>
          <w:rFonts w:ascii="Times New Roman" w:hAnsi="Times New Roman" w:cs="Times New Roman"/>
          <w:sz w:val="28"/>
          <w:szCs w:val="28"/>
        </w:rPr>
        <w:t xml:space="preserve">the ritual mourning of Osiris does not even mention the gods name or the rites that happen during it, even though he states that he knows them both (237). </w:t>
      </w:r>
      <w:r w:rsidR="006F6941">
        <w:rPr>
          <w:rFonts w:ascii="Times New Roman" w:hAnsi="Times New Roman" w:cs="Times New Roman"/>
          <w:sz w:val="28"/>
          <w:szCs w:val="28"/>
        </w:rPr>
        <w:t xml:space="preserve">Another festival Herodotus refuses to comment on is the Greater Thesmophoria (237). The way Henrichs uses Herodotus to explain why </w:t>
      </w:r>
      <w:r w:rsidR="006F6941">
        <w:rPr>
          <w:rFonts w:ascii="Times New Roman" w:hAnsi="Times New Roman" w:cs="Times New Roman"/>
          <w:i/>
          <w:sz w:val="28"/>
          <w:szCs w:val="28"/>
        </w:rPr>
        <w:t xml:space="preserve">Hieroi logoi </w:t>
      </w:r>
      <w:r w:rsidR="006F6941">
        <w:rPr>
          <w:rFonts w:ascii="Times New Roman" w:hAnsi="Times New Roman" w:cs="Times New Roman"/>
          <w:sz w:val="28"/>
          <w:szCs w:val="28"/>
        </w:rPr>
        <w:t>are so secretive is very clever because it is easy to see the difficulties when dealing with this subject especially from a</w:t>
      </w:r>
      <w:r w:rsidR="003205A6">
        <w:rPr>
          <w:rFonts w:ascii="Times New Roman" w:hAnsi="Times New Roman" w:cs="Times New Roman"/>
          <w:sz w:val="28"/>
          <w:szCs w:val="28"/>
        </w:rPr>
        <w:t>n</w:t>
      </w:r>
      <w:r w:rsidR="006F6941">
        <w:rPr>
          <w:rFonts w:ascii="Times New Roman" w:hAnsi="Times New Roman" w:cs="Times New Roman"/>
          <w:sz w:val="28"/>
          <w:szCs w:val="28"/>
        </w:rPr>
        <w:t xml:space="preserve"> </w:t>
      </w:r>
      <w:r w:rsidR="003205A6">
        <w:rPr>
          <w:rFonts w:ascii="Times New Roman" w:hAnsi="Times New Roman" w:cs="Times New Roman"/>
          <w:sz w:val="28"/>
          <w:szCs w:val="28"/>
        </w:rPr>
        <w:t xml:space="preserve">ancient viewpoint. If ancient authors were so reluctant to discuss the contents of these sacred texts, how are scholars supposed to research and develop ideas on them? However, this is where Henrichs succeeds as he uses other contributing factors to aid his work. </w:t>
      </w:r>
      <w:r w:rsidR="006F6941">
        <w:rPr>
          <w:rFonts w:ascii="Times New Roman" w:hAnsi="Times New Roman" w:cs="Times New Roman"/>
          <w:i/>
          <w:sz w:val="28"/>
          <w:szCs w:val="28"/>
        </w:rPr>
        <w:t xml:space="preserve"> </w:t>
      </w:r>
    </w:p>
    <w:p w14:paraId="6960B3E7" w14:textId="5997E160" w:rsidR="001117FC" w:rsidRPr="001117FC" w:rsidRDefault="001117FC" w:rsidP="00D400EE">
      <w:pPr>
        <w:spacing w:before="240"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Overall, Henrichs work is an enjoyable and thorough examination of the true meaning of </w:t>
      </w:r>
      <w:r>
        <w:rPr>
          <w:rFonts w:ascii="Times New Roman" w:hAnsi="Times New Roman" w:cs="Times New Roman"/>
          <w:i/>
          <w:sz w:val="28"/>
          <w:szCs w:val="28"/>
        </w:rPr>
        <w:t>Hieroi logoi and Hierai Bibloi</w:t>
      </w:r>
      <w:r>
        <w:rPr>
          <w:rFonts w:ascii="Times New Roman" w:hAnsi="Times New Roman" w:cs="Times New Roman"/>
          <w:sz w:val="28"/>
          <w:szCs w:val="28"/>
        </w:rPr>
        <w:t>, whilst examining both the ancient Greek and the wider polytheistic versus monotheistic context.</w:t>
      </w:r>
    </w:p>
    <w:p w14:paraId="69F0A63B" w14:textId="77777777" w:rsidR="00BE61E3" w:rsidRDefault="00BE61E3" w:rsidP="00D400EE">
      <w:pPr>
        <w:spacing w:before="240" w:line="480" w:lineRule="auto"/>
        <w:rPr>
          <w:rFonts w:ascii="Times New Roman" w:hAnsi="Times New Roman" w:cs="Times New Roman"/>
          <w:b/>
          <w:sz w:val="28"/>
          <w:szCs w:val="28"/>
          <w:u w:val="single"/>
        </w:rPr>
      </w:pPr>
    </w:p>
    <w:p w14:paraId="61455DFB" w14:textId="77777777" w:rsidR="00BE61E3" w:rsidRDefault="00BE61E3" w:rsidP="00D400EE">
      <w:pPr>
        <w:spacing w:before="240" w:line="480" w:lineRule="auto"/>
        <w:rPr>
          <w:rFonts w:ascii="Times New Roman" w:hAnsi="Times New Roman" w:cs="Times New Roman"/>
          <w:b/>
          <w:sz w:val="28"/>
          <w:szCs w:val="28"/>
          <w:u w:val="single"/>
        </w:rPr>
      </w:pPr>
    </w:p>
    <w:p w14:paraId="15163515" w14:textId="50261D78" w:rsidR="007E7CBA" w:rsidRDefault="007E7CBA" w:rsidP="00D400EE">
      <w:pPr>
        <w:spacing w:before="240" w:line="480" w:lineRule="auto"/>
        <w:rPr>
          <w:rFonts w:ascii="Times New Roman" w:hAnsi="Times New Roman" w:cs="Times New Roman"/>
          <w:b/>
          <w:sz w:val="28"/>
          <w:szCs w:val="28"/>
          <w:u w:val="single"/>
        </w:rPr>
      </w:pPr>
      <w:bookmarkStart w:id="0" w:name="_GoBack"/>
      <w:bookmarkEnd w:id="0"/>
      <w:r>
        <w:rPr>
          <w:rFonts w:ascii="Times New Roman" w:hAnsi="Times New Roman" w:cs="Times New Roman"/>
          <w:b/>
          <w:sz w:val="28"/>
          <w:szCs w:val="28"/>
          <w:u w:val="single"/>
        </w:rPr>
        <w:t>Bibliography:</w:t>
      </w:r>
    </w:p>
    <w:p w14:paraId="688C5F5D" w14:textId="666728D0" w:rsidR="00B16752" w:rsidRDefault="00B16752" w:rsidP="007E7CBA">
      <w:pPr>
        <w:pStyle w:val="ListParagraph"/>
        <w:numPr>
          <w:ilvl w:val="0"/>
          <w:numId w:val="1"/>
        </w:num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Downie, J. (2013). </w:t>
      </w:r>
      <w:r>
        <w:rPr>
          <w:rFonts w:ascii="Times New Roman" w:hAnsi="Times New Roman" w:cs="Times New Roman"/>
          <w:i/>
          <w:sz w:val="28"/>
          <w:szCs w:val="28"/>
        </w:rPr>
        <w:t>At The Limits of Art: A Literary Study of Aelius Aristides</w:t>
      </w:r>
      <w:r>
        <w:rPr>
          <w:rFonts w:ascii="Times New Roman" w:hAnsi="Times New Roman" w:cs="Times New Roman"/>
          <w:sz w:val="28"/>
          <w:szCs w:val="28"/>
        </w:rPr>
        <w:t xml:space="preserve">’ </w:t>
      </w:r>
      <w:r>
        <w:rPr>
          <w:rFonts w:ascii="Times New Roman" w:hAnsi="Times New Roman" w:cs="Times New Roman"/>
          <w:i/>
          <w:sz w:val="28"/>
          <w:szCs w:val="28"/>
        </w:rPr>
        <w:t>Hieroi Logoi</w:t>
      </w:r>
      <w:r>
        <w:rPr>
          <w:rFonts w:ascii="Times New Roman" w:hAnsi="Times New Roman" w:cs="Times New Roman"/>
          <w:sz w:val="28"/>
          <w:szCs w:val="28"/>
        </w:rPr>
        <w:t>. Oxford: Oxford University Press.</w:t>
      </w:r>
    </w:p>
    <w:p w14:paraId="3BFC8D47" w14:textId="6D5B745F" w:rsidR="00D400EE" w:rsidRDefault="007E7CBA" w:rsidP="007E7CBA">
      <w:pPr>
        <w:pStyle w:val="ListParagraph"/>
        <w:numPr>
          <w:ilvl w:val="0"/>
          <w:numId w:val="1"/>
        </w:num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Henrichs, A. (2003). ‘Hieroi Logoi and Hierai Bibloi: the (un)written margins of the sacred in ancient Greece’. </w:t>
      </w:r>
      <w:r>
        <w:rPr>
          <w:rFonts w:ascii="Times New Roman" w:hAnsi="Times New Roman" w:cs="Times New Roman"/>
          <w:i/>
          <w:sz w:val="28"/>
          <w:szCs w:val="28"/>
        </w:rPr>
        <w:t>Harvard Studies in Classical Philology</w:t>
      </w:r>
      <w:r>
        <w:rPr>
          <w:rFonts w:ascii="Times New Roman" w:hAnsi="Times New Roman" w:cs="Times New Roman"/>
          <w:sz w:val="28"/>
          <w:szCs w:val="28"/>
        </w:rPr>
        <w:t xml:space="preserve">. 101, 207-266. [Accessed on: 30/01/19]. DOI: </w:t>
      </w:r>
      <w:r w:rsidRPr="007E7CBA">
        <w:rPr>
          <w:rFonts w:ascii="Times New Roman" w:hAnsi="Times New Roman" w:cs="Times New Roman"/>
          <w:sz w:val="28"/>
          <w:szCs w:val="28"/>
        </w:rPr>
        <w:t>10.2307/3658530</w:t>
      </w:r>
      <w:r>
        <w:rPr>
          <w:rFonts w:ascii="Times New Roman" w:hAnsi="Times New Roman" w:cs="Times New Roman"/>
          <w:sz w:val="28"/>
          <w:szCs w:val="28"/>
        </w:rPr>
        <w:t>.</w:t>
      </w:r>
    </w:p>
    <w:p w14:paraId="7113CDD2" w14:textId="5DF3CF10" w:rsidR="007E7CBA" w:rsidRPr="007E7CBA" w:rsidRDefault="00B16752" w:rsidP="007E7CBA">
      <w:pPr>
        <w:pStyle w:val="ListParagraph"/>
        <w:numPr>
          <w:ilvl w:val="0"/>
          <w:numId w:val="1"/>
        </w:num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Johnston, S.I. (2004). </w:t>
      </w:r>
      <w:r>
        <w:rPr>
          <w:rFonts w:ascii="Times New Roman" w:hAnsi="Times New Roman" w:cs="Times New Roman"/>
          <w:i/>
          <w:sz w:val="28"/>
          <w:szCs w:val="28"/>
        </w:rPr>
        <w:t>Religions of the Ancient World: A Guide</w:t>
      </w:r>
      <w:r>
        <w:rPr>
          <w:rFonts w:ascii="Times New Roman" w:hAnsi="Times New Roman" w:cs="Times New Roman"/>
          <w:sz w:val="28"/>
          <w:szCs w:val="28"/>
        </w:rPr>
        <w:t>. Harvard: Harvard University Press.</w:t>
      </w:r>
    </w:p>
    <w:sectPr w:rsidR="007E7CBA" w:rsidRPr="007E7CB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F223B" w14:textId="77777777" w:rsidR="0000060E" w:rsidRDefault="0000060E" w:rsidP="00BF0CFF">
      <w:r>
        <w:separator/>
      </w:r>
    </w:p>
  </w:endnote>
  <w:endnote w:type="continuationSeparator" w:id="0">
    <w:p w14:paraId="7F6BEA7E" w14:textId="77777777" w:rsidR="0000060E" w:rsidRDefault="0000060E" w:rsidP="00BF0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463048"/>
      <w:docPartObj>
        <w:docPartGallery w:val="Page Numbers (Bottom of Page)"/>
        <w:docPartUnique/>
      </w:docPartObj>
    </w:sdtPr>
    <w:sdtEndPr>
      <w:rPr>
        <w:noProof/>
      </w:rPr>
    </w:sdtEndPr>
    <w:sdtContent>
      <w:p w14:paraId="0FDB9917" w14:textId="12CB0DD1" w:rsidR="00BF0CFF" w:rsidRDefault="00BF0C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58BBA5" w14:textId="77777777" w:rsidR="00BF0CFF" w:rsidRDefault="00BF0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FC060" w14:textId="77777777" w:rsidR="0000060E" w:rsidRDefault="0000060E" w:rsidP="00BF0CFF">
      <w:r>
        <w:separator/>
      </w:r>
    </w:p>
  </w:footnote>
  <w:footnote w:type="continuationSeparator" w:id="0">
    <w:p w14:paraId="2FBA13E9" w14:textId="77777777" w:rsidR="0000060E" w:rsidRDefault="0000060E" w:rsidP="00BF0C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85BA61" w14:textId="75F068C6" w:rsidR="00BF0CFF" w:rsidRPr="00BF0CFF" w:rsidRDefault="00BF0CFF">
    <w:pPr>
      <w:pStyle w:val="Header"/>
      <w:rPr>
        <w:rFonts w:ascii="Times New Roman" w:hAnsi="Times New Roman" w:cs="Times New Roman"/>
        <w:sz w:val="28"/>
        <w:szCs w:val="28"/>
      </w:rPr>
    </w:pPr>
    <w:r w:rsidRPr="00BF0CFF">
      <w:rPr>
        <w:rFonts w:ascii="Times New Roman" w:hAnsi="Times New Roman" w:cs="Times New Roman"/>
        <w:sz w:val="28"/>
        <w:szCs w:val="28"/>
      </w:rPr>
      <w:t>Lauren Bird-Hall</w:t>
    </w:r>
    <w:r w:rsidRPr="00BF0CFF">
      <w:rPr>
        <w:rFonts w:ascii="Times New Roman" w:hAnsi="Times New Roman" w:cs="Times New Roman"/>
        <w:sz w:val="28"/>
        <w:szCs w:val="28"/>
      </w:rPr>
      <w:ptab w:relativeTo="margin" w:alignment="center" w:leader="none"/>
    </w:r>
    <w:r w:rsidRPr="00BF0CFF">
      <w:rPr>
        <w:rFonts w:ascii="Times New Roman" w:hAnsi="Times New Roman" w:cs="Times New Roman"/>
        <w:sz w:val="28"/>
        <w:szCs w:val="28"/>
      </w:rPr>
      <w:t>CLCL7003</w:t>
    </w:r>
    <w:r w:rsidRPr="00BF0CFF">
      <w:rPr>
        <w:rFonts w:ascii="Times New Roman" w:hAnsi="Times New Roman" w:cs="Times New Roman"/>
        <w:sz w:val="28"/>
        <w:szCs w:val="28"/>
      </w:rPr>
      <w:ptab w:relativeTo="margin" w:alignment="right" w:leader="none"/>
    </w:r>
    <w:r w:rsidRPr="00BF0CFF">
      <w:rPr>
        <w:rFonts w:ascii="Times New Roman" w:hAnsi="Times New Roman" w:cs="Times New Roman"/>
        <w:sz w:val="28"/>
        <w:szCs w:val="28"/>
      </w:rPr>
      <w:t>01/02/2019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F4B7E"/>
    <w:multiLevelType w:val="hybridMultilevel"/>
    <w:tmpl w:val="BF001B6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CFF"/>
    <w:rsid w:val="0000060E"/>
    <w:rsid w:val="00081E9B"/>
    <w:rsid w:val="000D343C"/>
    <w:rsid w:val="0010014C"/>
    <w:rsid w:val="001117FC"/>
    <w:rsid w:val="00135CFB"/>
    <w:rsid w:val="001C3941"/>
    <w:rsid w:val="001E7867"/>
    <w:rsid w:val="002448C6"/>
    <w:rsid w:val="00290994"/>
    <w:rsid w:val="002F039A"/>
    <w:rsid w:val="002F733A"/>
    <w:rsid w:val="003205A6"/>
    <w:rsid w:val="00356E6C"/>
    <w:rsid w:val="00386C32"/>
    <w:rsid w:val="003A08FF"/>
    <w:rsid w:val="003E57DA"/>
    <w:rsid w:val="00403B63"/>
    <w:rsid w:val="004059E6"/>
    <w:rsid w:val="00437F8B"/>
    <w:rsid w:val="00450A0E"/>
    <w:rsid w:val="00466F26"/>
    <w:rsid w:val="0049498E"/>
    <w:rsid w:val="00516F40"/>
    <w:rsid w:val="00575EBC"/>
    <w:rsid w:val="0058133D"/>
    <w:rsid w:val="00584370"/>
    <w:rsid w:val="00650BA4"/>
    <w:rsid w:val="00677B64"/>
    <w:rsid w:val="00683B64"/>
    <w:rsid w:val="006C7A83"/>
    <w:rsid w:val="006D3C4F"/>
    <w:rsid w:val="006F6941"/>
    <w:rsid w:val="00774771"/>
    <w:rsid w:val="007D4117"/>
    <w:rsid w:val="007E7CBA"/>
    <w:rsid w:val="0080755C"/>
    <w:rsid w:val="00864751"/>
    <w:rsid w:val="008801F9"/>
    <w:rsid w:val="009100D5"/>
    <w:rsid w:val="0094717C"/>
    <w:rsid w:val="0096201F"/>
    <w:rsid w:val="009D44A3"/>
    <w:rsid w:val="00A0305C"/>
    <w:rsid w:val="00A216BB"/>
    <w:rsid w:val="00A50F94"/>
    <w:rsid w:val="00AA1013"/>
    <w:rsid w:val="00B16752"/>
    <w:rsid w:val="00BB11DE"/>
    <w:rsid w:val="00BE2A57"/>
    <w:rsid w:val="00BE61E3"/>
    <w:rsid w:val="00BF0CFF"/>
    <w:rsid w:val="00C45CC9"/>
    <w:rsid w:val="00C52F6E"/>
    <w:rsid w:val="00CA11A6"/>
    <w:rsid w:val="00CB1A71"/>
    <w:rsid w:val="00CF7CFE"/>
    <w:rsid w:val="00D3442A"/>
    <w:rsid w:val="00D400EE"/>
    <w:rsid w:val="00E0302F"/>
    <w:rsid w:val="00E610BC"/>
    <w:rsid w:val="00E809B2"/>
    <w:rsid w:val="00EA624E"/>
    <w:rsid w:val="00F27B9E"/>
    <w:rsid w:val="00F319A5"/>
    <w:rsid w:val="00F40376"/>
    <w:rsid w:val="00F607B6"/>
    <w:rsid w:val="00F65856"/>
    <w:rsid w:val="00F70FFA"/>
    <w:rsid w:val="00F90B73"/>
    <w:rsid w:val="00F95E4D"/>
    <w:rsid w:val="00FD3AB3"/>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D48A0"/>
  <w15:chartTrackingRefBased/>
  <w15:docId w15:val="{446CEE33-D265-46B5-99CD-6E6569CF7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CFF"/>
    <w:pPr>
      <w:tabs>
        <w:tab w:val="center" w:pos="4513"/>
        <w:tab w:val="right" w:pos="9026"/>
      </w:tabs>
    </w:pPr>
  </w:style>
  <w:style w:type="character" w:customStyle="1" w:styleId="HeaderChar">
    <w:name w:val="Header Char"/>
    <w:basedOn w:val="DefaultParagraphFont"/>
    <w:link w:val="Header"/>
    <w:uiPriority w:val="99"/>
    <w:rsid w:val="00BF0CFF"/>
  </w:style>
  <w:style w:type="paragraph" w:styleId="Footer">
    <w:name w:val="footer"/>
    <w:basedOn w:val="Normal"/>
    <w:link w:val="FooterChar"/>
    <w:uiPriority w:val="99"/>
    <w:unhideWhenUsed/>
    <w:rsid w:val="00BF0CFF"/>
    <w:pPr>
      <w:tabs>
        <w:tab w:val="center" w:pos="4513"/>
        <w:tab w:val="right" w:pos="9026"/>
      </w:tabs>
    </w:pPr>
  </w:style>
  <w:style w:type="character" w:customStyle="1" w:styleId="FooterChar">
    <w:name w:val="Footer Char"/>
    <w:basedOn w:val="DefaultParagraphFont"/>
    <w:link w:val="Footer"/>
    <w:uiPriority w:val="99"/>
    <w:rsid w:val="00BF0CFF"/>
  </w:style>
  <w:style w:type="paragraph" w:styleId="ListParagraph">
    <w:name w:val="List Paragraph"/>
    <w:basedOn w:val="Normal"/>
    <w:uiPriority w:val="34"/>
    <w:qFormat/>
    <w:rsid w:val="007E7C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4</Pages>
  <Words>798</Words>
  <Characters>4551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22</cp:revision>
  <dcterms:created xsi:type="dcterms:W3CDTF">2019-02-01T17:30:00Z</dcterms:created>
  <dcterms:modified xsi:type="dcterms:W3CDTF">2019-02-01T23:42:00Z</dcterms:modified>
</cp:coreProperties>
</file>