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E74E08" w14:textId="1AED5EB3" w:rsidR="001F5947" w:rsidRDefault="00F24534" w:rsidP="001F5947">
      <w:pPr>
        <w:spacing w:line="480" w:lineRule="auto"/>
        <w:jc w:val="center"/>
        <w:rPr>
          <w:rFonts w:ascii="Times New Roman" w:hAnsi="Times New Roman" w:cs="Times New Roman"/>
          <w:color w:val="2C2D30"/>
          <w:sz w:val="24"/>
          <w:szCs w:val="24"/>
        </w:rPr>
      </w:pPr>
      <w:r>
        <w:rPr>
          <w:rFonts w:ascii="Times New Roman" w:hAnsi="Times New Roman" w:cs="Times New Roman"/>
          <w:color w:val="2C2D30"/>
          <w:sz w:val="24"/>
          <w:szCs w:val="24"/>
        </w:rPr>
        <w:t xml:space="preserve">Portfolio of Activities </w:t>
      </w:r>
      <w:r w:rsidRPr="00F24534">
        <w:rPr>
          <w:rFonts w:ascii="Times New Roman" w:hAnsi="Times New Roman" w:cs="Times New Roman"/>
          <w:color w:val="2C2D30"/>
          <w:sz w:val="24"/>
          <w:szCs w:val="24"/>
        </w:rPr>
        <w:t>ECGE4001R</w:t>
      </w:r>
    </w:p>
    <w:p w14:paraId="1F56AD1B" w14:textId="603D8738" w:rsidR="00DF0C36" w:rsidRDefault="00DF0C36" w:rsidP="001F5947">
      <w:pPr>
        <w:spacing w:line="480" w:lineRule="auto"/>
        <w:jc w:val="center"/>
        <w:rPr>
          <w:rFonts w:ascii="Times New Roman" w:hAnsi="Times New Roman" w:cs="Times New Roman"/>
          <w:color w:val="2C2D30"/>
          <w:sz w:val="24"/>
          <w:szCs w:val="24"/>
        </w:rPr>
      </w:pPr>
      <w:r>
        <w:rPr>
          <w:rFonts w:ascii="Times New Roman" w:hAnsi="Times New Roman" w:cs="Times New Roman"/>
          <w:color w:val="2C2D30"/>
          <w:sz w:val="24"/>
          <w:szCs w:val="24"/>
        </w:rPr>
        <w:t>Claire Kat Davies</w:t>
      </w:r>
    </w:p>
    <w:p w14:paraId="33795D44" w14:textId="0E634472" w:rsidR="00DF0C36" w:rsidRDefault="00DF0C36" w:rsidP="001F5947">
      <w:pPr>
        <w:spacing w:line="480" w:lineRule="auto"/>
        <w:jc w:val="center"/>
        <w:rPr>
          <w:rFonts w:ascii="Times New Roman" w:hAnsi="Times New Roman" w:cs="Times New Roman"/>
          <w:color w:val="2C2D30"/>
          <w:sz w:val="24"/>
          <w:szCs w:val="24"/>
        </w:rPr>
      </w:pPr>
      <w:r>
        <w:rPr>
          <w:rFonts w:ascii="Times New Roman" w:hAnsi="Times New Roman" w:cs="Times New Roman"/>
          <w:color w:val="2C2D30"/>
          <w:sz w:val="24"/>
          <w:szCs w:val="24"/>
        </w:rPr>
        <w:t>UWTSD</w:t>
      </w:r>
    </w:p>
    <w:p w14:paraId="384421D2" w14:textId="1324B4B1" w:rsidR="001F5947" w:rsidRDefault="001F5947" w:rsidP="001F5947">
      <w:pPr>
        <w:spacing w:line="480" w:lineRule="auto"/>
        <w:jc w:val="center"/>
        <w:rPr>
          <w:rFonts w:ascii="Times New Roman" w:hAnsi="Times New Roman" w:cs="Times New Roman"/>
          <w:color w:val="2C2D30"/>
          <w:sz w:val="24"/>
          <w:szCs w:val="24"/>
        </w:rPr>
      </w:pPr>
    </w:p>
    <w:p w14:paraId="26973DA5" w14:textId="77777777" w:rsidR="001F5947" w:rsidRDefault="003236AF" w:rsidP="00DF0C36">
      <w:pPr>
        <w:spacing w:line="480" w:lineRule="auto"/>
        <w:ind w:firstLine="720"/>
        <w:rPr>
          <w:rFonts w:ascii="Times New Roman" w:hAnsi="Times New Roman" w:cs="Times New Roman"/>
          <w:color w:val="2C2D30"/>
          <w:sz w:val="24"/>
          <w:szCs w:val="24"/>
        </w:rPr>
      </w:pPr>
      <w:r w:rsidRPr="00E250A7">
        <w:rPr>
          <w:rFonts w:ascii="Times New Roman" w:hAnsi="Times New Roman" w:cs="Times New Roman"/>
          <w:color w:val="2C2D30"/>
          <w:sz w:val="24"/>
          <w:szCs w:val="24"/>
        </w:rPr>
        <w:t>"There is in every child at every stage a new miracle of vigorous unfolding."</w:t>
      </w:r>
    </w:p>
    <w:p w14:paraId="54C51864" w14:textId="28D24B15" w:rsidR="003236AF" w:rsidRDefault="003236AF" w:rsidP="001F5947">
      <w:pPr>
        <w:spacing w:line="480" w:lineRule="auto"/>
        <w:jc w:val="center"/>
        <w:rPr>
          <w:rFonts w:ascii="Times New Roman" w:hAnsi="Times New Roman" w:cs="Times New Roman"/>
          <w:color w:val="2C2D30"/>
          <w:sz w:val="24"/>
          <w:szCs w:val="24"/>
        </w:rPr>
      </w:pPr>
      <w:r w:rsidRPr="00E250A7">
        <w:rPr>
          <w:rFonts w:ascii="Times New Roman" w:hAnsi="Times New Roman" w:cs="Times New Roman"/>
          <w:color w:val="2C2D30"/>
          <w:sz w:val="24"/>
          <w:szCs w:val="24"/>
        </w:rPr>
        <w:t xml:space="preserve"> Erik Erikson (1902-1994)</w:t>
      </w:r>
    </w:p>
    <w:p w14:paraId="14D39136" w14:textId="77777777" w:rsidR="001F5947" w:rsidRPr="00E250A7" w:rsidRDefault="001F5947" w:rsidP="001F5947">
      <w:pPr>
        <w:spacing w:line="480" w:lineRule="auto"/>
        <w:jc w:val="center"/>
        <w:rPr>
          <w:rFonts w:ascii="Times New Roman" w:hAnsi="Times New Roman" w:cs="Times New Roman"/>
          <w:color w:val="2C2D30"/>
          <w:sz w:val="24"/>
          <w:szCs w:val="24"/>
        </w:rPr>
      </w:pPr>
    </w:p>
    <w:p w14:paraId="1AC975FE" w14:textId="64133C1F" w:rsidR="009A73C7" w:rsidRDefault="003236AF" w:rsidP="001F5947">
      <w:pPr>
        <w:spacing w:line="480" w:lineRule="auto"/>
        <w:rPr>
          <w:rFonts w:ascii="Times New Roman" w:hAnsi="Times New Roman" w:cs="Times New Roman"/>
          <w:sz w:val="24"/>
          <w:szCs w:val="24"/>
        </w:rPr>
      </w:pPr>
      <w:r w:rsidRPr="00E250A7">
        <w:rPr>
          <w:rFonts w:ascii="Times New Roman" w:hAnsi="Times New Roman" w:cs="Times New Roman"/>
          <w:sz w:val="24"/>
          <w:szCs w:val="24"/>
        </w:rPr>
        <w:t>For the purpose of this assignment I shall be summarising a chapter from the book (</w:t>
      </w:r>
      <w:r w:rsidR="00DF0C36">
        <w:rPr>
          <w:rFonts w:ascii="Times New Roman" w:hAnsi="Times New Roman" w:cs="Times New Roman"/>
          <w:sz w:val="24"/>
          <w:szCs w:val="24"/>
        </w:rPr>
        <w:t>Gross,1996)</w:t>
      </w:r>
      <w:r w:rsidRPr="00E250A7">
        <w:rPr>
          <w:rFonts w:ascii="Times New Roman" w:hAnsi="Times New Roman" w:cs="Times New Roman"/>
          <w:sz w:val="24"/>
          <w:szCs w:val="24"/>
        </w:rPr>
        <w:t xml:space="preserve"> the chapter I cho</w:t>
      </w:r>
      <w:r w:rsidR="009A73C7">
        <w:rPr>
          <w:rFonts w:ascii="Times New Roman" w:hAnsi="Times New Roman" w:cs="Times New Roman"/>
          <w:sz w:val="24"/>
          <w:szCs w:val="24"/>
        </w:rPr>
        <w:t>s</w:t>
      </w:r>
      <w:r w:rsidRPr="00E250A7">
        <w:rPr>
          <w:rFonts w:ascii="Times New Roman" w:hAnsi="Times New Roman" w:cs="Times New Roman"/>
          <w:sz w:val="24"/>
          <w:szCs w:val="24"/>
        </w:rPr>
        <w:t>e to summarise is chapter 37 page</w:t>
      </w:r>
      <w:r w:rsidR="0000420E">
        <w:rPr>
          <w:rFonts w:ascii="Times New Roman" w:hAnsi="Times New Roman" w:cs="Times New Roman"/>
          <w:sz w:val="24"/>
          <w:szCs w:val="24"/>
        </w:rPr>
        <w:t>s</w:t>
      </w:r>
      <w:r w:rsidRPr="00E250A7">
        <w:rPr>
          <w:rFonts w:ascii="Times New Roman" w:hAnsi="Times New Roman" w:cs="Times New Roman"/>
          <w:sz w:val="24"/>
          <w:szCs w:val="24"/>
        </w:rPr>
        <w:t xml:space="preserve"> 580 &amp; 582</w:t>
      </w:r>
      <w:r w:rsidR="009A73C7">
        <w:rPr>
          <w:rFonts w:ascii="Times New Roman" w:hAnsi="Times New Roman" w:cs="Times New Roman"/>
          <w:sz w:val="24"/>
          <w:szCs w:val="24"/>
        </w:rPr>
        <w:t>.</w:t>
      </w:r>
      <w:r w:rsidRPr="00E250A7">
        <w:rPr>
          <w:rFonts w:ascii="Times New Roman" w:hAnsi="Times New Roman" w:cs="Times New Roman"/>
          <w:sz w:val="24"/>
          <w:szCs w:val="24"/>
        </w:rPr>
        <w:t xml:space="preserve"> This part of the chapter delves into the theory that puberty is happening at a far younger age than in</w:t>
      </w:r>
      <w:r w:rsidR="009A73C7">
        <w:rPr>
          <w:rFonts w:ascii="Times New Roman" w:hAnsi="Times New Roman" w:cs="Times New Roman"/>
          <w:sz w:val="24"/>
          <w:szCs w:val="24"/>
        </w:rPr>
        <w:t xml:space="preserve"> past</w:t>
      </w:r>
      <w:r w:rsidRPr="00E250A7">
        <w:rPr>
          <w:rFonts w:ascii="Times New Roman" w:hAnsi="Times New Roman" w:cs="Times New Roman"/>
          <w:sz w:val="24"/>
          <w:szCs w:val="24"/>
        </w:rPr>
        <w:t xml:space="preserve"> history. It suggests that in the last one hundred and fifty years the age in which western women start menarche (period) has dropped significantly from around seventeen years of age to around twelve. The dramatic drop in time scale has earned much discussion (McLeod, 2007) and (Peek, 2000) both suggest that the drop in the age of girls starting</w:t>
      </w:r>
      <w:r w:rsidR="009A73C7">
        <w:rPr>
          <w:rFonts w:ascii="Times New Roman" w:hAnsi="Times New Roman" w:cs="Times New Roman"/>
          <w:sz w:val="24"/>
          <w:szCs w:val="24"/>
        </w:rPr>
        <w:t xml:space="preserve"> their monthly cycle,</w:t>
      </w:r>
      <w:r w:rsidRPr="00E250A7">
        <w:rPr>
          <w:rFonts w:ascii="Times New Roman" w:hAnsi="Times New Roman" w:cs="Times New Roman"/>
          <w:sz w:val="24"/>
          <w:szCs w:val="24"/>
        </w:rPr>
        <w:t xml:space="preserve"> menarche could be due to a rise in oestrogen levels in pregnancy, mostly due to the high hormone levels in our diets compared to maybe two hundred years ago.</w:t>
      </w:r>
    </w:p>
    <w:p w14:paraId="3A4790C2" w14:textId="32E23ECC" w:rsidR="007F5870" w:rsidRPr="00E250A7" w:rsidRDefault="009A73C7" w:rsidP="001F5947">
      <w:pPr>
        <w:spacing w:line="480" w:lineRule="auto"/>
        <w:rPr>
          <w:rFonts w:ascii="Times New Roman" w:hAnsi="Times New Roman" w:cs="Times New Roman"/>
          <w:sz w:val="24"/>
          <w:szCs w:val="24"/>
        </w:rPr>
      </w:pPr>
      <w:r w:rsidRPr="00E250A7">
        <w:rPr>
          <w:rFonts w:ascii="Times New Roman" w:hAnsi="Times New Roman" w:cs="Times New Roman"/>
          <w:sz w:val="24"/>
          <w:szCs w:val="24"/>
        </w:rPr>
        <w:t>Halls theory</w:t>
      </w:r>
      <w:r>
        <w:rPr>
          <w:rFonts w:ascii="Times New Roman" w:hAnsi="Times New Roman" w:cs="Times New Roman"/>
          <w:sz w:val="24"/>
          <w:szCs w:val="24"/>
        </w:rPr>
        <w:t xml:space="preserve"> (1904) </w:t>
      </w:r>
      <w:r w:rsidR="003236AF" w:rsidRPr="00E250A7">
        <w:rPr>
          <w:rFonts w:ascii="Times New Roman" w:hAnsi="Times New Roman" w:cs="Times New Roman"/>
          <w:sz w:val="24"/>
          <w:szCs w:val="24"/>
        </w:rPr>
        <w:t xml:space="preserve">suggests that puberty starts at a much younger age, </w:t>
      </w:r>
      <w:r w:rsidR="004B7EFE" w:rsidRPr="00E250A7">
        <w:rPr>
          <w:rFonts w:ascii="Times New Roman" w:hAnsi="Times New Roman" w:cs="Times New Roman"/>
          <w:sz w:val="24"/>
          <w:szCs w:val="24"/>
        </w:rPr>
        <w:t xml:space="preserve">labelling this </w:t>
      </w:r>
      <w:r w:rsidR="00D37B0D" w:rsidRPr="00E250A7">
        <w:rPr>
          <w:rFonts w:ascii="Times New Roman" w:hAnsi="Times New Roman" w:cs="Times New Roman"/>
          <w:sz w:val="24"/>
          <w:szCs w:val="24"/>
        </w:rPr>
        <w:t>stage</w:t>
      </w:r>
      <w:r w:rsidR="004B7EFE" w:rsidRPr="00E250A7">
        <w:rPr>
          <w:rFonts w:ascii="Times New Roman" w:hAnsi="Times New Roman" w:cs="Times New Roman"/>
          <w:sz w:val="24"/>
          <w:szCs w:val="24"/>
        </w:rPr>
        <w:t xml:space="preserve"> of adolescence as storm and stress</w:t>
      </w:r>
      <w:r>
        <w:rPr>
          <w:rFonts w:ascii="Times New Roman" w:hAnsi="Times New Roman" w:cs="Times New Roman"/>
          <w:sz w:val="24"/>
          <w:szCs w:val="24"/>
        </w:rPr>
        <w:t>.</w:t>
      </w:r>
      <w:r w:rsidR="004B7EFE" w:rsidRPr="00E250A7">
        <w:rPr>
          <w:rFonts w:ascii="Times New Roman" w:hAnsi="Times New Roman" w:cs="Times New Roman"/>
          <w:sz w:val="24"/>
          <w:szCs w:val="24"/>
        </w:rPr>
        <w:t xml:space="preserve"> </w:t>
      </w:r>
      <w:r w:rsidR="0079383F">
        <w:rPr>
          <w:rFonts w:ascii="Times New Roman" w:hAnsi="Times New Roman" w:cs="Times New Roman"/>
          <w:sz w:val="24"/>
          <w:szCs w:val="24"/>
        </w:rPr>
        <w:t>T</w:t>
      </w:r>
      <w:r w:rsidR="0079383F" w:rsidRPr="00E250A7">
        <w:rPr>
          <w:rFonts w:ascii="Times New Roman" w:hAnsi="Times New Roman" w:cs="Times New Roman"/>
          <w:sz w:val="24"/>
          <w:szCs w:val="24"/>
        </w:rPr>
        <w:t>his research was</w:t>
      </w:r>
      <w:r w:rsidR="0079383F">
        <w:rPr>
          <w:rFonts w:ascii="Times New Roman" w:hAnsi="Times New Roman" w:cs="Times New Roman"/>
          <w:sz w:val="24"/>
          <w:szCs w:val="24"/>
        </w:rPr>
        <w:t xml:space="preserve"> strongly</w:t>
      </w:r>
      <w:r w:rsidR="0079383F" w:rsidRPr="00E250A7">
        <w:rPr>
          <w:rFonts w:ascii="Times New Roman" w:hAnsi="Times New Roman" w:cs="Times New Roman"/>
          <w:sz w:val="24"/>
          <w:szCs w:val="24"/>
        </w:rPr>
        <w:t xml:space="preserve"> influenced by Darwin’s evolutionary theory</w:t>
      </w:r>
      <w:r w:rsidR="0079383F">
        <w:rPr>
          <w:rFonts w:ascii="Times New Roman" w:hAnsi="Times New Roman" w:cs="Times New Roman"/>
          <w:sz w:val="24"/>
          <w:szCs w:val="24"/>
        </w:rPr>
        <w:t xml:space="preserve"> (Fasolo,2012)</w:t>
      </w:r>
      <w:r w:rsidR="0079383F" w:rsidRPr="00E250A7">
        <w:rPr>
          <w:rFonts w:ascii="Times New Roman" w:hAnsi="Times New Roman" w:cs="Times New Roman"/>
          <w:sz w:val="24"/>
          <w:szCs w:val="24"/>
        </w:rPr>
        <w:t xml:space="preserve"> </w:t>
      </w:r>
      <w:r w:rsidR="0079383F">
        <w:rPr>
          <w:rFonts w:ascii="Times New Roman" w:hAnsi="Times New Roman" w:cs="Times New Roman"/>
          <w:sz w:val="24"/>
          <w:szCs w:val="24"/>
        </w:rPr>
        <w:t>Hall</w:t>
      </w:r>
      <w:r w:rsidR="004B7EFE" w:rsidRPr="00E250A7">
        <w:rPr>
          <w:rFonts w:ascii="Times New Roman" w:hAnsi="Times New Roman" w:cs="Times New Roman"/>
          <w:sz w:val="24"/>
          <w:szCs w:val="24"/>
        </w:rPr>
        <w:t xml:space="preserve"> was of course referring</w:t>
      </w:r>
      <w:r>
        <w:rPr>
          <w:rFonts w:ascii="Times New Roman" w:hAnsi="Times New Roman" w:cs="Times New Roman"/>
          <w:sz w:val="24"/>
          <w:szCs w:val="24"/>
        </w:rPr>
        <w:t xml:space="preserve"> to</w:t>
      </w:r>
      <w:r w:rsidR="004B7EFE" w:rsidRPr="00E250A7">
        <w:rPr>
          <w:rFonts w:ascii="Times New Roman" w:hAnsi="Times New Roman" w:cs="Times New Roman"/>
          <w:sz w:val="24"/>
          <w:szCs w:val="24"/>
        </w:rPr>
        <w:t xml:space="preserve"> the effects this developmental stage of life has on the young girls and boys</w:t>
      </w:r>
      <w:r>
        <w:rPr>
          <w:rFonts w:ascii="Times New Roman" w:hAnsi="Times New Roman" w:cs="Times New Roman"/>
          <w:sz w:val="24"/>
          <w:szCs w:val="24"/>
        </w:rPr>
        <w:t>.</w:t>
      </w:r>
      <w:r w:rsidR="004B7EFE" w:rsidRPr="00E250A7">
        <w:rPr>
          <w:rFonts w:ascii="Times New Roman" w:hAnsi="Times New Roman" w:cs="Times New Roman"/>
          <w:sz w:val="24"/>
          <w:szCs w:val="24"/>
        </w:rPr>
        <w:t xml:space="preserve"> Evidence within this paper suggests that the adolescent stage is the most volatile stage of life with the storm and stress theory playing the biggest part</w:t>
      </w:r>
      <w:r w:rsidR="0079383F">
        <w:rPr>
          <w:rFonts w:ascii="Times New Roman" w:hAnsi="Times New Roman" w:cs="Times New Roman"/>
          <w:sz w:val="24"/>
          <w:szCs w:val="24"/>
        </w:rPr>
        <w:t xml:space="preserve"> Csikszentmihalyi </w:t>
      </w:r>
      <w:r w:rsidR="004B7EFE" w:rsidRPr="00E250A7">
        <w:rPr>
          <w:rFonts w:ascii="Times New Roman" w:hAnsi="Times New Roman" w:cs="Times New Roman"/>
          <w:sz w:val="24"/>
          <w:szCs w:val="24"/>
        </w:rPr>
        <w:t>and Larson (1984) conducted a study on a cohort of American students which proved</w:t>
      </w:r>
      <w:r w:rsidR="003236AF" w:rsidRPr="00E250A7">
        <w:rPr>
          <w:rFonts w:ascii="Times New Roman" w:hAnsi="Times New Roman" w:cs="Times New Roman"/>
          <w:sz w:val="24"/>
          <w:szCs w:val="24"/>
        </w:rPr>
        <w:t xml:space="preserve"> a pattern of highs and lows in mood and the </w:t>
      </w:r>
      <w:r w:rsidR="003236AF" w:rsidRPr="00E250A7">
        <w:rPr>
          <w:rFonts w:ascii="Times New Roman" w:hAnsi="Times New Roman" w:cs="Times New Roman"/>
          <w:sz w:val="24"/>
          <w:szCs w:val="24"/>
        </w:rPr>
        <w:lastRenderedPageBreak/>
        <w:t>frequency in which these mood swings could happen, reporting that within an hour, mood can alter greatly from elative happiness to great sadness and sorrow.</w:t>
      </w:r>
      <w:r w:rsidR="004B7EFE" w:rsidRPr="00E250A7">
        <w:rPr>
          <w:rFonts w:ascii="Times New Roman" w:hAnsi="Times New Roman" w:cs="Times New Roman"/>
          <w:sz w:val="24"/>
          <w:szCs w:val="24"/>
        </w:rPr>
        <w:t xml:space="preserve"> </w:t>
      </w:r>
    </w:p>
    <w:p w14:paraId="6AAB082E" w14:textId="11513468" w:rsidR="004A3304" w:rsidRPr="00E250A7" w:rsidRDefault="004A3304" w:rsidP="001F5947">
      <w:pPr>
        <w:spacing w:line="480" w:lineRule="auto"/>
        <w:rPr>
          <w:rFonts w:ascii="Times New Roman" w:hAnsi="Times New Roman" w:cs="Times New Roman"/>
          <w:sz w:val="24"/>
          <w:szCs w:val="24"/>
        </w:rPr>
      </w:pPr>
      <w:r w:rsidRPr="00E250A7">
        <w:rPr>
          <w:rFonts w:ascii="Times New Roman" w:hAnsi="Times New Roman" w:cs="Times New Roman"/>
          <w:sz w:val="24"/>
          <w:szCs w:val="24"/>
        </w:rPr>
        <w:t xml:space="preserve">In western boys of the same age it was noted that maturity was deemed an advantage, with physical traits like height being highly recognised </w:t>
      </w:r>
      <w:r w:rsidR="00D37B0D" w:rsidRPr="00E250A7">
        <w:rPr>
          <w:rFonts w:ascii="Times New Roman" w:hAnsi="Times New Roman" w:cs="Times New Roman"/>
          <w:sz w:val="24"/>
          <w:szCs w:val="24"/>
        </w:rPr>
        <w:t>as a</w:t>
      </w:r>
      <w:r w:rsidRPr="00E250A7">
        <w:rPr>
          <w:rFonts w:ascii="Times New Roman" w:hAnsi="Times New Roman" w:cs="Times New Roman"/>
          <w:sz w:val="24"/>
          <w:szCs w:val="24"/>
        </w:rPr>
        <w:t xml:space="preserve"> great sign of maturity. However, early maturity in boys was linked to psychopathy, depressive tendencies and anxiety (Alsaker, 1996) although it was only a small minority that were </w:t>
      </w:r>
      <w:r w:rsidR="00D37B0D" w:rsidRPr="00E250A7">
        <w:rPr>
          <w:rFonts w:ascii="Times New Roman" w:hAnsi="Times New Roman" w:cs="Times New Roman"/>
          <w:sz w:val="24"/>
          <w:szCs w:val="24"/>
        </w:rPr>
        <w:t>affected</w:t>
      </w:r>
      <w:r w:rsidRPr="00E250A7">
        <w:rPr>
          <w:rFonts w:ascii="Times New Roman" w:hAnsi="Times New Roman" w:cs="Times New Roman"/>
          <w:sz w:val="24"/>
          <w:szCs w:val="24"/>
        </w:rPr>
        <w:t xml:space="preserve"> in this way, with </w:t>
      </w:r>
      <w:proofErr w:type="gramStart"/>
      <w:r w:rsidRPr="00E250A7">
        <w:rPr>
          <w:rFonts w:ascii="Times New Roman" w:hAnsi="Times New Roman" w:cs="Times New Roman"/>
          <w:sz w:val="24"/>
          <w:szCs w:val="24"/>
        </w:rPr>
        <w:t>the majority of</w:t>
      </w:r>
      <w:proofErr w:type="gramEnd"/>
      <w:r w:rsidRPr="00E250A7">
        <w:rPr>
          <w:rFonts w:ascii="Times New Roman" w:hAnsi="Times New Roman" w:cs="Times New Roman"/>
          <w:sz w:val="24"/>
          <w:szCs w:val="24"/>
        </w:rPr>
        <w:t xml:space="preserve"> </w:t>
      </w:r>
      <w:r w:rsidR="00D37B0D" w:rsidRPr="00E250A7">
        <w:rPr>
          <w:rFonts w:ascii="Times New Roman" w:hAnsi="Times New Roman" w:cs="Times New Roman"/>
          <w:sz w:val="24"/>
          <w:szCs w:val="24"/>
        </w:rPr>
        <w:t>adolescents</w:t>
      </w:r>
      <w:r w:rsidRPr="00E250A7">
        <w:rPr>
          <w:rFonts w:ascii="Times New Roman" w:hAnsi="Times New Roman" w:cs="Times New Roman"/>
          <w:sz w:val="24"/>
          <w:szCs w:val="24"/>
        </w:rPr>
        <w:t xml:space="preserve"> in general worrying predominantly about issues such as school, future, work and family.</w:t>
      </w:r>
    </w:p>
    <w:p w14:paraId="52D76B8F" w14:textId="43716798" w:rsidR="004A3304" w:rsidRDefault="004A3304" w:rsidP="001F5947">
      <w:pPr>
        <w:spacing w:line="480" w:lineRule="auto"/>
        <w:rPr>
          <w:rFonts w:ascii="Times New Roman" w:hAnsi="Times New Roman" w:cs="Times New Roman"/>
          <w:sz w:val="24"/>
          <w:szCs w:val="24"/>
        </w:rPr>
      </w:pPr>
      <w:r w:rsidRPr="00E250A7">
        <w:rPr>
          <w:rFonts w:ascii="Times New Roman" w:hAnsi="Times New Roman" w:cs="Times New Roman"/>
          <w:sz w:val="24"/>
          <w:szCs w:val="24"/>
        </w:rPr>
        <w:t xml:space="preserve">Caspi et al (1993) </w:t>
      </w:r>
      <w:r w:rsidR="00D37B0D" w:rsidRPr="00E250A7">
        <w:rPr>
          <w:rFonts w:ascii="Times New Roman" w:hAnsi="Times New Roman" w:cs="Times New Roman"/>
          <w:sz w:val="24"/>
          <w:szCs w:val="24"/>
        </w:rPr>
        <w:t>researched</w:t>
      </w:r>
      <w:r w:rsidRPr="00E250A7">
        <w:rPr>
          <w:rFonts w:ascii="Times New Roman" w:hAnsi="Times New Roman" w:cs="Times New Roman"/>
          <w:sz w:val="24"/>
          <w:szCs w:val="24"/>
        </w:rPr>
        <w:t xml:space="preserve"> the links of early maturity and the impact that has on behaviour. His finding did indeed show that girls who mature at an earlier age to their peers were more at risk of participating in delinquent </w:t>
      </w:r>
      <w:r w:rsidR="00D37B0D" w:rsidRPr="00E250A7">
        <w:rPr>
          <w:rFonts w:ascii="Times New Roman" w:hAnsi="Times New Roman" w:cs="Times New Roman"/>
          <w:sz w:val="24"/>
          <w:szCs w:val="24"/>
        </w:rPr>
        <w:t>behaviours</w:t>
      </w:r>
      <w:r w:rsidRPr="00E250A7">
        <w:rPr>
          <w:rFonts w:ascii="Times New Roman" w:hAnsi="Times New Roman" w:cs="Times New Roman"/>
          <w:sz w:val="24"/>
          <w:szCs w:val="24"/>
        </w:rPr>
        <w:t xml:space="preserve"> such as breaking windows and challenging </w:t>
      </w:r>
      <w:r w:rsidR="00D37B0D" w:rsidRPr="00E250A7">
        <w:rPr>
          <w:rFonts w:ascii="Times New Roman" w:hAnsi="Times New Roman" w:cs="Times New Roman"/>
          <w:sz w:val="24"/>
          <w:szCs w:val="24"/>
        </w:rPr>
        <w:t>authoritive figures. (Magnusson et al, 1985) suggested that these delinquent behaviours were far more likely of young people coming from mixed sex schools</w:t>
      </w:r>
      <w:r w:rsidR="0079383F">
        <w:rPr>
          <w:rFonts w:ascii="Times New Roman" w:hAnsi="Times New Roman" w:cs="Times New Roman"/>
          <w:sz w:val="24"/>
          <w:szCs w:val="24"/>
        </w:rPr>
        <w:t xml:space="preserve"> and that early maturing girls leaned towards mixing with older peers</w:t>
      </w:r>
      <w:r w:rsidR="001F5947">
        <w:rPr>
          <w:rFonts w:ascii="Times New Roman" w:hAnsi="Times New Roman" w:cs="Times New Roman"/>
          <w:sz w:val="24"/>
          <w:szCs w:val="24"/>
        </w:rPr>
        <w:t>,</w:t>
      </w:r>
      <w:r w:rsidR="0079383F">
        <w:rPr>
          <w:rFonts w:ascii="Times New Roman" w:hAnsi="Times New Roman" w:cs="Times New Roman"/>
          <w:sz w:val="24"/>
          <w:szCs w:val="24"/>
        </w:rPr>
        <w:t xml:space="preserve"> with very little research to suggest otherwise.</w:t>
      </w:r>
      <w:r w:rsidR="001F5947">
        <w:rPr>
          <w:rFonts w:ascii="Times New Roman" w:hAnsi="Times New Roman" w:cs="Times New Roman"/>
          <w:sz w:val="24"/>
          <w:szCs w:val="24"/>
        </w:rPr>
        <w:t xml:space="preserve"> (Magnusson, 1990) also noted in his studies that early maturity was relayed to alcohol consumption, especially in boys.</w:t>
      </w:r>
    </w:p>
    <w:p w14:paraId="70A00204" w14:textId="457A3E73" w:rsidR="00F36EA9" w:rsidRDefault="00F36EA9" w:rsidP="001F5947">
      <w:pPr>
        <w:spacing w:line="480" w:lineRule="auto"/>
        <w:rPr>
          <w:rFonts w:ascii="Times New Roman" w:hAnsi="Times New Roman" w:cs="Times New Roman"/>
          <w:sz w:val="24"/>
          <w:szCs w:val="24"/>
        </w:rPr>
      </w:pPr>
    </w:p>
    <w:p w14:paraId="7DBAAA4D" w14:textId="7D2434B8" w:rsidR="00F36EA9" w:rsidRDefault="00F36EA9" w:rsidP="001F5947">
      <w:pPr>
        <w:spacing w:line="480" w:lineRule="auto"/>
        <w:rPr>
          <w:rFonts w:ascii="Times New Roman" w:hAnsi="Times New Roman" w:cs="Times New Roman"/>
          <w:sz w:val="24"/>
          <w:szCs w:val="24"/>
        </w:rPr>
      </w:pPr>
    </w:p>
    <w:p w14:paraId="710774A5" w14:textId="4612DD3F" w:rsidR="00F36EA9" w:rsidRDefault="00F36EA9" w:rsidP="001F5947">
      <w:pPr>
        <w:spacing w:line="480" w:lineRule="auto"/>
        <w:rPr>
          <w:rFonts w:ascii="Times New Roman" w:hAnsi="Times New Roman" w:cs="Times New Roman"/>
          <w:sz w:val="24"/>
          <w:szCs w:val="24"/>
        </w:rPr>
      </w:pPr>
    </w:p>
    <w:p w14:paraId="5CBE84BD" w14:textId="13F7321C" w:rsidR="00F36EA9" w:rsidRDefault="00F36EA9" w:rsidP="001F5947">
      <w:pPr>
        <w:spacing w:line="480" w:lineRule="auto"/>
        <w:rPr>
          <w:rFonts w:ascii="Times New Roman" w:hAnsi="Times New Roman" w:cs="Times New Roman"/>
          <w:sz w:val="24"/>
          <w:szCs w:val="24"/>
        </w:rPr>
      </w:pPr>
    </w:p>
    <w:p w14:paraId="0D4A21C9" w14:textId="6FFEC5AD" w:rsidR="00F36EA9" w:rsidRDefault="00F36EA9" w:rsidP="001F5947">
      <w:pPr>
        <w:spacing w:line="480" w:lineRule="auto"/>
        <w:rPr>
          <w:rFonts w:ascii="Times New Roman" w:hAnsi="Times New Roman" w:cs="Times New Roman"/>
          <w:sz w:val="24"/>
          <w:szCs w:val="24"/>
        </w:rPr>
      </w:pPr>
    </w:p>
    <w:p w14:paraId="1BF27DC1" w14:textId="40CF0AFD" w:rsidR="00F36EA9" w:rsidRDefault="00F36EA9" w:rsidP="001F5947">
      <w:pPr>
        <w:spacing w:line="480" w:lineRule="auto"/>
        <w:rPr>
          <w:rFonts w:ascii="Times New Roman" w:hAnsi="Times New Roman" w:cs="Times New Roman"/>
          <w:sz w:val="24"/>
          <w:szCs w:val="24"/>
        </w:rPr>
      </w:pPr>
    </w:p>
    <w:p w14:paraId="61E55663" w14:textId="363002EF" w:rsidR="00F36EA9" w:rsidRDefault="00F36EA9" w:rsidP="001F5947">
      <w:pPr>
        <w:spacing w:line="480" w:lineRule="auto"/>
        <w:rPr>
          <w:rFonts w:ascii="Times New Roman" w:hAnsi="Times New Roman" w:cs="Times New Roman"/>
          <w:sz w:val="24"/>
          <w:szCs w:val="24"/>
        </w:rPr>
      </w:pPr>
    </w:p>
    <w:p w14:paraId="641373CE" w14:textId="77777777" w:rsidR="00F36EA9" w:rsidRDefault="00F36EA9" w:rsidP="00F36EA9">
      <w:pPr>
        <w:spacing w:line="480" w:lineRule="auto"/>
        <w:jc w:val="center"/>
        <w:rPr>
          <w:rFonts w:ascii="Times New Roman" w:hAnsi="Times New Roman" w:cs="Times New Roman"/>
          <w:sz w:val="24"/>
          <w:szCs w:val="24"/>
        </w:rPr>
      </w:pPr>
      <w:r>
        <w:rPr>
          <w:rFonts w:ascii="Times New Roman" w:hAnsi="Times New Roman" w:cs="Times New Roman"/>
          <w:sz w:val="24"/>
          <w:szCs w:val="24"/>
        </w:rPr>
        <w:lastRenderedPageBreak/>
        <w:t>Portfolio of Activities Part 2</w:t>
      </w:r>
    </w:p>
    <w:p w14:paraId="594E8239" w14:textId="77777777" w:rsidR="00F36EA9" w:rsidRDefault="00F36EA9" w:rsidP="00F36EA9">
      <w:pPr>
        <w:spacing w:line="480" w:lineRule="auto"/>
        <w:jc w:val="center"/>
        <w:rPr>
          <w:rFonts w:ascii="Times New Roman" w:hAnsi="Times New Roman" w:cs="Times New Roman"/>
          <w:sz w:val="24"/>
          <w:szCs w:val="24"/>
        </w:rPr>
      </w:pPr>
      <w:r>
        <w:rPr>
          <w:rFonts w:ascii="Times New Roman" w:hAnsi="Times New Roman" w:cs="Times New Roman"/>
          <w:sz w:val="24"/>
          <w:szCs w:val="24"/>
        </w:rPr>
        <w:t>Abstract one</w:t>
      </w:r>
    </w:p>
    <w:p w14:paraId="33E69D20" w14:textId="77777777" w:rsidR="00F36EA9" w:rsidRDefault="00F36EA9" w:rsidP="00F36EA9">
      <w:pPr>
        <w:spacing w:line="480" w:lineRule="auto"/>
        <w:rPr>
          <w:rFonts w:ascii="Times New Roman" w:hAnsi="Times New Roman" w:cs="Times New Roman"/>
          <w:sz w:val="24"/>
          <w:szCs w:val="24"/>
        </w:rPr>
      </w:pPr>
    </w:p>
    <w:p w14:paraId="312694FD" w14:textId="77777777" w:rsidR="00F36EA9" w:rsidRPr="00297251" w:rsidRDefault="00F36EA9" w:rsidP="00F36EA9">
      <w:pPr>
        <w:spacing w:line="480" w:lineRule="auto"/>
        <w:rPr>
          <w:rFonts w:ascii="Times New Roman" w:hAnsi="Times New Roman" w:cs="Times New Roman"/>
          <w:sz w:val="24"/>
          <w:szCs w:val="24"/>
        </w:rPr>
      </w:pPr>
      <w:r w:rsidRPr="00297251">
        <w:rPr>
          <w:rFonts w:ascii="Times New Roman" w:hAnsi="Times New Roman" w:cs="Times New Roman"/>
          <w:sz w:val="24"/>
          <w:szCs w:val="24"/>
        </w:rPr>
        <w:t>When writing an abstract of a scientific paper it is important to include all the relevant information, studies, methods, results and a conclusion. This paper outlines the use of correct resources and information and indeed how to utilise this information to obtain what you need to ascertain from the document in question. The abstract is the only part of a scientific research paper to be used in a conference and it is the only part of the paper that an editor would read prior to a review on a manuscript. An abstract sets the tone for the inner workings of a finished paper, it is predominantly the abstract that is read by referees. The text written in an abstract must be the same as the text within the paper. Abstracts should be tailored to the requirements of the journal or the topic at hand and hold the key information to the paper.</w:t>
      </w:r>
    </w:p>
    <w:p w14:paraId="21C029E1" w14:textId="77777777" w:rsidR="00F36EA9" w:rsidRPr="00E250A7" w:rsidRDefault="00F36EA9" w:rsidP="001F5947">
      <w:pPr>
        <w:spacing w:line="480" w:lineRule="auto"/>
        <w:rPr>
          <w:rFonts w:ascii="Times New Roman" w:hAnsi="Times New Roman" w:cs="Times New Roman"/>
          <w:sz w:val="24"/>
          <w:szCs w:val="24"/>
        </w:rPr>
      </w:pPr>
    </w:p>
    <w:p w14:paraId="5B96F687" w14:textId="77777777" w:rsidR="00D37B0D" w:rsidRDefault="00D37B0D"/>
    <w:p w14:paraId="65DC42DB" w14:textId="4DFDB0A3" w:rsidR="009E5681" w:rsidRDefault="009E5681"/>
    <w:p w14:paraId="758DB219" w14:textId="57F64F5C" w:rsidR="007F5870" w:rsidRDefault="007F5870"/>
    <w:p w14:paraId="1F4F5404" w14:textId="02F616FD" w:rsidR="007F5870" w:rsidRDefault="007F5870"/>
    <w:p w14:paraId="35DC9565" w14:textId="6A5C00FC" w:rsidR="00F36EA9" w:rsidRDefault="00F36EA9"/>
    <w:p w14:paraId="669EA45A" w14:textId="6F14049B" w:rsidR="00F36EA9" w:rsidRDefault="00F36EA9"/>
    <w:p w14:paraId="6E01AE6F" w14:textId="518DC98A" w:rsidR="00F36EA9" w:rsidRDefault="00F36EA9"/>
    <w:p w14:paraId="47799EA8" w14:textId="1FC85F9C" w:rsidR="00F36EA9" w:rsidRDefault="00F36EA9"/>
    <w:p w14:paraId="6508AF93" w14:textId="19447452" w:rsidR="00F36EA9" w:rsidRDefault="00F36EA9"/>
    <w:p w14:paraId="722F2010" w14:textId="14EE0172" w:rsidR="00F36EA9" w:rsidRDefault="00F36EA9"/>
    <w:p w14:paraId="09BA412B" w14:textId="4962BE6D" w:rsidR="00F36EA9" w:rsidRDefault="00F36EA9"/>
    <w:p w14:paraId="6C303117" w14:textId="0FD822DD" w:rsidR="00F36EA9" w:rsidRDefault="00F36EA9"/>
    <w:p w14:paraId="51987E53" w14:textId="62331E9A" w:rsidR="00F36EA9" w:rsidRDefault="00F36EA9"/>
    <w:p w14:paraId="5E29DBBA" w14:textId="18FD5217" w:rsidR="00F36EA9" w:rsidRPr="00F36EA9" w:rsidRDefault="00F36EA9" w:rsidP="00F36EA9">
      <w:pPr>
        <w:spacing w:line="480" w:lineRule="auto"/>
        <w:jc w:val="center"/>
        <w:rPr>
          <w:rFonts w:ascii="Times New Roman" w:hAnsi="Times New Roman" w:cs="Times New Roman"/>
          <w:sz w:val="24"/>
          <w:szCs w:val="24"/>
        </w:rPr>
      </w:pPr>
      <w:r w:rsidRPr="00F36EA9">
        <w:rPr>
          <w:rFonts w:ascii="Times New Roman" w:hAnsi="Times New Roman" w:cs="Times New Roman"/>
          <w:sz w:val="24"/>
          <w:szCs w:val="24"/>
        </w:rPr>
        <w:lastRenderedPageBreak/>
        <w:t>Portfolio of Activities Part 2</w:t>
      </w:r>
    </w:p>
    <w:p w14:paraId="70CB6201" w14:textId="4943081C" w:rsidR="00F36EA9" w:rsidRPr="00F36EA9" w:rsidRDefault="00F36EA9" w:rsidP="00F36EA9">
      <w:pPr>
        <w:spacing w:line="480" w:lineRule="auto"/>
        <w:jc w:val="center"/>
        <w:rPr>
          <w:rFonts w:ascii="Times New Roman" w:hAnsi="Times New Roman" w:cs="Times New Roman"/>
          <w:sz w:val="24"/>
          <w:szCs w:val="24"/>
        </w:rPr>
      </w:pPr>
      <w:r w:rsidRPr="00F36EA9">
        <w:rPr>
          <w:rFonts w:ascii="Times New Roman" w:hAnsi="Times New Roman" w:cs="Times New Roman"/>
          <w:sz w:val="24"/>
          <w:szCs w:val="24"/>
        </w:rPr>
        <w:t>Abstract two</w:t>
      </w:r>
    </w:p>
    <w:p w14:paraId="2B9AE627" w14:textId="707C20AF" w:rsidR="00F36EA9" w:rsidRPr="00F36EA9" w:rsidRDefault="00F36EA9" w:rsidP="00F36EA9">
      <w:pPr>
        <w:spacing w:line="480" w:lineRule="auto"/>
        <w:rPr>
          <w:rFonts w:ascii="Times New Roman" w:hAnsi="Times New Roman" w:cs="Times New Roman"/>
          <w:sz w:val="24"/>
          <w:szCs w:val="24"/>
        </w:rPr>
      </w:pPr>
    </w:p>
    <w:p w14:paraId="6DB0450C" w14:textId="557E3443" w:rsidR="00F36EA9" w:rsidRPr="00F36EA9" w:rsidRDefault="00F36EA9" w:rsidP="00F36EA9">
      <w:pPr>
        <w:spacing w:line="480" w:lineRule="auto"/>
        <w:rPr>
          <w:rFonts w:ascii="Times New Roman" w:hAnsi="Times New Roman" w:cs="Times New Roman"/>
          <w:sz w:val="24"/>
          <w:szCs w:val="24"/>
        </w:rPr>
      </w:pPr>
      <w:r w:rsidRPr="00F36EA9">
        <w:rPr>
          <w:rFonts w:ascii="Times New Roman" w:hAnsi="Times New Roman" w:cs="Times New Roman"/>
          <w:sz w:val="24"/>
          <w:szCs w:val="24"/>
        </w:rPr>
        <w:t xml:space="preserve">This investigation </w:t>
      </w:r>
      <w:r w:rsidR="0000420E" w:rsidRPr="00F36EA9">
        <w:rPr>
          <w:rFonts w:ascii="Times New Roman" w:hAnsi="Times New Roman" w:cs="Times New Roman"/>
          <w:sz w:val="24"/>
          <w:szCs w:val="24"/>
        </w:rPr>
        <w:t>looked</w:t>
      </w:r>
      <w:r w:rsidRPr="00F36EA9">
        <w:rPr>
          <w:rFonts w:ascii="Times New Roman" w:hAnsi="Times New Roman" w:cs="Times New Roman"/>
          <w:sz w:val="24"/>
          <w:szCs w:val="24"/>
        </w:rPr>
        <w:t xml:space="preserve"> at the job</w:t>
      </w:r>
      <w:r w:rsidR="0000420E">
        <w:rPr>
          <w:rFonts w:ascii="Times New Roman" w:hAnsi="Times New Roman" w:cs="Times New Roman"/>
          <w:sz w:val="24"/>
          <w:szCs w:val="24"/>
        </w:rPr>
        <w:t xml:space="preserve"> or role</w:t>
      </w:r>
      <w:r w:rsidRPr="00F36EA9">
        <w:rPr>
          <w:rFonts w:ascii="Times New Roman" w:hAnsi="Times New Roman" w:cs="Times New Roman"/>
          <w:sz w:val="24"/>
          <w:szCs w:val="24"/>
        </w:rPr>
        <w:t xml:space="preserve"> of narcissism in wellbeing danger and wellbeing defensive practices</w:t>
      </w:r>
      <w:r w:rsidR="0000420E">
        <w:rPr>
          <w:rFonts w:ascii="Times New Roman" w:hAnsi="Times New Roman" w:cs="Times New Roman"/>
          <w:sz w:val="24"/>
          <w:szCs w:val="24"/>
        </w:rPr>
        <w:t>,</w:t>
      </w:r>
      <w:r w:rsidRPr="00F36EA9">
        <w:rPr>
          <w:rFonts w:ascii="Times New Roman" w:hAnsi="Times New Roman" w:cs="Times New Roman"/>
          <w:sz w:val="24"/>
          <w:szCs w:val="24"/>
        </w:rPr>
        <w:t xml:space="preserve"> </w:t>
      </w:r>
      <w:r w:rsidR="0000420E">
        <w:rPr>
          <w:rFonts w:ascii="Times New Roman" w:hAnsi="Times New Roman" w:cs="Times New Roman"/>
          <w:sz w:val="24"/>
          <w:szCs w:val="24"/>
        </w:rPr>
        <w:t>w</w:t>
      </w:r>
      <w:r w:rsidRPr="00F36EA9">
        <w:rPr>
          <w:rFonts w:ascii="Times New Roman" w:hAnsi="Times New Roman" w:cs="Times New Roman"/>
          <w:sz w:val="24"/>
          <w:szCs w:val="24"/>
        </w:rPr>
        <w:t xml:space="preserve">hile researching a cohort of </w:t>
      </w:r>
      <w:r w:rsidR="0000420E">
        <w:rPr>
          <w:rFonts w:ascii="Times New Roman" w:hAnsi="Times New Roman" w:cs="Times New Roman"/>
          <w:sz w:val="24"/>
          <w:szCs w:val="24"/>
        </w:rPr>
        <w:t xml:space="preserve">three hundred and </w:t>
      </w:r>
      <w:proofErr w:type="gramStart"/>
      <w:r w:rsidR="0000420E">
        <w:rPr>
          <w:rFonts w:ascii="Times New Roman" w:hAnsi="Times New Roman" w:cs="Times New Roman"/>
          <w:sz w:val="24"/>
          <w:szCs w:val="24"/>
        </w:rPr>
        <w:t>sixty five</w:t>
      </w:r>
      <w:proofErr w:type="gramEnd"/>
      <w:r w:rsidRPr="00F36EA9">
        <w:rPr>
          <w:rFonts w:ascii="Times New Roman" w:hAnsi="Times New Roman" w:cs="Times New Roman"/>
          <w:sz w:val="24"/>
          <w:szCs w:val="24"/>
        </w:rPr>
        <w:t xml:space="preserve"> college understudies. Relapse examinations were utilised to test the impact of narcissism on wellbeing practices. Narcissism was emphatically prescient of alcohol use, marijuana use, and hazardous driving practices, and it was related with an improved probability of reliably having a good diet pattern. Narcissism was likewise decidedly prescient of physical movement. Results are talked about with reference to the potential of short- and long-term wellbeing suggestions and the requirement for future research on the variables engaged with the connection among narcissism and wellbeing practices.</w:t>
      </w:r>
    </w:p>
    <w:p w14:paraId="64FED474" w14:textId="144C8F84" w:rsidR="00F36EA9" w:rsidRDefault="00F36EA9"/>
    <w:p w14:paraId="582A6AAE" w14:textId="6E4B8A19" w:rsidR="00F36EA9" w:rsidRDefault="00F36EA9"/>
    <w:p w14:paraId="62FDC8B5" w14:textId="3D09A9B0" w:rsidR="00F36EA9" w:rsidRDefault="00F36EA9"/>
    <w:p w14:paraId="36BF87ED" w14:textId="6CCE5168" w:rsidR="00F36EA9" w:rsidRDefault="00F36EA9"/>
    <w:p w14:paraId="4215F978" w14:textId="60103FA4" w:rsidR="00F36EA9" w:rsidRDefault="00F36EA9"/>
    <w:p w14:paraId="6A66689E" w14:textId="75C860C5" w:rsidR="00F36EA9" w:rsidRDefault="00F36EA9"/>
    <w:p w14:paraId="23354A92" w14:textId="4E7A972F" w:rsidR="00F36EA9" w:rsidRDefault="00F36EA9"/>
    <w:p w14:paraId="5006BF3D" w14:textId="2DE366D8" w:rsidR="00F36EA9" w:rsidRDefault="00F36EA9"/>
    <w:p w14:paraId="07ED4497" w14:textId="346CF959" w:rsidR="00F36EA9" w:rsidRDefault="00F36EA9"/>
    <w:p w14:paraId="53A6906A" w14:textId="37FF1E7B" w:rsidR="00F36EA9" w:rsidRDefault="00F36EA9"/>
    <w:p w14:paraId="514124B5" w14:textId="4B2A0D4B" w:rsidR="00F36EA9" w:rsidRDefault="00F36EA9"/>
    <w:p w14:paraId="274CD269" w14:textId="4930C9A8" w:rsidR="00F36EA9" w:rsidRDefault="00F36EA9"/>
    <w:p w14:paraId="6FB4FEC1" w14:textId="0D9E3252" w:rsidR="00F36EA9" w:rsidRDefault="00F36EA9"/>
    <w:p w14:paraId="08FD1F2D" w14:textId="71A1BB57" w:rsidR="00F36EA9" w:rsidRDefault="00F36EA9"/>
    <w:p w14:paraId="008470B2" w14:textId="73E417C8" w:rsidR="00F36EA9" w:rsidRDefault="00F36EA9"/>
    <w:p w14:paraId="10713990" w14:textId="2575D668" w:rsidR="00F36EA9" w:rsidRDefault="00F36EA9" w:rsidP="00841C4C">
      <w:pPr>
        <w:jc w:val="center"/>
      </w:pPr>
      <w:r>
        <w:lastRenderedPageBreak/>
        <w:t>Portfolio of Activities</w:t>
      </w:r>
      <w:r w:rsidR="00841C4C">
        <w:t xml:space="preserve"> Part 2</w:t>
      </w:r>
    </w:p>
    <w:p w14:paraId="3D833B2B" w14:textId="3D77D139" w:rsidR="00841C4C" w:rsidRDefault="00841C4C" w:rsidP="00841C4C">
      <w:pPr>
        <w:jc w:val="center"/>
      </w:pPr>
      <w:r>
        <w:t>Abstract three</w:t>
      </w:r>
    </w:p>
    <w:p w14:paraId="38A24675" w14:textId="4475CCAC" w:rsidR="00841C4C" w:rsidRDefault="00841C4C"/>
    <w:p w14:paraId="52AA71DE" w14:textId="77777777" w:rsidR="00841C4C" w:rsidRPr="008F0016" w:rsidRDefault="00841C4C" w:rsidP="00841C4C">
      <w:pPr>
        <w:spacing w:line="480" w:lineRule="auto"/>
        <w:rPr>
          <w:rFonts w:ascii="Times New Roman" w:hAnsi="Times New Roman" w:cs="Times New Roman"/>
          <w:sz w:val="24"/>
          <w:szCs w:val="24"/>
        </w:rPr>
      </w:pPr>
    </w:p>
    <w:p w14:paraId="6FDF232B" w14:textId="7635315D" w:rsidR="00841C4C" w:rsidRPr="008F0016" w:rsidRDefault="00841C4C" w:rsidP="00841C4C">
      <w:pPr>
        <w:spacing w:line="480" w:lineRule="auto"/>
        <w:rPr>
          <w:rFonts w:ascii="Times New Roman" w:hAnsi="Times New Roman" w:cs="Times New Roman"/>
          <w:sz w:val="24"/>
          <w:szCs w:val="24"/>
        </w:rPr>
      </w:pPr>
      <w:r w:rsidRPr="008F0016">
        <w:rPr>
          <w:rFonts w:ascii="Times New Roman" w:hAnsi="Times New Roman" w:cs="Times New Roman"/>
          <w:sz w:val="24"/>
          <w:szCs w:val="24"/>
        </w:rPr>
        <w:t xml:space="preserve">Gambling problems are associated with increased gambling frequency (Kessler et al., 2008). The report suggests that some individuals may gamble more frequently than others although there is no firm answer to why this is the case. The theory of reasoned action (TRA; Fishbein, 1967) suggests that attitudes toward that </w:t>
      </w:r>
      <w:r w:rsidR="0000420E" w:rsidRPr="008F0016">
        <w:rPr>
          <w:rFonts w:ascii="Times New Roman" w:hAnsi="Times New Roman" w:cs="Times New Roman"/>
          <w:sz w:val="24"/>
          <w:szCs w:val="24"/>
        </w:rPr>
        <w:t>behaviour</w:t>
      </w:r>
      <w:r w:rsidRPr="008F0016">
        <w:rPr>
          <w:rFonts w:ascii="Times New Roman" w:hAnsi="Times New Roman" w:cs="Times New Roman"/>
          <w:sz w:val="24"/>
          <w:szCs w:val="24"/>
        </w:rPr>
        <w:t xml:space="preserve"> may be the driving point and that one’s intention to carry out a behaviour also playing its part. In more recent times theorists such as Ajzen &amp; Fishbein, (1980) have adapted and improved the TRA model, the theory of planned behaviour (TPB) this elaborated that one’s perception of having control over a behaviour can be influenced by environment and learned behaviours around that</w:t>
      </w:r>
      <w:r w:rsidR="0000420E">
        <w:rPr>
          <w:rFonts w:ascii="Times New Roman" w:hAnsi="Times New Roman" w:cs="Times New Roman"/>
          <w:sz w:val="24"/>
          <w:szCs w:val="24"/>
        </w:rPr>
        <w:t xml:space="preserve"> topic or</w:t>
      </w:r>
      <w:r w:rsidRPr="008F0016">
        <w:rPr>
          <w:rFonts w:ascii="Times New Roman" w:hAnsi="Times New Roman" w:cs="Times New Roman"/>
          <w:sz w:val="24"/>
          <w:szCs w:val="24"/>
        </w:rPr>
        <w:t xml:space="preserve"> subject</w:t>
      </w:r>
      <w:r w:rsidR="0000420E">
        <w:rPr>
          <w:rFonts w:ascii="Times New Roman" w:hAnsi="Times New Roman" w:cs="Times New Roman"/>
          <w:sz w:val="24"/>
          <w:szCs w:val="24"/>
        </w:rPr>
        <w:t xml:space="preserve"> matter</w:t>
      </w:r>
      <w:bookmarkStart w:id="0" w:name="_GoBack"/>
      <w:bookmarkEnd w:id="0"/>
      <w:r w:rsidRPr="008F0016">
        <w:rPr>
          <w:rFonts w:ascii="Times New Roman" w:hAnsi="Times New Roman" w:cs="Times New Roman"/>
          <w:sz w:val="24"/>
          <w:szCs w:val="24"/>
        </w:rPr>
        <w:t xml:space="preserve">. </w:t>
      </w:r>
      <w:r w:rsidRPr="008F0016">
        <w:rPr>
          <w:rFonts w:ascii="Times New Roman" w:hAnsi="Times New Roman" w:cs="Times New Roman"/>
          <w:color w:val="111111"/>
          <w:sz w:val="24"/>
          <w:szCs w:val="24"/>
        </w:rPr>
        <w:t xml:space="preserve">TPB </w:t>
      </w:r>
      <w:r>
        <w:rPr>
          <w:rFonts w:ascii="Times New Roman" w:hAnsi="Times New Roman" w:cs="Times New Roman"/>
          <w:color w:val="111111"/>
          <w:sz w:val="24"/>
          <w:szCs w:val="24"/>
        </w:rPr>
        <w:t>has been a tool used for</w:t>
      </w:r>
      <w:r w:rsidRPr="008F0016">
        <w:rPr>
          <w:rFonts w:ascii="Times New Roman" w:hAnsi="Times New Roman" w:cs="Times New Roman"/>
          <w:color w:val="111111"/>
          <w:sz w:val="24"/>
          <w:szCs w:val="24"/>
        </w:rPr>
        <w:t xml:space="preserve"> understanding, predicting, and changing human social behaviou</w:t>
      </w:r>
      <w:r>
        <w:rPr>
          <w:rFonts w:ascii="Times New Roman" w:hAnsi="Times New Roman" w:cs="Times New Roman"/>
          <w:color w:val="111111"/>
          <w:sz w:val="24"/>
          <w:szCs w:val="24"/>
        </w:rPr>
        <w:t>rs.</w:t>
      </w:r>
      <w:r w:rsidRPr="008F0016">
        <w:rPr>
          <w:rFonts w:ascii="Times New Roman" w:hAnsi="Times New Roman" w:cs="Times New Roman"/>
          <w:color w:val="111111"/>
          <w:sz w:val="24"/>
          <w:szCs w:val="24"/>
        </w:rPr>
        <w:t xml:space="preserve"> Studies </w:t>
      </w:r>
      <w:r>
        <w:rPr>
          <w:rFonts w:ascii="Times New Roman" w:hAnsi="Times New Roman" w:cs="Times New Roman"/>
          <w:color w:val="111111"/>
          <w:sz w:val="24"/>
          <w:szCs w:val="24"/>
        </w:rPr>
        <w:t>have shown that</w:t>
      </w:r>
      <w:r w:rsidRPr="008F0016">
        <w:rPr>
          <w:rFonts w:ascii="Times New Roman" w:hAnsi="Times New Roman" w:cs="Times New Roman"/>
          <w:color w:val="111111"/>
          <w:sz w:val="24"/>
          <w:szCs w:val="24"/>
        </w:rPr>
        <w:t xml:space="preserve"> its ability to predict intentions and behaviour </w:t>
      </w:r>
      <w:r>
        <w:rPr>
          <w:rFonts w:ascii="Times New Roman" w:hAnsi="Times New Roman" w:cs="Times New Roman"/>
          <w:color w:val="111111"/>
          <w:sz w:val="24"/>
          <w:szCs w:val="24"/>
        </w:rPr>
        <w:t>can in turn subsequently promote</w:t>
      </w:r>
      <w:r w:rsidRPr="008F0016">
        <w:rPr>
          <w:rFonts w:ascii="Times New Roman" w:hAnsi="Times New Roman" w:cs="Times New Roman"/>
          <w:color w:val="111111"/>
          <w:sz w:val="24"/>
          <w:szCs w:val="24"/>
        </w:rPr>
        <w:t xml:space="preserve"> changes in intentions, and that these changes in intentions are reflected in behaviour. </w:t>
      </w:r>
      <w:r w:rsidRPr="008F0016">
        <w:rPr>
          <w:rFonts w:ascii="Times New Roman" w:hAnsi="Times New Roman" w:cs="Times New Roman"/>
          <w:sz w:val="24"/>
          <w:szCs w:val="24"/>
        </w:rPr>
        <w:t xml:space="preserve">The results of this study suggest that the use of the TPB to explain certain gambling behaviours </w:t>
      </w:r>
      <w:r>
        <w:rPr>
          <w:rFonts w:ascii="Times New Roman" w:hAnsi="Times New Roman" w:cs="Times New Roman"/>
          <w:sz w:val="24"/>
          <w:szCs w:val="24"/>
        </w:rPr>
        <w:t xml:space="preserve">and </w:t>
      </w:r>
      <w:r w:rsidRPr="008F0016">
        <w:rPr>
          <w:rFonts w:ascii="Times New Roman" w:hAnsi="Times New Roman" w:cs="Times New Roman"/>
          <w:sz w:val="24"/>
          <w:szCs w:val="24"/>
        </w:rPr>
        <w:t>gambling frequencies</w:t>
      </w:r>
      <w:r>
        <w:rPr>
          <w:rFonts w:ascii="Times New Roman" w:hAnsi="Times New Roman" w:cs="Times New Roman"/>
          <w:sz w:val="24"/>
          <w:szCs w:val="24"/>
        </w:rPr>
        <w:t xml:space="preserve"> in an individual can be a valuable tool in helping people change detrimental habits, leading them to make more informed and productive life choices</w:t>
      </w:r>
      <w:r w:rsidRPr="008F0016">
        <w:rPr>
          <w:rFonts w:ascii="Times New Roman" w:hAnsi="Times New Roman" w:cs="Times New Roman"/>
          <w:sz w:val="24"/>
          <w:szCs w:val="24"/>
        </w:rPr>
        <w:t xml:space="preserve">. </w:t>
      </w:r>
    </w:p>
    <w:p w14:paraId="7639B7F9" w14:textId="77777777" w:rsidR="00841C4C" w:rsidRDefault="00841C4C"/>
    <w:p w14:paraId="5D20B864" w14:textId="34AF22AF" w:rsidR="00841C4C" w:rsidRDefault="00841C4C"/>
    <w:p w14:paraId="3DD26852" w14:textId="4BF8D5F9" w:rsidR="00841C4C" w:rsidRDefault="00841C4C"/>
    <w:p w14:paraId="2435968A" w14:textId="36DCE0E2" w:rsidR="00841C4C" w:rsidRDefault="00841C4C"/>
    <w:p w14:paraId="52AC1325" w14:textId="2E675280" w:rsidR="00841C4C" w:rsidRDefault="00841C4C"/>
    <w:p w14:paraId="4CD4CD18" w14:textId="1ACCEE55" w:rsidR="00841C4C" w:rsidRDefault="00841C4C"/>
    <w:p w14:paraId="42DFF9D6" w14:textId="2580611C" w:rsidR="00841C4C" w:rsidRDefault="00841C4C"/>
    <w:p w14:paraId="491A24E5" w14:textId="0B06481A" w:rsidR="00841C4C" w:rsidRDefault="00841C4C"/>
    <w:p w14:paraId="7D4514F4" w14:textId="58DD6C6C" w:rsidR="00841C4C" w:rsidRDefault="00841C4C" w:rsidP="00841C4C">
      <w:pPr>
        <w:jc w:val="center"/>
      </w:pPr>
      <w:r>
        <w:lastRenderedPageBreak/>
        <w:t>Portfolio of Activities Part 3</w:t>
      </w:r>
    </w:p>
    <w:p w14:paraId="0B08B7EF" w14:textId="38A697D4" w:rsidR="00841C4C" w:rsidRDefault="00841C4C" w:rsidP="00841C4C">
      <w:pPr>
        <w:jc w:val="center"/>
      </w:pPr>
      <w:r>
        <w:t xml:space="preserve">Reference List </w:t>
      </w:r>
    </w:p>
    <w:p w14:paraId="4FF0564F" w14:textId="77777777" w:rsidR="00841C4C" w:rsidRDefault="00841C4C" w:rsidP="00841C4C">
      <w:pPr>
        <w:jc w:val="center"/>
      </w:pPr>
    </w:p>
    <w:p w14:paraId="0C8A591D" w14:textId="32896163" w:rsidR="00841C4C" w:rsidRDefault="00841C4C" w:rsidP="00841C4C">
      <w:pPr>
        <w:jc w:val="center"/>
      </w:pPr>
    </w:p>
    <w:p w14:paraId="520BF9CE" w14:textId="77777777" w:rsidR="005B332D" w:rsidRPr="005B332D" w:rsidRDefault="005B332D" w:rsidP="005B332D">
      <w:pPr>
        <w:spacing w:line="480" w:lineRule="auto"/>
        <w:rPr>
          <w:rFonts w:ascii="Times New Roman" w:hAnsi="Times New Roman" w:cs="Times New Roman"/>
          <w:color w:val="000000"/>
          <w:sz w:val="24"/>
          <w:szCs w:val="24"/>
        </w:rPr>
      </w:pPr>
      <w:r w:rsidRPr="005B332D">
        <w:rPr>
          <w:rStyle w:val="selectable"/>
          <w:rFonts w:ascii="Times New Roman" w:hAnsi="Times New Roman" w:cs="Times New Roman"/>
          <w:color w:val="000000"/>
          <w:sz w:val="24"/>
          <w:szCs w:val="24"/>
        </w:rPr>
        <w:t>Adult drinking habits in Great Britain: 2005 to 2016 - Office for National Statistics. (2018). Retrieved from https://www.ons.gov.uk/releases/adultdrinkinghabitsingreatbritain2015</w:t>
      </w:r>
    </w:p>
    <w:p w14:paraId="307B42E2" w14:textId="77777777" w:rsidR="005B332D"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Annual Primary Care Conference. (2016). Presentation, Royal College of General Practitioners.</w:t>
      </w:r>
    </w:p>
    <w:p w14:paraId="03C192ED"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 xml:space="preserve">Computerised cognitive behavioural therapy. (2017). [Podcast]. Retrieved from </w:t>
      </w:r>
      <w:hyperlink r:id="rId6" w:history="1">
        <w:r w:rsidRPr="00841C4C">
          <w:rPr>
            <w:rStyle w:val="SubtleEmphasis"/>
            <w:rFonts w:ascii="Times New Roman" w:hAnsi="Times New Roman" w:cs="Times New Roman"/>
            <w:i w:val="0"/>
            <w:sz w:val="24"/>
            <w:szCs w:val="24"/>
          </w:rPr>
          <w:t>http://www.mentalhealth.org.uk/podcastsand-videos/computerised-cognitivebehavioural-therapy</w:t>
        </w:r>
      </w:hyperlink>
    </w:p>
    <w:p w14:paraId="342E31C4"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DAY, S. (2015). Families experience of Poverty Stigma in Education. Presentation.</w:t>
      </w:r>
    </w:p>
    <w:p w14:paraId="6B37F15C"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 xml:space="preserve">GEEKIE. (2009). [E-book]. ROUTLEDGE TAYLOR. Retrieved from </w:t>
      </w:r>
      <w:hyperlink r:id="rId7" w:history="1">
        <w:r w:rsidRPr="00841C4C">
          <w:rPr>
            <w:rStyle w:val="SubtleEmphasis"/>
            <w:rFonts w:ascii="Times New Roman" w:hAnsi="Times New Roman" w:cs="Times New Roman"/>
            <w:i w:val="0"/>
            <w:sz w:val="24"/>
            <w:szCs w:val="24"/>
          </w:rPr>
          <w:t>http://www.tandfebooks.com/doi/view/10.4324/9780203878422</w:t>
        </w:r>
      </w:hyperlink>
    </w:p>
    <w:p w14:paraId="5C33495C"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Hill, E. (2016). The role of narcissism in health-risk and health-protective behaviours. Journal of Health Psychology, 21(9), 2021-2032. doi: 10.1177/1359105315569858</w:t>
      </w:r>
    </w:p>
    <w:p w14:paraId="369240D7" w14:textId="77777777" w:rsidR="005B332D" w:rsidRDefault="005B332D" w:rsidP="00841C4C">
      <w:pPr>
        <w:spacing w:line="480" w:lineRule="auto"/>
        <w:rPr>
          <w:rFonts w:ascii="Times New Roman" w:hAnsi="Times New Roman" w:cs="Times New Roman"/>
          <w:color w:val="000000"/>
          <w:sz w:val="24"/>
          <w:szCs w:val="24"/>
        </w:rPr>
      </w:pPr>
      <w:r w:rsidRPr="00BF63AD">
        <w:rPr>
          <w:rFonts w:ascii="Times New Roman" w:hAnsi="Times New Roman" w:cs="Times New Roman"/>
          <w:color w:val="000000"/>
          <w:sz w:val="24"/>
          <w:szCs w:val="24"/>
        </w:rPr>
        <w:t>Kate Hefferon and Ilona Boniwell. (2011).</w:t>
      </w:r>
    </w:p>
    <w:p w14:paraId="23CE3998"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Mazzetti, G., Schaufeli, W., &amp; Guglielmi, D. (2014). Are workaholics born or made? Relations of workaholism with person characteristics and overwork climate. International Journal of Stress Management, 21(3), 227-254. doi: 10.1037/a0035700</w:t>
      </w:r>
    </w:p>
    <w:p w14:paraId="39844C9E"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Mohamed, S. (2011).</w:t>
      </w:r>
    </w:p>
    <w:p w14:paraId="237C1F6B"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Paul Bennett. (2011). Open University Press.</w:t>
      </w:r>
    </w:p>
    <w:p w14:paraId="6BCE136D"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lastRenderedPageBreak/>
        <w:t xml:space="preserve">Phelps, C., Minou, M., Baker, A., Hughes, C., French, H., &amp; Hawkins, W. et al. (2016). Necessary but not </w:t>
      </w:r>
      <w:proofErr w:type="gramStart"/>
      <w:r w:rsidRPr="00841C4C">
        <w:rPr>
          <w:rStyle w:val="SubtleEmphasis"/>
          <w:rFonts w:ascii="Times New Roman" w:hAnsi="Times New Roman" w:cs="Times New Roman"/>
          <w:i w:val="0"/>
          <w:sz w:val="24"/>
          <w:szCs w:val="24"/>
        </w:rPr>
        <w:t>sufficient</w:t>
      </w:r>
      <w:proofErr w:type="gramEnd"/>
      <w:r w:rsidRPr="00841C4C">
        <w:rPr>
          <w:rStyle w:val="SubtleEmphasis"/>
          <w:rFonts w:ascii="Times New Roman" w:hAnsi="Times New Roman" w:cs="Times New Roman"/>
          <w:i w:val="0"/>
          <w:sz w:val="24"/>
          <w:szCs w:val="24"/>
        </w:rPr>
        <w:t>? Engaging young people in the development of an avatar-based online intervention designed to provide psychosocial support to young people affected by their own or a family member's cancer diagnosis. Health Expectations, 20(3), 459-470. doi: 10.1111/hex.12473</w:t>
      </w:r>
    </w:p>
    <w:p w14:paraId="5BCC2858" w14:textId="77777777" w:rsidR="005B332D" w:rsidRPr="005B332D" w:rsidRDefault="005B332D" w:rsidP="00841C4C">
      <w:pPr>
        <w:spacing w:line="480" w:lineRule="auto"/>
        <w:rPr>
          <w:rStyle w:val="SubtleEmphasis"/>
          <w:rFonts w:ascii="Times New Roman" w:hAnsi="Times New Roman" w:cs="Times New Roman"/>
          <w:i w:val="0"/>
          <w:sz w:val="24"/>
          <w:szCs w:val="24"/>
        </w:rPr>
      </w:pPr>
      <w:r w:rsidRPr="005B332D">
        <w:rPr>
          <w:rStyle w:val="selectable"/>
          <w:rFonts w:ascii="Times New Roman" w:hAnsi="Times New Roman" w:cs="Times New Roman"/>
          <w:color w:val="000000"/>
          <w:sz w:val="24"/>
          <w:szCs w:val="24"/>
        </w:rPr>
        <w:t xml:space="preserve">Phelps, C., Minou, M., Baker, A., Hughes, C., French, H., &amp; Hawkins, W. et al. (2016). Necessary but not </w:t>
      </w:r>
      <w:proofErr w:type="gramStart"/>
      <w:r w:rsidRPr="005B332D">
        <w:rPr>
          <w:rStyle w:val="selectable"/>
          <w:rFonts w:ascii="Times New Roman" w:hAnsi="Times New Roman" w:cs="Times New Roman"/>
          <w:color w:val="000000"/>
          <w:sz w:val="24"/>
          <w:szCs w:val="24"/>
        </w:rPr>
        <w:t>sufficient</w:t>
      </w:r>
      <w:proofErr w:type="gramEnd"/>
      <w:r w:rsidRPr="005B332D">
        <w:rPr>
          <w:rStyle w:val="selectable"/>
          <w:rFonts w:ascii="Times New Roman" w:hAnsi="Times New Roman" w:cs="Times New Roman"/>
          <w:color w:val="000000"/>
          <w:sz w:val="24"/>
          <w:szCs w:val="24"/>
        </w:rPr>
        <w:t xml:space="preserve">? Engaging young people in the development of an avatar-based online intervention designed to provide psychosocial support to young people affected by their own or a family member's cancer diagnosis. </w:t>
      </w:r>
      <w:r w:rsidRPr="005B332D">
        <w:rPr>
          <w:rStyle w:val="selectable"/>
          <w:rFonts w:ascii="Times New Roman" w:hAnsi="Times New Roman" w:cs="Times New Roman"/>
          <w:i/>
          <w:iCs/>
          <w:color w:val="000000"/>
          <w:sz w:val="24"/>
          <w:szCs w:val="24"/>
        </w:rPr>
        <w:t>Health Expectations</w:t>
      </w:r>
      <w:r w:rsidRPr="005B332D">
        <w:rPr>
          <w:rStyle w:val="selectable"/>
          <w:rFonts w:ascii="Times New Roman" w:hAnsi="Times New Roman" w:cs="Times New Roman"/>
          <w:color w:val="000000"/>
          <w:sz w:val="24"/>
          <w:szCs w:val="24"/>
        </w:rPr>
        <w:t xml:space="preserve">, </w:t>
      </w:r>
      <w:r w:rsidRPr="005B332D">
        <w:rPr>
          <w:rStyle w:val="selectable"/>
          <w:rFonts w:ascii="Times New Roman" w:hAnsi="Times New Roman" w:cs="Times New Roman"/>
          <w:i/>
          <w:iCs/>
          <w:color w:val="000000"/>
          <w:sz w:val="24"/>
          <w:szCs w:val="24"/>
        </w:rPr>
        <w:t>20</w:t>
      </w:r>
      <w:r w:rsidRPr="005B332D">
        <w:rPr>
          <w:rStyle w:val="selectable"/>
          <w:rFonts w:ascii="Times New Roman" w:hAnsi="Times New Roman" w:cs="Times New Roman"/>
          <w:color w:val="000000"/>
          <w:sz w:val="24"/>
          <w:szCs w:val="24"/>
        </w:rPr>
        <w:t>(3), 459-470. doi: 10.1111/hex.12473</w:t>
      </w:r>
    </w:p>
    <w:p w14:paraId="4234999A"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Tarrier, N., Liversidge, T., &amp; Gregg, L. (2006). The acceptability and preference for the psychological treatment of PTSD. Behaviour Research and Therapy, 44(11), 1643-1656. doi: 10.1016/j.brat.2005.11.012</w:t>
      </w:r>
    </w:p>
    <w:p w14:paraId="76F5766B" w14:textId="77777777" w:rsidR="005B332D"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Ulleberg, P., &amp; Rundmo, T. (2003). Personality, attitudes and risk perception as predictors of risky driving behaviour among young drivers. Safety Science, 41(5), 427-443. doi: 10.1016/s0925-7535(01)00077-7</w:t>
      </w:r>
    </w:p>
    <w:p w14:paraId="41CCE008"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Van Hasselt, V., Romano, S., &amp; Vecchi, G. (2008). Role Playing. Behaviour Modification, 32(2), 248-263. doi: 10.1177/0145445507308281</w:t>
      </w:r>
    </w:p>
    <w:p w14:paraId="6BBB61CE"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Vartanian, L., Trewartha, T., &amp; Vanman, E. (2015). Disgust predicts prejudice and discrimination toward individuals with obesity. Journal of Applied Social Psychology, 46(6), 369-375. doi: 10.1111/jasp.12370</w:t>
      </w:r>
    </w:p>
    <w:p w14:paraId="0EA3FFF2"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Voigt, D., Dillard, J., Braddock, K., Anderson, J., Sopory, P., &amp; Stephenson, M. (2009). BIS/BAS scales and their relationship to risky health behaviours. Personality and Individual Differences, 47(2), 89-93. doi: 10.1016/j.paid.2009.02.003</w:t>
      </w:r>
    </w:p>
    <w:p w14:paraId="449E8DCD"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lastRenderedPageBreak/>
        <w:t>Well-being of future generations. (2015). UK.</w:t>
      </w:r>
    </w:p>
    <w:p w14:paraId="11B2D5BB"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Windsor-Shellard, B. (2016). Adult drinking habits in Great Britain - Office for National Statistics. Retrieved from https://www.ons.gov.uk/peoplepopulationandcommunity/healthandsocialcare/drugusealcoholands</w:t>
      </w:r>
    </w:p>
    <w:p w14:paraId="14BE1BC3" w14:textId="77777777" w:rsidR="005B332D" w:rsidRPr="00841C4C" w:rsidRDefault="005B332D" w:rsidP="00841C4C">
      <w:pPr>
        <w:spacing w:line="480" w:lineRule="auto"/>
        <w:rPr>
          <w:rStyle w:val="SubtleEmphasis"/>
          <w:rFonts w:ascii="Times New Roman" w:hAnsi="Times New Roman" w:cs="Times New Roman"/>
          <w:i w:val="0"/>
          <w:sz w:val="24"/>
          <w:szCs w:val="24"/>
        </w:rPr>
      </w:pPr>
      <w:r w:rsidRPr="00841C4C">
        <w:rPr>
          <w:rStyle w:val="SubtleEmphasis"/>
          <w:rFonts w:ascii="Times New Roman" w:hAnsi="Times New Roman" w:cs="Times New Roman"/>
          <w:i w:val="0"/>
          <w:sz w:val="24"/>
          <w:szCs w:val="24"/>
        </w:rPr>
        <w:t xml:space="preserve">YOUNG, E. (2017). Women know better than men what other women are thinking and feeling. Retrieved from </w:t>
      </w:r>
      <w:hyperlink r:id="rId8" w:history="1">
        <w:r w:rsidRPr="00841C4C">
          <w:rPr>
            <w:rStyle w:val="SubtleEmphasis"/>
            <w:rFonts w:ascii="Times New Roman" w:hAnsi="Times New Roman" w:cs="Times New Roman"/>
            <w:i w:val="0"/>
            <w:sz w:val="24"/>
            <w:szCs w:val="24"/>
          </w:rPr>
          <w:t>https://digest.bps.org.uk/2017/09/18/women-know-better-than-men-what-other-women-are-thinking-and-feeling/</w:t>
        </w:r>
      </w:hyperlink>
    </w:p>
    <w:p w14:paraId="5B69E11D" w14:textId="77777777" w:rsidR="00841C4C" w:rsidRPr="00841C4C" w:rsidRDefault="00841C4C" w:rsidP="00841C4C">
      <w:pPr>
        <w:spacing w:line="480" w:lineRule="auto"/>
        <w:rPr>
          <w:rFonts w:ascii="Times New Roman" w:hAnsi="Times New Roman" w:cs="Times New Roman"/>
        </w:rPr>
      </w:pPr>
    </w:p>
    <w:sectPr w:rsidR="00841C4C" w:rsidRPr="00841C4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2059F8" w14:textId="77777777" w:rsidR="00E54601" w:rsidRDefault="00E54601" w:rsidP="00444215">
      <w:pPr>
        <w:spacing w:after="0" w:line="240" w:lineRule="auto"/>
      </w:pPr>
      <w:r>
        <w:separator/>
      </w:r>
    </w:p>
  </w:endnote>
  <w:endnote w:type="continuationSeparator" w:id="0">
    <w:p w14:paraId="2FDC6CFA" w14:textId="77777777" w:rsidR="00E54601" w:rsidRDefault="00E54601" w:rsidP="004442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A6A66" w14:textId="77777777" w:rsidR="00E54601" w:rsidRDefault="00E54601" w:rsidP="00444215">
      <w:pPr>
        <w:spacing w:after="0" w:line="240" w:lineRule="auto"/>
      </w:pPr>
      <w:r>
        <w:separator/>
      </w:r>
    </w:p>
  </w:footnote>
  <w:footnote w:type="continuationSeparator" w:id="0">
    <w:p w14:paraId="397F3982" w14:textId="77777777" w:rsidR="00E54601" w:rsidRDefault="00E54601" w:rsidP="004442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47057509"/>
      <w:docPartObj>
        <w:docPartGallery w:val="Page Numbers (Top of Page)"/>
        <w:docPartUnique/>
      </w:docPartObj>
    </w:sdtPr>
    <w:sdtEndPr>
      <w:rPr>
        <w:noProof/>
      </w:rPr>
    </w:sdtEndPr>
    <w:sdtContent>
      <w:p w14:paraId="78F75520" w14:textId="1090572E" w:rsidR="00444215" w:rsidRDefault="00444215">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C0EDD9E" w14:textId="77777777" w:rsidR="00444215" w:rsidRDefault="004442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40DD"/>
    <w:rsid w:val="0000420E"/>
    <w:rsid w:val="00154BB5"/>
    <w:rsid w:val="001F5947"/>
    <w:rsid w:val="002E7BFF"/>
    <w:rsid w:val="003236AF"/>
    <w:rsid w:val="00444215"/>
    <w:rsid w:val="004A3304"/>
    <w:rsid w:val="004B7EFE"/>
    <w:rsid w:val="004C03AA"/>
    <w:rsid w:val="00531068"/>
    <w:rsid w:val="005B332D"/>
    <w:rsid w:val="006954AB"/>
    <w:rsid w:val="0079383F"/>
    <w:rsid w:val="007F5870"/>
    <w:rsid w:val="00841C4C"/>
    <w:rsid w:val="00912BC7"/>
    <w:rsid w:val="009A73C7"/>
    <w:rsid w:val="009C2F07"/>
    <w:rsid w:val="009E5681"/>
    <w:rsid w:val="00A31229"/>
    <w:rsid w:val="00B24A16"/>
    <w:rsid w:val="00BE40DD"/>
    <w:rsid w:val="00BF63AD"/>
    <w:rsid w:val="00C951E2"/>
    <w:rsid w:val="00D37B0D"/>
    <w:rsid w:val="00DF0C36"/>
    <w:rsid w:val="00E250A7"/>
    <w:rsid w:val="00E54601"/>
    <w:rsid w:val="00E91914"/>
    <w:rsid w:val="00F24534"/>
    <w:rsid w:val="00F36E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D7880F"/>
  <w15:chartTrackingRefBased/>
  <w15:docId w15:val="{D567EF73-91CF-46B5-8106-923724E686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442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215"/>
  </w:style>
  <w:style w:type="paragraph" w:styleId="Footer">
    <w:name w:val="footer"/>
    <w:basedOn w:val="Normal"/>
    <w:link w:val="FooterChar"/>
    <w:uiPriority w:val="99"/>
    <w:unhideWhenUsed/>
    <w:rsid w:val="004442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215"/>
  </w:style>
  <w:style w:type="character" w:styleId="SubtleEmphasis">
    <w:name w:val="Subtle Emphasis"/>
    <w:basedOn w:val="DefaultParagraphFont"/>
    <w:uiPriority w:val="19"/>
    <w:qFormat/>
    <w:rsid w:val="00841C4C"/>
    <w:rPr>
      <w:i/>
      <w:iCs/>
      <w:color w:val="404040" w:themeColor="text1" w:themeTint="BF"/>
    </w:rPr>
  </w:style>
  <w:style w:type="character" w:customStyle="1" w:styleId="selectable">
    <w:name w:val="selectable"/>
    <w:basedOn w:val="DefaultParagraphFont"/>
    <w:rsid w:val="009C2F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gest.bps.org.uk/2017/09/18/women-know-better-than-men-what-other-women-are-thinking-and-feeling/" TargetMode="External"/><Relationship Id="rId3" Type="http://schemas.openxmlformats.org/officeDocument/2006/relationships/webSettings" Target="webSettings.xml"/><Relationship Id="rId7" Type="http://schemas.openxmlformats.org/officeDocument/2006/relationships/hyperlink" Target="http://www.tandfebooks.com/doi/view/10.4324/97802038784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ntalhealth.org.uk/podcastsand-videos/computerised-cognitivebehavioural-therapy"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8</Pages>
  <Words>1447</Words>
  <Characters>8249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 Davies</dc:creator>
  <cp:keywords/>
  <dc:description/>
  <cp:lastModifiedBy>Kat Davies</cp:lastModifiedBy>
  <cp:revision>7</cp:revision>
  <dcterms:created xsi:type="dcterms:W3CDTF">2018-11-09T21:05:00Z</dcterms:created>
  <dcterms:modified xsi:type="dcterms:W3CDTF">2018-11-09T22:24:00Z</dcterms:modified>
</cp:coreProperties>
</file>