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89DD9" w14:textId="77777777" w:rsidR="00036F02" w:rsidRPr="003227C7" w:rsidRDefault="00036F02" w:rsidP="00036F02">
      <w:pPr>
        <w:spacing w:line="360" w:lineRule="auto"/>
        <w:rPr>
          <w:rFonts w:ascii="Arial" w:hAnsi="Arial" w:cs="Arial"/>
          <w:sz w:val="24"/>
          <w:szCs w:val="24"/>
        </w:rPr>
      </w:pPr>
      <w:r w:rsidRPr="003227C7">
        <w:rPr>
          <w:rFonts w:ascii="Arial" w:hAnsi="Arial" w:cs="Arial"/>
          <w:noProof/>
          <w:sz w:val="24"/>
          <w:szCs w:val="24"/>
          <w:lang w:val="en-US"/>
        </w:rPr>
        <w:drawing>
          <wp:anchor distT="0" distB="0" distL="114300" distR="114300" simplePos="0" relativeHeight="251659264" behindDoc="0" locked="0" layoutInCell="1" allowOverlap="1" wp14:anchorId="22CB7484" wp14:editId="7241C364">
            <wp:simplePos x="0" y="0"/>
            <wp:positionH relativeFrom="margin">
              <wp:align>center</wp:align>
            </wp:positionH>
            <wp:positionV relativeFrom="paragraph">
              <wp:posOffset>120650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4DAC856B" w14:textId="77777777" w:rsidR="00036F02" w:rsidRPr="00A37AEC" w:rsidRDefault="00036F02" w:rsidP="00036F02">
      <w:pPr>
        <w:spacing w:line="360" w:lineRule="auto"/>
        <w:jc w:val="center"/>
        <w:rPr>
          <w:rFonts w:ascii="Arial" w:hAnsi="Arial" w:cs="Arial"/>
          <w:b/>
          <w:bCs/>
          <w:sz w:val="44"/>
          <w:szCs w:val="40"/>
        </w:rPr>
      </w:pPr>
      <w:r w:rsidRPr="00A37AEC">
        <w:rPr>
          <w:rFonts w:ascii="Arial" w:hAnsi="Arial" w:cs="Arial"/>
          <w:b/>
          <w:bCs/>
          <w:sz w:val="44"/>
          <w:szCs w:val="40"/>
        </w:rPr>
        <w:t>Master of Business Administration</w:t>
      </w:r>
    </w:p>
    <w:p w14:paraId="6E872FD0" w14:textId="77777777" w:rsidR="00036F02" w:rsidRPr="003227C7" w:rsidRDefault="00036F02" w:rsidP="00036F02">
      <w:pPr>
        <w:spacing w:line="360" w:lineRule="auto"/>
        <w:jc w:val="center"/>
        <w:rPr>
          <w:rFonts w:ascii="Arial" w:hAnsi="Arial" w:cs="Arial"/>
          <w:b/>
          <w:bCs/>
          <w:sz w:val="28"/>
          <w:szCs w:val="24"/>
        </w:rPr>
      </w:pPr>
      <w:r w:rsidRPr="003227C7">
        <w:rPr>
          <w:rFonts w:ascii="Arial" w:hAnsi="Arial" w:cs="Arial"/>
          <w:b/>
          <w:bCs/>
          <w:sz w:val="28"/>
          <w:szCs w:val="24"/>
        </w:rPr>
        <w:t>Student Name:</w:t>
      </w:r>
      <w:r w:rsidRPr="003227C7">
        <w:rPr>
          <w:rFonts w:ascii="Arial" w:hAnsi="Arial" w:cs="Arial"/>
          <w:sz w:val="28"/>
          <w:szCs w:val="24"/>
        </w:rPr>
        <w:t xml:space="preserve"> </w:t>
      </w:r>
      <w:r w:rsidRPr="00192112">
        <w:rPr>
          <w:rFonts w:ascii="Arial" w:hAnsi="Arial" w:cs="Arial"/>
          <w:b/>
          <w:bCs/>
          <w:sz w:val="28"/>
          <w:szCs w:val="24"/>
        </w:rPr>
        <w:t>Fakrul Islam</w:t>
      </w:r>
    </w:p>
    <w:p w14:paraId="53422583" w14:textId="77777777" w:rsidR="00036F02" w:rsidRPr="003227C7" w:rsidRDefault="00036F02" w:rsidP="00036F02">
      <w:pPr>
        <w:spacing w:line="360" w:lineRule="auto"/>
        <w:jc w:val="center"/>
        <w:rPr>
          <w:rFonts w:ascii="Arial" w:hAnsi="Arial" w:cs="Arial"/>
          <w:sz w:val="28"/>
          <w:szCs w:val="24"/>
        </w:rPr>
      </w:pPr>
      <w:r w:rsidRPr="003227C7">
        <w:rPr>
          <w:rFonts w:ascii="Arial" w:hAnsi="Arial" w:cs="Arial"/>
          <w:b/>
          <w:bCs/>
          <w:sz w:val="28"/>
          <w:szCs w:val="24"/>
        </w:rPr>
        <w:t>Student Number:</w:t>
      </w:r>
      <w:r w:rsidRPr="003227C7">
        <w:rPr>
          <w:rFonts w:ascii="Arial" w:hAnsi="Arial" w:cs="Arial"/>
          <w:sz w:val="28"/>
          <w:szCs w:val="24"/>
        </w:rPr>
        <w:t xml:space="preserve"> </w:t>
      </w:r>
      <w:r w:rsidRPr="00192112">
        <w:rPr>
          <w:rFonts w:ascii="Arial" w:hAnsi="Arial" w:cs="Arial"/>
          <w:b/>
          <w:bCs/>
          <w:sz w:val="28"/>
          <w:szCs w:val="24"/>
        </w:rPr>
        <w:t>2510584</w:t>
      </w:r>
    </w:p>
    <w:p w14:paraId="2BA6029C" w14:textId="77777777" w:rsidR="00036F02" w:rsidRPr="003227C7" w:rsidRDefault="00036F02" w:rsidP="00036F02">
      <w:pPr>
        <w:spacing w:line="360" w:lineRule="auto"/>
        <w:jc w:val="center"/>
        <w:rPr>
          <w:rFonts w:ascii="Arial" w:hAnsi="Arial" w:cs="Arial"/>
          <w:b/>
          <w:bCs/>
          <w:sz w:val="28"/>
          <w:szCs w:val="24"/>
        </w:rPr>
      </w:pPr>
      <w:r w:rsidRPr="003227C7">
        <w:rPr>
          <w:rFonts w:ascii="Arial" w:hAnsi="Arial" w:cs="Arial"/>
          <w:b/>
          <w:bCs/>
          <w:sz w:val="28"/>
          <w:szCs w:val="24"/>
        </w:rPr>
        <w:t>Module code: LCMB702</w:t>
      </w:r>
      <w:r>
        <w:rPr>
          <w:rFonts w:ascii="Arial" w:hAnsi="Arial" w:cs="Arial"/>
          <w:b/>
          <w:bCs/>
          <w:sz w:val="28"/>
          <w:szCs w:val="24"/>
        </w:rPr>
        <w:t>4</w:t>
      </w:r>
    </w:p>
    <w:p w14:paraId="1ABEE35B" w14:textId="77777777" w:rsidR="00036F02" w:rsidRPr="003227C7" w:rsidRDefault="00036F02" w:rsidP="00036F02">
      <w:pPr>
        <w:spacing w:line="360" w:lineRule="auto"/>
        <w:jc w:val="center"/>
        <w:rPr>
          <w:rFonts w:ascii="Arial" w:hAnsi="Arial" w:cs="Arial"/>
          <w:b/>
          <w:bCs/>
          <w:sz w:val="28"/>
          <w:szCs w:val="24"/>
        </w:rPr>
      </w:pPr>
      <w:r w:rsidRPr="003227C7">
        <w:rPr>
          <w:rFonts w:ascii="Arial" w:hAnsi="Arial" w:cs="Arial"/>
          <w:b/>
          <w:bCs/>
          <w:sz w:val="28"/>
          <w:szCs w:val="24"/>
        </w:rPr>
        <w:t>Ass</w:t>
      </w:r>
      <w:r>
        <w:rPr>
          <w:rFonts w:ascii="Arial" w:hAnsi="Arial" w:cs="Arial"/>
          <w:b/>
          <w:bCs/>
          <w:sz w:val="28"/>
          <w:szCs w:val="24"/>
        </w:rPr>
        <w:t>ignment Title</w:t>
      </w:r>
      <w:r w:rsidRPr="003227C7">
        <w:rPr>
          <w:rFonts w:ascii="Arial" w:hAnsi="Arial" w:cs="Arial"/>
          <w:b/>
          <w:bCs/>
          <w:sz w:val="28"/>
          <w:szCs w:val="24"/>
        </w:rPr>
        <w:t xml:space="preserve">: </w:t>
      </w:r>
      <w:r w:rsidRPr="004D15AE">
        <w:rPr>
          <w:rFonts w:ascii="Arial" w:hAnsi="Arial" w:cs="Arial"/>
          <w:b/>
          <w:bCs/>
          <w:sz w:val="28"/>
          <w:szCs w:val="24"/>
        </w:rPr>
        <w:t>Marketing Environment</w:t>
      </w:r>
      <w:r>
        <w:rPr>
          <w:rFonts w:ascii="Arial" w:hAnsi="Arial" w:cs="Arial"/>
          <w:b/>
          <w:bCs/>
          <w:sz w:val="28"/>
          <w:szCs w:val="24"/>
        </w:rPr>
        <w:t xml:space="preserve"> </w:t>
      </w:r>
      <w:r w:rsidRPr="004D15AE">
        <w:rPr>
          <w:rFonts w:ascii="Arial" w:hAnsi="Arial" w:cs="Arial"/>
          <w:b/>
          <w:bCs/>
          <w:sz w:val="28"/>
          <w:szCs w:val="24"/>
        </w:rPr>
        <w:t>Analysis</w:t>
      </w:r>
    </w:p>
    <w:p w14:paraId="2824D4E1" w14:textId="77777777" w:rsidR="00036F02" w:rsidRPr="003227C7" w:rsidRDefault="00036F02" w:rsidP="00036F02">
      <w:pPr>
        <w:spacing w:line="360" w:lineRule="auto"/>
        <w:jc w:val="center"/>
        <w:rPr>
          <w:rFonts w:ascii="Arial" w:hAnsi="Arial" w:cs="Arial"/>
          <w:b/>
          <w:bCs/>
          <w:sz w:val="28"/>
          <w:szCs w:val="24"/>
        </w:rPr>
      </w:pPr>
      <w:r w:rsidRPr="003227C7">
        <w:rPr>
          <w:rFonts w:ascii="Arial" w:hAnsi="Arial" w:cs="Arial"/>
          <w:b/>
          <w:bCs/>
          <w:sz w:val="28"/>
          <w:szCs w:val="24"/>
        </w:rPr>
        <w:t xml:space="preserve">Course Name: </w:t>
      </w:r>
      <w:r w:rsidRPr="00394F77">
        <w:rPr>
          <w:rFonts w:ascii="Arial" w:hAnsi="Arial" w:cs="Arial"/>
          <w:b/>
          <w:bCs/>
          <w:sz w:val="28"/>
          <w:szCs w:val="24"/>
        </w:rPr>
        <w:t>Marketing Management</w:t>
      </w:r>
    </w:p>
    <w:p w14:paraId="280785C5" w14:textId="3460B51B" w:rsidR="00036F02" w:rsidRPr="003227C7" w:rsidRDefault="00036F02" w:rsidP="00036F02">
      <w:pPr>
        <w:spacing w:line="360" w:lineRule="auto"/>
        <w:jc w:val="center"/>
        <w:rPr>
          <w:rFonts w:ascii="Arial" w:hAnsi="Arial" w:cs="Arial"/>
          <w:b/>
          <w:bCs/>
          <w:sz w:val="28"/>
          <w:szCs w:val="24"/>
        </w:rPr>
      </w:pPr>
      <w:r w:rsidRPr="003227C7">
        <w:rPr>
          <w:rFonts w:ascii="Arial" w:hAnsi="Arial" w:cs="Arial"/>
          <w:b/>
          <w:bCs/>
          <w:sz w:val="28"/>
          <w:szCs w:val="24"/>
        </w:rPr>
        <w:t xml:space="preserve">Lecturer: </w:t>
      </w:r>
      <w:r w:rsidR="00CC5A2F" w:rsidRPr="00CC5A2F">
        <w:rPr>
          <w:rFonts w:ascii="Arial" w:hAnsi="Arial" w:cs="Arial"/>
          <w:b/>
          <w:bCs/>
          <w:sz w:val="28"/>
          <w:szCs w:val="24"/>
        </w:rPr>
        <w:t>Dr Laila Maazouz</w:t>
      </w:r>
    </w:p>
    <w:p w14:paraId="43A39BBA" w14:textId="4742850D" w:rsidR="00036F02" w:rsidRPr="003227C7" w:rsidRDefault="00036F02" w:rsidP="00036F02">
      <w:pPr>
        <w:spacing w:line="360" w:lineRule="auto"/>
        <w:jc w:val="center"/>
        <w:rPr>
          <w:rFonts w:ascii="Arial" w:hAnsi="Arial" w:cs="Arial"/>
          <w:b/>
          <w:bCs/>
          <w:i/>
          <w:iCs/>
          <w:sz w:val="28"/>
          <w:szCs w:val="24"/>
        </w:rPr>
      </w:pPr>
      <w:r w:rsidRPr="003227C7">
        <w:rPr>
          <w:rFonts w:ascii="Arial" w:hAnsi="Arial" w:cs="Arial"/>
          <w:b/>
          <w:bCs/>
          <w:sz w:val="28"/>
          <w:szCs w:val="24"/>
        </w:rPr>
        <w:t xml:space="preserve">Word Count: </w:t>
      </w:r>
      <w:r w:rsidR="00CC5A2F">
        <w:rPr>
          <w:rFonts w:ascii="Arial" w:hAnsi="Arial" w:cs="Arial"/>
          <w:b/>
          <w:bCs/>
          <w:sz w:val="28"/>
          <w:szCs w:val="24"/>
        </w:rPr>
        <w:t>25</w:t>
      </w:r>
      <w:r w:rsidR="001266D7">
        <w:rPr>
          <w:rFonts w:ascii="Arial" w:hAnsi="Arial" w:cs="Arial"/>
          <w:b/>
          <w:bCs/>
          <w:sz w:val="28"/>
          <w:szCs w:val="24"/>
        </w:rPr>
        <w:t>60</w:t>
      </w:r>
      <w:bookmarkStart w:id="0" w:name="_GoBack"/>
      <w:bookmarkEnd w:id="0"/>
    </w:p>
    <w:p w14:paraId="7699FB25" w14:textId="7655D6F4" w:rsidR="00036F02" w:rsidRPr="003227C7" w:rsidRDefault="00036F02" w:rsidP="00036F02">
      <w:pPr>
        <w:spacing w:line="360" w:lineRule="auto"/>
        <w:jc w:val="center"/>
        <w:rPr>
          <w:rFonts w:ascii="Arial" w:hAnsi="Arial" w:cs="Arial"/>
          <w:b/>
          <w:bCs/>
          <w:sz w:val="28"/>
          <w:szCs w:val="24"/>
        </w:rPr>
      </w:pPr>
      <w:r w:rsidRPr="003227C7">
        <w:rPr>
          <w:rFonts w:ascii="Arial" w:hAnsi="Arial" w:cs="Arial"/>
          <w:b/>
          <w:bCs/>
          <w:sz w:val="28"/>
          <w:szCs w:val="24"/>
        </w:rPr>
        <w:t xml:space="preserve">Submission Deadline: </w:t>
      </w:r>
      <w:r w:rsidR="001266D7">
        <w:rPr>
          <w:rFonts w:ascii="Arial" w:hAnsi="Arial" w:cs="Arial"/>
          <w:b/>
          <w:bCs/>
          <w:sz w:val="28"/>
          <w:szCs w:val="24"/>
        </w:rPr>
        <w:t>21</w:t>
      </w:r>
      <w:r w:rsidR="001266D7" w:rsidRPr="001266D7">
        <w:rPr>
          <w:rFonts w:ascii="Arial" w:hAnsi="Arial" w:cs="Arial"/>
          <w:b/>
          <w:bCs/>
          <w:sz w:val="28"/>
          <w:szCs w:val="24"/>
          <w:vertAlign w:val="superscript"/>
        </w:rPr>
        <w:t>st</w:t>
      </w:r>
      <w:r w:rsidR="001266D7" w:rsidRPr="001266D7">
        <w:rPr>
          <w:rFonts w:ascii="Arial" w:hAnsi="Arial" w:cs="Arial"/>
          <w:b/>
          <w:bCs/>
          <w:sz w:val="28"/>
          <w:szCs w:val="24"/>
        </w:rPr>
        <w:t xml:space="preserve"> November 2025</w:t>
      </w:r>
    </w:p>
    <w:p w14:paraId="0C44ACB6" w14:textId="77777777" w:rsidR="00036F02" w:rsidRPr="003227C7" w:rsidRDefault="00036F02" w:rsidP="00036F02">
      <w:pPr>
        <w:pStyle w:val="NoSpacing"/>
        <w:spacing w:before="1540" w:after="240" w:line="360" w:lineRule="auto"/>
        <w:jc w:val="center"/>
        <w:rPr>
          <w:rFonts w:ascii="Arial" w:hAnsi="Arial" w:cs="Arial"/>
          <w:sz w:val="24"/>
          <w:szCs w:val="24"/>
          <w:lang w:val="en-GB"/>
        </w:rPr>
      </w:pPr>
      <w:r w:rsidRPr="003227C7">
        <w:rPr>
          <w:rFonts w:ascii="Arial" w:hAnsi="Arial" w:cs="Arial"/>
          <w:sz w:val="24"/>
          <w:szCs w:val="24"/>
          <w:lang w:val="en-GB"/>
        </w:rPr>
        <w:br w:type="page"/>
      </w:r>
    </w:p>
    <w:sdt>
      <w:sdtPr>
        <w:rPr>
          <w:rFonts w:asciiTheme="minorHAnsi" w:eastAsiaTheme="minorHAnsi" w:hAnsiTheme="minorHAnsi" w:cs="Arial"/>
          <w:b w:val="0"/>
          <w:bCs w:val="0"/>
          <w:color w:val="auto"/>
          <w:sz w:val="24"/>
          <w:szCs w:val="24"/>
          <w:lang w:eastAsia="en-US"/>
        </w:rPr>
        <w:id w:val="-798766249"/>
        <w:docPartObj>
          <w:docPartGallery w:val="Table of Contents"/>
          <w:docPartUnique/>
        </w:docPartObj>
      </w:sdtPr>
      <w:sdtEndPr>
        <w:rPr>
          <w:rFonts w:ascii="Arial" w:hAnsi="Arial"/>
          <w:noProof/>
          <w:sz w:val="22"/>
          <w:szCs w:val="22"/>
        </w:rPr>
      </w:sdtEndPr>
      <w:sdtContent>
        <w:p w14:paraId="41A275BE" w14:textId="77777777" w:rsidR="00036F02" w:rsidRPr="003227C7" w:rsidRDefault="00036F02" w:rsidP="00036F02">
          <w:pPr>
            <w:pStyle w:val="TOCHeading"/>
            <w:spacing w:line="360" w:lineRule="auto"/>
            <w:jc w:val="center"/>
            <w:rPr>
              <w:rFonts w:cs="Arial"/>
              <w:b w:val="0"/>
              <w:iCs/>
              <w:color w:val="auto"/>
              <w:sz w:val="32"/>
              <w:szCs w:val="32"/>
              <w:u w:val="single"/>
            </w:rPr>
          </w:pPr>
          <w:r w:rsidRPr="003227C7">
            <w:rPr>
              <w:rFonts w:cs="Arial"/>
              <w:iCs/>
              <w:color w:val="auto"/>
              <w:sz w:val="32"/>
              <w:szCs w:val="32"/>
              <w:u w:val="single"/>
            </w:rPr>
            <w:t>Table of Contents</w:t>
          </w:r>
        </w:p>
        <w:p w14:paraId="3F7DB0AC" w14:textId="65F49597" w:rsidR="007344F0" w:rsidRPr="007344F0" w:rsidRDefault="00036F02">
          <w:pPr>
            <w:pStyle w:val="TOC1"/>
            <w:tabs>
              <w:tab w:val="right" w:leader="dot" w:pos="9016"/>
            </w:tabs>
            <w:rPr>
              <w:rFonts w:ascii="Arial" w:eastAsiaTheme="minorEastAsia" w:hAnsi="Arial" w:cs="Arial"/>
              <w:noProof/>
              <w:kern w:val="2"/>
              <w:sz w:val="24"/>
              <w:szCs w:val="24"/>
              <w:lang w:val="en-US"/>
              <w14:ligatures w14:val="standardContextual"/>
            </w:rPr>
          </w:pPr>
          <w:r w:rsidRPr="007344F0">
            <w:rPr>
              <w:rFonts w:ascii="Arial" w:hAnsi="Arial" w:cs="Arial"/>
              <w:b/>
              <w:bCs/>
              <w:noProof/>
            </w:rPr>
            <w:fldChar w:fldCharType="begin"/>
          </w:r>
          <w:r w:rsidRPr="007344F0">
            <w:rPr>
              <w:rFonts w:ascii="Arial" w:hAnsi="Arial" w:cs="Arial"/>
              <w:b/>
              <w:bCs/>
              <w:noProof/>
            </w:rPr>
            <w:instrText xml:space="preserve"> TOC \o "1-3" \h \z \u </w:instrText>
          </w:r>
          <w:r w:rsidRPr="007344F0">
            <w:rPr>
              <w:rFonts w:ascii="Arial" w:hAnsi="Arial" w:cs="Arial"/>
              <w:b/>
              <w:bCs/>
              <w:noProof/>
            </w:rPr>
            <w:fldChar w:fldCharType="separate"/>
          </w:r>
          <w:hyperlink w:anchor="_Toc214578584" w:history="1">
            <w:r w:rsidR="007344F0" w:rsidRPr="007344F0">
              <w:rPr>
                <w:rStyle w:val="Hyperlink"/>
                <w:rFonts w:ascii="Arial" w:hAnsi="Arial" w:cs="Arial"/>
                <w:noProof/>
              </w:rPr>
              <w:t>Introduction</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_Toc214578584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1</w:t>
            </w:r>
            <w:r w:rsidR="007344F0" w:rsidRPr="007344F0">
              <w:rPr>
                <w:rFonts w:ascii="Arial" w:hAnsi="Arial" w:cs="Arial"/>
                <w:noProof/>
                <w:webHidden/>
              </w:rPr>
              <w:fldChar w:fldCharType="end"/>
            </w:r>
          </w:hyperlink>
        </w:p>
        <w:p w14:paraId="53EF9C03" w14:textId="066CFF1D" w:rsidR="007344F0" w:rsidRPr="007344F0" w:rsidRDefault="00460F9C">
          <w:pPr>
            <w:pStyle w:val="TOC1"/>
            <w:tabs>
              <w:tab w:val="right" w:leader="dot" w:pos="9016"/>
            </w:tabs>
            <w:rPr>
              <w:rFonts w:ascii="Arial" w:eastAsiaTheme="minorEastAsia" w:hAnsi="Arial" w:cs="Arial"/>
              <w:noProof/>
              <w:kern w:val="2"/>
              <w:sz w:val="24"/>
              <w:szCs w:val="24"/>
              <w:lang w:val="en-US"/>
              <w14:ligatures w14:val="standardContextual"/>
            </w:rPr>
          </w:pPr>
          <w:hyperlink w:anchor="_Toc214578585" w:history="1">
            <w:r w:rsidR="007344F0" w:rsidRPr="007344F0">
              <w:rPr>
                <w:rStyle w:val="Hyperlink"/>
                <w:rFonts w:ascii="Arial" w:hAnsi="Arial" w:cs="Arial"/>
                <w:noProof/>
              </w:rPr>
              <w:t>Task-01</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_Toc214578585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2</w:t>
            </w:r>
            <w:r w:rsidR="007344F0" w:rsidRPr="007344F0">
              <w:rPr>
                <w:rFonts w:ascii="Arial" w:hAnsi="Arial" w:cs="Arial"/>
                <w:noProof/>
                <w:webHidden/>
              </w:rPr>
              <w:fldChar w:fldCharType="end"/>
            </w:r>
          </w:hyperlink>
        </w:p>
        <w:p w14:paraId="2A40FDA7" w14:textId="3DDACC62" w:rsidR="007344F0" w:rsidRPr="007344F0" w:rsidRDefault="00460F9C">
          <w:pPr>
            <w:pStyle w:val="TOC2"/>
            <w:tabs>
              <w:tab w:val="right" w:leader="dot" w:pos="9016"/>
            </w:tabs>
            <w:rPr>
              <w:rFonts w:ascii="Arial" w:eastAsiaTheme="minorEastAsia" w:hAnsi="Arial" w:cs="Arial"/>
              <w:noProof/>
              <w:kern w:val="2"/>
              <w:sz w:val="24"/>
              <w:szCs w:val="24"/>
              <w:lang w:val="en-US"/>
              <w14:ligatures w14:val="standardContextual"/>
            </w:rPr>
          </w:pPr>
          <w:hyperlink w:anchor="_Toc214578586" w:history="1">
            <w:r w:rsidR="007344F0" w:rsidRPr="007344F0">
              <w:rPr>
                <w:rStyle w:val="Hyperlink"/>
                <w:rFonts w:ascii="Arial" w:hAnsi="Arial" w:cs="Arial"/>
                <w:noProof/>
              </w:rPr>
              <w:t>1.1 Strategic Mandate: Managing the Macro Marketing Environment (PESTEL) to Competitive Advantage:</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_Toc214578586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2</w:t>
            </w:r>
            <w:r w:rsidR="007344F0" w:rsidRPr="007344F0">
              <w:rPr>
                <w:rFonts w:ascii="Arial" w:hAnsi="Arial" w:cs="Arial"/>
                <w:noProof/>
                <w:webHidden/>
              </w:rPr>
              <w:fldChar w:fldCharType="end"/>
            </w:r>
          </w:hyperlink>
        </w:p>
        <w:p w14:paraId="1A4FABFD" w14:textId="552E9080" w:rsidR="007344F0" w:rsidRPr="007344F0" w:rsidRDefault="00460F9C">
          <w:pPr>
            <w:pStyle w:val="TOC3"/>
            <w:tabs>
              <w:tab w:val="right" w:leader="dot" w:pos="9016"/>
            </w:tabs>
            <w:rPr>
              <w:rFonts w:ascii="Arial" w:eastAsiaTheme="minorEastAsia" w:hAnsi="Arial" w:cs="Arial"/>
              <w:noProof/>
              <w:kern w:val="2"/>
              <w:sz w:val="24"/>
              <w:szCs w:val="24"/>
              <w:lang w:val="en-US"/>
              <w14:ligatures w14:val="standardContextual"/>
            </w:rPr>
          </w:pPr>
          <w:hyperlink w:anchor="_Toc214578587" w:history="1">
            <w:r w:rsidR="007344F0" w:rsidRPr="007344F0">
              <w:rPr>
                <w:rStyle w:val="Hyperlink"/>
                <w:rFonts w:ascii="Arial" w:hAnsi="Arial" w:cs="Arial"/>
                <w:noProof/>
                <w:lang w:val="en-US"/>
              </w:rPr>
              <w:t>1.1.1 Critical Analysis of Key Macro-Environmental Forces</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_Toc214578587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2</w:t>
            </w:r>
            <w:r w:rsidR="007344F0" w:rsidRPr="007344F0">
              <w:rPr>
                <w:rFonts w:ascii="Arial" w:hAnsi="Arial" w:cs="Arial"/>
                <w:noProof/>
                <w:webHidden/>
              </w:rPr>
              <w:fldChar w:fldCharType="end"/>
            </w:r>
          </w:hyperlink>
        </w:p>
        <w:p w14:paraId="7D85C4D9" w14:textId="6BFC2E8C" w:rsidR="007344F0" w:rsidRPr="007344F0" w:rsidRDefault="00460F9C">
          <w:pPr>
            <w:pStyle w:val="TOC2"/>
            <w:tabs>
              <w:tab w:val="right" w:leader="dot" w:pos="9016"/>
            </w:tabs>
            <w:rPr>
              <w:rFonts w:ascii="Arial" w:eastAsiaTheme="minorEastAsia" w:hAnsi="Arial" w:cs="Arial"/>
              <w:noProof/>
              <w:kern w:val="2"/>
              <w:sz w:val="24"/>
              <w:szCs w:val="24"/>
              <w:lang w:val="en-US"/>
              <w14:ligatures w14:val="standardContextual"/>
            </w:rPr>
          </w:pPr>
          <w:hyperlink w:anchor="_Toc214578588" w:history="1">
            <w:r w:rsidR="007344F0" w:rsidRPr="007344F0">
              <w:rPr>
                <w:rStyle w:val="Hyperlink"/>
                <w:rFonts w:ascii="Arial" w:hAnsi="Arial" w:cs="Arial"/>
                <w:noProof/>
              </w:rPr>
              <w:t>1.2 Social &amp; Technological Actors: How Changing Social Values and Mobile AI Shape Opportunities &amp; Threats for Apple (Pioneer) and Xiaomi (Follower):</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_Toc214578588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4</w:t>
            </w:r>
            <w:r w:rsidR="007344F0" w:rsidRPr="007344F0">
              <w:rPr>
                <w:rFonts w:ascii="Arial" w:hAnsi="Arial" w:cs="Arial"/>
                <w:noProof/>
                <w:webHidden/>
              </w:rPr>
              <w:fldChar w:fldCharType="end"/>
            </w:r>
          </w:hyperlink>
        </w:p>
        <w:p w14:paraId="0FDDC507" w14:textId="47A8A6B3" w:rsidR="007344F0" w:rsidRPr="007344F0" w:rsidRDefault="00460F9C">
          <w:pPr>
            <w:pStyle w:val="TOC1"/>
            <w:tabs>
              <w:tab w:val="right" w:leader="dot" w:pos="9016"/>
            </w:tabs>
            <w:rPr>
              <w:rFonts w:ascii="Arial" w:eastAsiaTheme="minorEastAsia" w:hAnsi="Arial" w:cs="Arial"/>
              <w:noProof/>
              <w:kern w:val="2"/>
              <w:sz w:val="24"/>
              <w:szCs w:val="24"/>
              <w:lang w:val="en-US"/>
              <w14:ligatures w14:val="standardContextual"/>
            </w:rPr>
          </w:pPr>
          <w:hyperlink w:anchor="_Toc214578589" w:history="1">
            <w:r w:rsidR="007344F0" w:rsidRPr="007344F0">
              <w:rPr>
                <w:rStyle w:val="Hyperlink"/>
                <w:rFonts w:ascii="Arial" w:hAnsi="Arial" w:cs="Arial"/>
                <w:noProof/>
                <w:lang w:val="en-US"/>
              </w:rPr>
              <w:t>Task 2</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_Toc214578589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8</w:t>
            </w:r>
            <w:r w:rsidR="007344F0" w:rsidRPr="007344F0">
              <w:rPr>
                <w:rFonts w:ascii="Arial" w:hAnsi="Arial" w:cs="Arial"/>
                <w:noProof/>
                <w:webHidden/>
              </w:rPr>
              <w:fldChar w:fldCharType="end"/>
            </w:r>
          </w:hyperlink>
        </w:p>
        <w:p w14:paraId="49DC4B53" w14:textId="7F22E545" w:rsidR="007344F0" w:rsidRPr="007344F0" w:rsidRDefault="00460F9C">
          <w:pPr>
            <w:pStyle w:val="TOC2"/>
            <w:tabs>
              <w:tab w:val="right" w:leader="dot" w:pos="9016"/>
            </w:tabs>
            <w:rPr>
              <w:rFonts w:ascii="Arial" w:eastAsiaTheme="minorEastAsia" w:hAnsi="Arial" w:cs="Arial"/>
              <w:noProof/>
              <w:kern w:val="2"/>
              <w:sz w:val="24"/>
              <w:szCs w:val="24"/>
              <w:lang w:val="en-US"/>
              <w14:ligatures w14:val="standardContextual"/>
            </w:rPr>
          </w:pPr>
          <w:hyperlink w:anchor="_Toc214578590" w:history="1">
            <w:r w:rsidR="007344F0" w:rsidRPr="007344F0">
              <w:rPr>
                <w:rStyle w:val="Hyperlink"/>
                <w:rFonts w:ascii="Arial" w:hAnsi="Arial" w:cs="Arial"/>
                <w:noProof/>
                <w:lang w:val="en-US"/>
              </w:rPr>
              <w:t>2.1 Strategic Responses to Macro-Environmental Forces</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_Toc214578590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8</w:t>
            </w:r>
            <w:r w:rsidR="007344F0" w:rsidRPr="007344F0">
              <w:rPr>
                <w:rFonts w:ascii="Arial" w:hAnsi="Arial" w:cs="Arial"/>
                <w:noProof/>
                <w:webHidden/>
              </w:rPr>
              <w:fldChar w:fldCharType="end"/>
            </w:r>
          </w:hyperlink>
        </w:p>
        <w:p w14:paraId="23428852" w14:textId="593D78E2" w:rsidR="007344F0" w:rsidRPr="007344F0" w:rsidRDefault="00460F9C">
          <w:pPr>
            <w:pStyle w:val="TOC3"/>
            <w:tabs>
              <w:tab w:val="right" w:leader="dot" w:pos="9016"/>
            </w:tabs>
            <w:rPr>
              <w:rFonts w:ascii="Arial" w:eastAsiaTheme="minorEastAsia" w:hAnsi="Arial" w:cs="Arial"/>
              <w:noProof/>
              <w:kern w:val="2"/>
              <w:sz w:val="24"/>
              <w:szCs w:val="24"/>
              <w:lang w:val="en-US"/>
              <w14:ligatures w14:val="standardContextual"/>
            </w:rPr>
          </w:pPr>
          <w:hyperlink w:anchor="_Toc214578591" w:history="1">
            <w:r w:rsidR="007344F0" w:rsidRPr="007344F0">
              <w:rPr>
                <w:rStyle w:val="Hyperlink"/>
                <w:rFonts w:ascii="Arial" w:hAnsi="Arial" w:cs="Arial"/>
                <w:noProof/>
                <w:lang w:val="en-US"/>
              </w:rPr>
              <w:t>2.1.1 Strategic Responses of Apple Inc. Organisations.</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_Toc214578591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8</w:t>
            </w:r>
            <w:r w:rsidR="007344F0" w:rsidRPr="007344F0">
              <w:rPr>
                <w:rFonts w:ascii="Arial" w:hAnsi="Arial" w:cs="Arial"/>
                <w:noProof/>
                <w:webHidden/>
              </w:rPr>
              <w:fldChar w:fldCharType="end"/>
            </w:r>
          </w:hyperlink>
        </w:p>
        <w:p w14:paraId="4A746B1C" w14:textId="6989F00B" w:rsidR="007344F0" w:rsidRPr="007344F0" w:rsidRDefault="00460F9C">
          <w:pPr>
            <w:pStyle w:val="TOC3"/>
            <w:tabs>
              <w:tab w:val="right" w:leader="dot" w:pos="9016"/>
            </w:tabs>
            <w:rPr>
              <w:rFonts w:ascii="Arial" w:eastAsiaTheme="minorEastAsia" w:hAnsi="Arial" w:cs="Arial"/>
              <w:noProof/>
              <w:kern w:val="2"/>
              <w:sz w:val="24"/>
              <w:szCs w:val="24"/>
              <w:lang w:val="en-US"/>
              <w14:ligatures w14:val="standardContextual"/>
            </w:rPr>
          </w:pPr>
          <w:hyperlink w:anchor="_Toc214578592" w:history="1">
            <w:r w:rsidR="007344F0" w:rsidRPr="007344F0">
              <w:rPr>
                <w:rStyle w:val="Hyperlink"/>
                <w:rFonts w:ascii="Arial" w:hAnsi="Arial" w:cs="Arial"/>
                <w:noProof/>
                <w:lang w:val="en-US"/>
              </w:rPr>
              <w:t>2.1.2 Strategic Responses of follower Xiaomi Organisations.</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_Toc214578592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10</w:t>
            </w:r>
            <w:r w:rsidR="007344F0" w:rsidRPr="007344F0">
              <w:rPr>
                <w:rFonts w:ascii="Arial" w:hAnsi="Arial" w:cs="Arial"/>
                <w:noProof/>
                <w:webHidden/>
              </w:rPr>
              <w:fldChar w:fldCharType="end"/>
            </w:r>
          </w:hyperlink>
        </w:p>
        <w:p w14:paraId="6F3DE949" w14:textId="5B8EA1FB" w:rsidR="007344F0" w:rsidRPr="007344F0" w:rsidRDefault="00460F9C">
          <w:pPr>
            <w:pStyle w:val="TOC1"/>
            <w:tabs>
              <w:tab w:val="right" w:leader="dot" w:pos="9016"/>
            </w:tabs>
            <w:rPr>
              <w:rFonts w:ascii="Arial" w:eastAsiaTheme="minorEastAsia" w:hAnsi="Arial" w:cs="Arial"/>
              <w:noProof/>
              <w:kern w:val="2"/>
              <w:sz w:val="24"/>
              <w:szCs w:val="24"/>
              <w:lang w:val="en-US"/>
              <w14:ligatures w14:val="standardContextual"/>
            </w:rPr>
          </w:pPr>
          <w:hyperlink w:anchor="_Toc214578593" w:history="1">
            <w:r w:rsidR="007344F0" w:rsidRPr="007344F0">
              <w:rPr>
                <w:rStyle w:val="Hyperlink"/>
                <w:rFonts w:ascii="Arial" w:hAnsi="Arial" w:cs="Arial"/>
                <w:noProof/>
              </w:rPr>
              <w:t>Conclusion</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_Toc214578593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13</w:t>
            </w:r>
            <w:r w:rsidR="007344F0" w:rsidRPr="007344F0">
              <w:rPr>
                <w:rFonts w:ascii="Arial" w:hAnsi="Arial" w:cs="Arial"/>
                <w:noProof/>
                <w:webHidden/>
              </w:rPr>
              <w:fldChar w:fldCharType="end"/>
            </w:r>
          </w:hyperlink>
        </w:p>
        <w:p w14:paraId="352B86BD" w14:textId="48FD5AD1" w:rsidR="007344F0" w:rsidRPr="007344F0" w:rsidRDefault="00460F9C">
          <w:pPr>
            <w:pStyle w:val="TOC1"/>
            <w:tabs>
              <w:tab w:val="right" w:leader="dot" w:pos="9016"/>
            </w:tabs>
            <w:rPr>
              <w:rFonts w:ascii="Arial" w:eastAsiaTheme="minorEastAsia" w:hAnsi="Arial" w:cs="Arial"/>
              <w:noProof/>
              <w:kern w:val="2"/>
              <w:sz w:val="24"/>
              <w:szCs w:val="24"/>
              <w:lang w:val="en-US"/>
              <w14:ligatures w14:val="standardContextual"/>
            </w:rPr>
          </w:pPr>
          <w:hyperlink w:anchor="_Toc214578594" w:history="1">
            <w:r w:rsidR="007344F0" w:rsidRPr="007344F0">
              <w:rPr>
                <w:rStyle w:val="Hyperlink"/>
                <w:rFonts w:ascii="Arial" w:hAnsi="Arial" w:cs="Arial"/>
                <w:noProof/>
              </w:rPr>
              <w:t>Reference</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_Toc214578594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14</w:t>
            </w:r>
            <w:r w:rsidR="007344F0" w:rsidRPr="007344F0">
              <w:rPr>
                <w:rFonts w:ascii="Arial" w:hAnsi="Arial" w:cs="Arial"/>
                <w:noProof/>
                <w:webHidden/>
              </w:rPr>
              <w:fldChar w:fldCharType="end"/>
            </w:r>
          </w:hyperlink>
        </w:p>
        <w:p w14:paraId="5A94C432" w14:textId="61DCC5D1" w:rsidR="00036F02" w:rsidRPr="00812AA0" w:rsidRDefault="00036F02" w:rsidP="00036F02">
          <w:pPr>
            <w:spacing w:line="360" w:lineRule="auto"/>
            <w:rPr>
              <w:rFonts w:ascii="Arial" w:hAnsi="Arial" w:cs="Arial"/>
            </w:rPr>
          </w:pPr>
          <w:r w:rsidRPr="007344F0">
            <w:rPr>
              <w:rFonts w:ascii="Arial" w:hAnsi="Arial" w:cs="Arial"/>
              <w:b/>
              <w:bCs/>
              <w:noProof/>
            </w:rPr>
            <w:fldChar w:fldCharType="end"/>
          </w:r>
        </w:p>
      </w:sdtContent>
    </w:sdt>
    <w:p w14:paraId="12D29B8E" w14:textId="77777777" w:rsidR="007344F0" w:rsidRDefault="00036F02" w:rsidP="000B0F80">
      <w:pPr>
        <w:spacing w:line="360" w:lineRule="auto"/>
        <w:jc w:val="center"/>
        <w:rPr>
          <w:noProof/>
        </w:rPr>
      </w:pPr>
      <w:r w:rsidRPr="000B0F80">
        <w:rPr>
          <w:rFonts w:ascii="Arial" w:hAnsi="Arial" w:cs="Arial"/>
          <w:b/>
          <w:bCs/>
          <w:sz w:val="24"/>
          <w:szCs w:val="24"/>
          <w:u w:val="single"/>
        </w:rPr>
        <w:t xml:space="preserve">Contents of </w:t>
      </w:r>
      <w:r w:rsidR="000B0F80" w:rsidRPr="000B0F80">
        <w:rPr>
          <w:rFonts w:ascii="Arial" w:hAnsi="Arial" w:cs="Arial"/>
          <w:b/>
          <w:bCs/>
          <w:sz w:val="24"/>
          <w:szCs w:val="24"/>
          <w:u w:val="single"/>
        </w:rPr>
        <w:t>Table</w:t>
      </w:r>
      <w:r w:rsidR="000B0F80" w:rsidRPr="000B0F80">
        <w:rPr>
          <w:rFonts w:ascii="Arial" w:hAnsi="Arial" w:cs="Arial"/>
          <w:b/>
          <w:bCs/>
          <w:sz w:val="24"/>
          <w:szCs w:val="24"/>
          <w:u w:val="single"/>
        </w:rPr>
        <w:fldChar w:fldCharType="begin"/>
      </w:r>
      <w:r w:rsidR="000B0F80" w:rsidRPr="000B0F80">
        <w:rPr>
          <w:rFonts w:ascii="Arial" w:hAnsi="Arial" w:cs="Arial"/>
          <w:b/>
          <w:bCs/>
          <w:sz w:val="24"/>
          <w:szCs w:val="24"/>
          <w:u w:val="single"/>
        </w:rPr>
        <w:instrText xml:space="preserve"> TOC \h \z \c "Table" </w:instrText>
      </w:r>
      <w:r w:rsidR="000B0F80" w:rsidRPr="000B0F80">
        <w:rPr>
          <w:rFonts w:ascii="Arial" w:hAnsi="Arial" w:cs="Arial"/>
          <w:b/>
          <w:bCs/>
          <w:sz w:val="24"/>
          <w:szCs w:val="24"/>
          <w:u w:val="single"/>
        </w:rPr>
        <w:fldChar w:fldCharType="separate"/>
      </w:r>
    </w:p>
    <w:p w14:paraId="34A6577A" w14:textId="1C48BA57" w:rsidR="007344F0" w:rsidRPr="007344F0" w:rsidRDefault="00460F9C">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4578577" w:history="1">
        <w:r w:rsidR="007344F0" w:rsidRPr="007344F0">
          <w:rPr>
            <w:rStyle w:val="Hyperlink"/>
            <w:rFonts w:ascii="Arial" w:hAnsi="Arial" w:cs="Arial"/>
            <w:noProof/>
          </w:rPr>
          <w:t>Table 1: Sociocultural Actor</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_Toc214578577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6</w:t>
        </w:r>
        <w:r w:rsidR="007344F0" w:rsidRPr="007344F0">
          <w:rPr>
            <w:rFonts w:ascii="Arial" w:hAnsi="Arial" w:cs="Arial"/>
            <w:noProof/>
            <w:webHidden/>
          </w:rPr>
          <w:fldChar w:fldCharType="end"/>
        </w:r>
      </w:hyperlink>
    </w:p>
    <w:p w14:paraId="6C76A255" w14:textId="76BA928F" w:rsidR="007344F0" w:rsidRPr="007344F0" w:rsidRDefault="00460F9C">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4578578" w:history="1">
        <w:r w:rsidR="007344F0" w:rsidRPr="007344F0">
          <w:rPr>
            <w:rStyle w:val="Hyperlink"/>
            <w:rFonts w:ascii="Arial" w:hAnsi="Arial" w:cs="Arial"/>
            <w:noProof/>
          </w:rPr>
          <w:t>Table 2: Technological Actor</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_Toc214578578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7</w:t>
        </w:r>
        <w:r w:rsidR="007344F0" w:rsidRPr="007344F0">
          <w:rPr>
            <w:rFonts w:ascii="Arial" w:hAnsi="Arial" w:cs="Arial"/>
            <w:noProof/>
            <w:webHidden/>
          </w:rPr>
          <w:fldChar w:fldCharType="end"/>
        </w:r>
      </w:hyperlink>
    </w:p>
    <w:p w14:paraId="1E3E8DDE" w14:textId="75663666" w:rsidR="007344F0" w:rsidRPr="007344F0" w:rsidRDefault="00460F9C">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4578579" w:history="1">
        <w:r w:rsidR="007344F0" w:rsidRPr="007344F0">
          <w:rPr>
            <w:rStyle w:val="Hyperlink"/>
            <w:rFonts w:ascii="Arial" w:hAnsi="Arial" w:cs="Arial"/>
            <w:noProof/>
          </w:rPr>
          <w:t>Table 3: Strategic Responses</w:t>
        </w:r>
        <w:r w:rsidR="007344F0" w:rsidRPr="007344F0">
          <w:rPr>
            <w:rFonts w:ascii="Arial" w:hAnsi="Arial" w:cs="Arial"/>
            <w:noProof/>
            <w:webHidden/>
          </w:rPr>
          <w:tab/>
        </w:r>
        <w:r w:rsidR="007344F0" w:rsidRPr="007344F0">
          <w:rPr>
            <w:rFonts w:ascii="Arial" w:hAnsi="Arial" w:cs="Arial"/>
            <w:noProof/>
            <w:webHidden/>
          </w:rPr>
          <w:fldChar w:fldCharType="begin"/>
        </w:r>
        <w:r w:rsidR="007344F0" w:rsidRPr="007344F0">
          <w:rPr>
            <w:rFonts w:ascii="Arial" w:hAnsi="Arial" w:cs="Arial"/>
            <w:noProof/>
            <w:webHidden/>
          </w:rPr>
          <w:instrText xml:space="preserve"> PAGEREF _Toc214578579 \h </w:instrText>
        </w:r>
        <w:r w:rsidR="007344F0" w:rsidRPr="007344F0">
          <w:rPr>
            <w:rFonts w:ascii="Arial" w:hAnsi="Arial" w:cs="Arial"/>
            <w:noProof/>
            <w:webHidden/>
          </w:rPr>
        </w:r>
        <w:r w:rsidR="007344F0" w:rsidRPr="007344F0">
          <w:rPr>
            <w:rFonts w:ascii="Arial" w:hAnsi="Arial" w:cs="Arial"/>
            <w:noProof/>
            <w:webHidden/>
          </w:rPr>
          <w:fldChar w:fldCharType="separate"/>
        </w:r>
        <w:r w:rsidR="007344F0" w:rsidRPr="007344F0">
          <w:rPr>
            <w:rFonts w:ascii="Arial" w:hAnsi="Arial" w:cs="Arial"/>
            <w:noProof/>
            <w:webHidden/>
          </w:rPr>
          <w:t>12</w:t>
        </w:r>
        <w:r w:rsidR="007344F0" w:rsidRPr="007344F0">
          <w:rPr>
            <w:rFonts w:ascii="Arial" w:hAnsi="Arial" w:cs="Arial"/>
            <w:noProof/>
            <w:webHidden/>
          </w:rPr>
          <w:fldChar w:fldCharType="end"/>
        </w:r>
      </w:hyperlink>
    </w:p>
    <w:p w14:paraId="01403E7E" w14:textId="77777777" w:rsidR="00036F02" w:rsidRPr="000B0F80" w:rsidRDefault="000B0F80" w:rsidP="000B0F80">
      <w:pPr>
        <w:spacing w:line="360" w:lineRule="auto"/>
        <w:jc w:val="center"/>
        <w:rPr>
          <w:rFonts w:ascii="Arial" w:hAnsi="Arial" w:cs="Arial"/>
          <w:b/>
          <w:bCs/>
          <w:sz w:val="24"/>
          <w:szCs w:val="24"/>
          <w:u w:val="single"/>
        </w:rPr>
      </w:pPr>
      <w:r w:rsidRPr="000B0F80">
        <w:rPr>
          <w:rFonts w:ascii="Arial" w:hAnsi="Arial" w:cs="Arial"/>
          <w:b/>
          <w:bCs/>
          <w:sz w:val="24"/>
          <w:szCs w:val="24"/>
          <w:u w:val="single"/>
        </w:rPr>
        <w:fldChar w:fldCharType="end"/>
      </w:r>
    </w:p>
    <w:p w14:paraId="4FD8E3F3" w14:textId="2C7C9AB7" w:rsidR="000B0F80" w:rsidRPr="000B0F80" w:rsidRDefault="000B0F80" w:rsidP="000B0F80">
      <w:pPr>
        <w:jc w:val="center"/>
        <w:rPr>
          <w:rFonts w:ascii="Arial" w:hAnsi="Arial" w:cs="Arial"/>
          <w:b/>
          <w:bCs/>
          <w:sz w:val="24"/>
          <w:szCs w:val="24"/>
          <w:u w:val="single"/>
        </w:rPr>
      </w:pPr>
      <w:r w:rsidRPr="000B0F80">
        <w:rPr>
          <w:rFonts w:ascii="Arial" w:hAnsi="Arial" w:cs="Arial"/>
          <w:b/>
          <w:bCs/>
          <w:sz w:val="24"/>
          <w:szCs w:val="24"/>
          <w:u w:val="single"/>
        </w:rPr>
        <w:t>Contents of Figure</w:t>
      </w:r>
    </w:p>
    <w:p w14:paraId="13737D3D" w14:textId="4533CA43" w:rsidR="007344F0" w:rsidRDefault="000B0F80">
      <w:pPr>
        <w:pStyle w:val="TableofFigures"/>
        <w:tabs>
          <w:tab w:val="right" w:leader="dot" w:pos="9016"/>
        </w:tabs>
        <w:rPr>
          <w:rFonts w:eastAsiaTheme="minorEastAsia"/>
          <w:noProof/>
          <w:kern w:val="2"/>
          <w:sz w:val="24"/>
          <w:szCs w:val="24"/>
          <w:lang w:val="en-US"/>
          <w14:ligatures w14:val="standardContextual"/>
        </w:rPr>
      </w:pPr>
      <w:r w:rsidRPr="000B0F80">
        <w:rPr>
          <w:rFonts w:ascii="Arial" w:hAnsi="Arial" w:cs="Arial"/>
          <w:b/>
          <w:bCs/>
          <w:sz w:val="24"/>
          <w:szCs w:val="24"/>
          <w:u w:val="single"/>
        </w:rPr>
        <w:fldChar w:fldCharType="begin"/>
      </w:r>
      <w:r w:rsidRPr="000B0F80">
        <w:rPr>
          <w:rFonts w:ascii="Arial" w:hAnsi="Arial" w:cs="Arial"/>
          <w:b/>
          <w:bCs/>
          <w:sz w:val="24"/>
          <w:szCs w:val="24"/>
          <w:u w:val="single"/>
        </w:rPr>
        <w:instrText xml:space="preserve"> TOC \h \z \c "Figure" </w:instrText>
      </w:r>
      <w:r w:rsidRPr="000B0F80">
        <w:rPr>
          <w:rFonts w:ascii="Arial" w:hAnsi="Arial" w:cs="Arial"/>
          <w:b/>
          <w:bCs/>
          <w:sz w:val="24"/>
          <w:szCs w:val="24"/>
          <w:u w:val="single"/>
        </w:rPr>
        <w:fldChar w:fldCharType="separate"/>
      </w:r>
      <w:hyperlink w:anchor="_Toc214578562" w:history="1">
        <w:r w:rsidR="007344F0" w:rsidRPr="007344F0">
          <w:rPr>
            <w:rStyle w:val="Hyperlink"/>
            <w:rFonts w:ascii="Arial" w:hAnsi="Arial" w:cs="Arial"/>
            <w:noProof/>
          </w:rPr>
          <w:t>Figure 1: PEST analysis template</w:t>
        </w:r>
        <w:r w:rsidR="007344F0" w:rsidRPr="007344F0">
          <w:rPr>
            <w:rFonts w:ascii="Arial" w:hAnsi="Arial" w:cs="Arial"/>
            <w:noProof/>
            <w:webHidden/>
          </w:rPr>
          <w:tab/>
        </w:r>
        <w:r w:rsidR="007344F0">
          <w:rPr>
            <w:noProof/>
            <w:webHidden/>
          </w:rPr>
          <w:fldChar w:fldCharType="begin"/>
        </w:r>
        <w:r w:rsidR="007344F0">
          <w:rPr>
            <w:noProof/>
            <w:webHidden/>
          </w:rPr>
          <w:instrText xml:space="preserve"> PAGEREF _Toc214578562 \h </w:instrText>
        </w:r>
        <w:r w:rsidR="007344F0">
          <w:rPr>
            <w:noProof/>
            <w:webHidden/>
          </w:rPr>
        </w:r>
        <w:r w:rsidR="007344F0">
          <w:rPr>
            <w:noProof/>
            <w:webHidden/>
          </w:rPr>
          <w:fldChar w:fldCharType="separate"/>
        </w:r>
        <w:r w:rsidR="007344F0">
          <w:rPr>
            <w:noProof/>
            <w:webHidden/>
          </w:rPr>
          <w:t>2</w:t>
        </w:r>
        <w:r w:rsidR="007344F0">
          <w:rPr>
            <w:noProof/>
            <w:webHidden/>
          </w:rPr>
          <w:fldChar w:fldCharType="end"/>
        </w:r>
      </w:hyperlink>
    </w:p>
    <w:p w14:paraId="214531C0" w14:textId="509844C2" w:rsidR="000B0F80" w:rsidRDefault="000B0F80" w:rsidP="000B0F80">
      <w:pPr>
        <w:rPr>
          <w:rFonts w:ascii="Arial" w:hAnsi="Arial" w:cs="Arial"/>
          <w:b/>
          <w:bCs/>
          <w:sz w:val="24"/>
          <w:szCs w:val="24"/>
          <w:u w:val="single"/>
        </w:rPr>
      </w:pPr>
      <w:r w:rsidRPr="000B0F80">
        <w:rPr>
          <w:rFonts w:ascii="Arial" w:hAnsi="Arial" w:cs="Arial"/>
          <w:b/>
          <w:bCs/>
          <w:sz w:val="24"/>
          <w:szCs w:val="24"/>
          <w:u w:val="single"/>
        </w:rPr>
        <w:fldChar w:fldCharType="end"/>
      </w:r>
    </w:p>
    <w:p w14:paraId="1C8B51E8" w14:textId="77777777" w:rsidR="000B0F80" w:rsidRDefault="000B0F80" w:rsidP="000B0F80">
      <w:pPr>
        <w:rPr>
          <w:rFonts w:ascii="Arial" w:hAnsi="Arial" w:cs="Arial"/>
          <w:b/>
          <w:bCs/>
          <w:sz w:val="24"/>
          <w:szCs w:val="24"/>
          <w:u w:val="single"/>
        </w:rPr>
      </w:pPr>
    </w:p>
    <w:p w14:paraId="64BA38D3" w14:textId="38E40E47" w:rsidR="000B0F80" w:rsidRPr="000B0F80" w:rsidRDefault="000B0F80" w:rsidP="000B0F80">
      <w:pPr>
        <w:rPr>
          <w:rFonts w:ascii="Arial" w:hAnsi="Arial" w:cs="Arial"/>
          <w:sz w:val="24"/>
          <w:szCs w:val="24"/>
        </w:rPr>
        <w:sectPr w:rsidR="000B0F80" w:rsidRPr="000B0F80" w:rsidSect="00036F02">
          <w:pgSz w:w="11906" w:h="16838"/>
          <w:pgMar w:top="1440" w:right="1440" w:bottom="1440" w:left="1440" w:header="720" w:footer="720" w:gutter="0"/>
          <w:pgNumType w:start="0"/>
          <w:cols w:space="720"/>
          <w:titlePg/>
          <w:docGrid w:linePitch="299"/>
        </w:sectPr>
      </w:pPr>
    </w:p>
    <w:p w14:paraId="5722EF70" w14:textId="77777777" w:rsidR="00036F02" w:rsidRPr="003227C7" w:rsidRDefault="00036F02" w:rsidP="00036F02">
      <w:pPr>
        <w:pStyle w:val="Heading1"/>
        <w:spacing w:line="360" w:lineRule="auto"/>
      </w:pPr>
      <w:bookmarkStart w:id="1" w:name="_Toc214578584"/>
      <w:r w:rsidRPr="003227C7">
        <w:lastRenderedPageBreak/>
        <w:t>Introduction</w:t>
      </w:r>
      <w:bookmarkEnd w:id="1"/>
    </w:p>
    <w:p w14:paraId="72486E08" w14:textId="77777777" w:rsidR="00036F02" w:rsidRPr="00C04215" w:rsidRDefault="00036F02" w:rsidP="00036F02">
      <w:pPr>
        <w:spacing w:line="360" w:lineRule="auto"/>
        <w:jc w:val="both"/>
        <w:rPr>
          <w:rFonts w:ascii="Arial" w:hAnsi="Arial" w:cs="Arial"/>
          <w:sz w:val="24"/>
          <w:szCs w:val="24"/>
          <w:lang w:val="en-US"/>
        </w:rPr>
      </w:pPr>
      <w:r w:rsidRPr="00D5096C">
        <w:rPr>
          <w:rFonts w:ascii="Arial" w:hAnsi="Arial" w:cs="Arial"/>
          <w:sz w:val="24"/>
          <w:szCs w:val="24"/>
          <w:lang w:val="en-US"/>
        </w:rPr>
        <w:t>The current report is a critical analysis of the strategic marketing requirements of the regard to the fluctuating PESTEL macro-environment. It compares the ways in which such forces as privacy requirements (sociocultural) and the adoption of AI (technological) bring both opportunities and threats to the first mover, Apple Inc., and the last mover, Xiaomi. The analysis is concluded with the evaluation of their respective differentiation and cost-leadership strategies to remain competitive in case of the fast geopolitical, economic, and regulatory changes.</w:t>
      </w:r>
    </w:p>
    <w:p w14:paraId="5FB21AA5" w14:textId="77777777" w:rsidR="00036F02" w:rsidRDefault="00036F02" w:rsidP="00036F02">
      <w:pPr>
        <w:spacing w:after="160" w:line="278" w:lineRule="auto"/>
        <w:rPr>
          <w:rFonts w:ascii="Arial" w:eastAsiaTheme="majorEastAsia" w:hAnsi="Arial" w:cstheme="majorBidi"/>
          <w:b/>
          <w:color w:val="000000" w:themeColor="text1"/>
          <w:sz w:val="32"/>
          <w:szCs w:val="40"/>
        </w:rPr>
      </w:pPr>
      <w:r>
        <w:br w:type="page"/>
      </w:r>
    </w:p>
    <w:p w14:paraId="4EB521F4" w14:textId="77777777" w:rsidR="00036F02" w:rsidRPr="003227C7" w:rsidRDefault="00036F02" w:rsidP="00036F02">
      <w:pPr>
        <w:pStyle w:val="Heading1"/>
        <w:jc w:val="center"/>
      </w:pPr>
      <w:bookmarkStart w:id="2" w:name="_Toc214578585"/>
      <w:r>
        <w:lastRenderedPageBreak/>
        <w:t>Task-01</w:t>
      </w:r>
      <w:bookmarkEnd w:id="2"/>
    </w:p>
    <w:p w14:paraId="15E46AB4" w14:textId="77777777" w:rsidR="00036F02" w:rsidRPr="003227C7" w:rsidRDefault="00036F02" w:rsidP="00036F02">
      <w:pPr>
        <w:pStyle w:val="Heading2"/>
      </w:pPr>
      <w:bookmarkStart w:id="3" w:name="_Toc214578586"/>
      <w:r>
        <w:t>1</w:t>
      </w:r>
      <w:r w:rsidRPr="001E5D8B">
        <w:t xml:space="preserve">.1 </w:t>
      </w:r>
      <w:r w:rsidRPr="00E52E84">
        <w:t>Strategic Mandate: Managing the Macro Marketing Environment (PESTEL) to Competitive Advantage</w:t>
      </w:r>
      <w:r w:rsidRPr="001E5D8B">
        <w:t>:</w:t>
      </w:r>
      <w:bookmarkEnd w:id="3"/>
    </w:p>
    <w:p w14:paraId="76DE45CB" w14:textId="77777777" w:rsidR="00036F02" w:rsidRPr="00E52E84" w:rsidRDefault="00036F02" w:rsidP="00036F02">
      <w:pPr>
        <w:spacing w:line="360" w:lineRule="auto"/>
        <w:jc w:val="both"/>
        <w:rPr>
          <w:rFonts w:ascii="Arial" w:hAnsi="Arial" w:cs="Arial"/>
          <w:sz w:val="24"/>
          <w:szCs w:val="24"/>
          <w:lang w:val="en-US"/>
        </w:rPr>
      </w:pPr>
      <w:r w:rsidRPr="00E52E84">
        <w:rPr>
          <w:rFonts w:ascii="Arial" w:hAnsi="Arial" w:cs="Arial"/>
          <w:sz w:val="24"/>
          <w:szCs w:val="24"/>
          <w:lang w:val="en-US"/>
        </w:rPr>
        <w:t xml:space="preserve">The critical analysis of the macro-environmental forces, which are external, uncontrollable forces that determine the dynamics of the market and consumer behaviour and present a great opportunity or material threat to the firm, is the key to strategic marketing management. The inseparable analytical instrument of the modern marketer is the PESTEL framework (Political, Economic, Sociocultural, Technological, Environmental, Legal), designed to help find out these macro-level changes and, once again, should not be overlooked, as it may squander the most effectively designed internal marketing efforts within the shortest time imaginable. It is the interrelationship between such factors, which are complex and interconnected, that the successful firms must constantly keep track of and analyse to remain resilient and adaptive in responding to the 2024 decade, an era that is volatile and quickly evolving. </w:t>
      </w:r>
    </w:p>
    <w:p w14:paraId="482864BF" w14:textId="77777777" w:rsidR="00036F02" w:rsidRPr="00E52E84" w:rsidRDefault="00036F02" w:rsidP="00036F02">
      <w:pPr>
        <w:pStyle w:val="Heading3"/>
        <w:rPr>
          <w:lang w:val="en-US"/>
        </w:rPr>
      </w:pPr>
      <w:bookmarkStart w:id="4" w:name="_Toc214578587"/>
      <w:r>
        <w:rPr>
          <w:lang w:val="en-US"/>
        </w:rPr>
        <w:t xml:space="preserve">1.1.1 </w:t>
      </w:r>
      <w:r w:rsidRPr="007F12AC">
        <w:rPr>
          <w:lang w:val="en-US"/>
        </w:rPr>
        <w:t>Critical Analysis of Key Macro-Environmental Forces</w:t>
      </w:r>
      <w:bookmarkEnd w:id="4"/>
    </w:p>
    <w:p w14:paraId="50ADD1B9" w14:textId="77777777" w:rsidR="00036F02" w:rsidRDefault="00036F02" w:rsidP="00036F02">
      <w:pPr>
        <w:spacing w:line="360" w:lineRule="auto"/>
        <w:jc w:val="both"/>
        <w:rPr>
          <w:rFonts w:ascii="Arial" w:hAnsi="Arial" w:cs="Arial"/>
          <w:sz w:val="24"/>
          <w:szCs w:val="24"/>
          <w:lang w:val="en-US"/>
        </w:rPr>
      </w:pPr>
      <w:r w:rsidRPr="00E52E84">
        <w:rPr>
          <w:rFonts w:ascii="Arial" w:hAnsi="Arial" w:cs="Arial"/>
          <w:sz w:val="24"/>
          <w:szCs w:val="24"/>
          <w:lang w:val="en-US"/>
        </w:rPr>
        <w:t>The recent picture of the world has intensified the importance of certain dimensions of PESTEL, forcing the changes of the strategies of every industry:</w:t>
      </w:r>
    </w:p>
    <w:p w14:paraId="375373FC" w14:textId="77777777" w:rsidR="00036F02" w:rsidRDefault="00036F02" w:rsidP="00036F02">
      <w:pPr>
        <w:keepNext/>
        <w:spacing w:line="360" w:lineRule="auto"/>
        <w:jc w:val="center"/>
      </w:pPr>
      <w:r>
        <w:rPr>
          <w:noProof/>
          <w:lang w:val="en-US"/>
        </w:rPr>
        <w:drawing>
          <wp:inline distT="0" distB="0" distL="0" distR="0" wp14:anchorId="5FF1D28E" wp14:editId="5B277BE8">
            <wp:extent cx="4239972" cy="2819400"/>
            <wp:effectExtent l="0" t="0" r="8255" b="0"/>
            <wp:docPr id="1645600664" name="Picture 2" descr="Pest Analysis Template Political Economic Social Stock Vector (Royalty  Free) 416958079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st Analysis Template Political Economic Social Stock Vector (Royalty  Free) 416958079 | Shutterstock"/>
                    <pic:cNvPicPr>
                      <a:picLocks noChangeAspect="1" noChangeArrowheads="1"/>
                    </pic:cNvPicPr>
                  </pic:nvPicPr>
                  <pic:blipFill rotWithShape="1">
                    <a:blip r:embed="rId9">
                      <a:extLst>
                        <a:ext uri="{28A0092B-C50C-407E-A947-70E740481C1C}">
                          <a14:useLocalDpi xmlns:a14="http://schemas.microsoft.com/office/drawing/2010/main" val="0"/>
                        </a:ext>
                      </a:extLst>
                    </a:blip>
                    <a:srcRect b="7381"/>
                    <a:stretch>
                      <a:fillRect/>
                    </a:stretch>
                  </pic:blipFill>
                  <pic:spPr bwMode="auto">
                    <a:xfrm>
                      <a:off x="0" y="0"/>
                      <a:ext cx="4242802" cy="2821282"/>
                    </a:xfrm>
                    <a:prstGeom prst="rect">
                      <a:avLst/>
                    </a:prstGeom>
                    <a:noFill/>
                    <a:ln>
                      <a:noFill/>
                    </a:ln>
                    <a:extLst>
                      <a:ext uri="{53640926-AAD7-44D8-BBD7-CCE9431645EC}">
                        <a14:shadowObscured xmlns:a14="http://schemas.microsoft.com/office/drawing/2010/main"/>
                      </a:ext>
                    </a:extLst>
                  </pic:spPr>
                </pic:pic>
              </a:graphicData>
            </a:graphic>
          </wp:inline>
        </w:drawing>
      </w:r>
    </w:p>
    <w:p w14:paraId="179552DB" w14:textId="77777777" w:rsidR="00036F02" w:rsidRDefault="00036F02" w:rsidP="00036F02">
      <w:pPr>
        <w:pStyle w:val="Caption"/>
        <w:jc w:val="center"/>
      </w:pPr>
      <w:bookmarkStart w:id="5" w:name="_Toc214578562"/>
      <w:r>
        <w:t xml:space="preserve">Figure </w:t>
      </w:r>
      <w:r>
        <w:fldChar w:fldCharType="begin"/>
      </w:r>
      <w:r>
        <w:instrText xml:space="preserve"> SEQ Figure \* ARABIC </w:instrText>
      </w:r>
      <w:r>
        <w:fldChar w:fldCharType="separate"/>
      </w:r>
      <w:r>
        <w:rPr>
          <w:noProof/>
        </w:rPr>
        <w:t>1</w:t>
      </w:r>
      <w:r>
        <w:fldChar w:fldCharType="end"/>
      </w:r>
      <w:r>
        <w:t xml:space="preserve">: </w:t>
      </w:r>
      <w:r w:rsidRPr="00B61A51">
        <w:t>PEST analysis template</w:t>
      </w:r>
      <w:bookmarkEnd w:id="5"/>
    </w:p>
    <w:p w14:paraId="569859E6" w14:textId="77777777" w:rsidR="00036F02" w:rsidRPr="00E52E84" w:rsidRDefault="00036F02" w:rsidP="00036F02">
      <w:pPr>
        <w:jc w:val="center"/>
        <w:rPr>
          <w:rFonts w:ascii="Arial" w:hAnsi="Arial" w:cs="Arial"/>
          <w:lang w:val="en-US"/>
        </w:rPr>
      </w:pPr>
      <w:r w:rsidRPr="001A7B81">
        <w:rPr>
          <w:rFonts w:ascii="Arial" w:hAnsi="Arial" w:cs="Arial"/>
          <w:b/>
          <w:bCs/>
          <w:lang w:val="en-US"/>
        </w:rPr>
        <w:t xml:space="preserve">Source: </w:t>
      </w:r>
      <w:hyperlink r:id="rId10" w:history="1">
        <w:r w:rsidRPr="001A7B81">
          <w:rPr>
            <w:rStyle w:val="Hyperlink"/>
            <w:rFonts w:ascii="Arial" w:hAnsi="Arial" w:cs="Arial"/>
            <w:lang w:val="en-US"/>
          </w:rPr>
          <w:t>shutterstock</w:t>
        </w:r>
      </w:hyperlink>
    </w:p>
    <w:p w14:paraId="2DBDAB31" w14:textId="77777777" w:rsidR="00036F02" w:rsidRDefault="00036F02" w:rsidP="00036F02">
      <w:pPr>
        <w:spacing w:line="360" w:lineRule="auto"/>
        <w:jc w:val="both"/>
        <w:rPr>
          <w:rFonts w:ascii="Arial" w:hAnsi="Arial" w:cs="Arial"/>
          <w:b/>
          <w:bCs/>
          <w:sz w:val="24"/>
          <w:szCs w:val="24"/>
          <w:lang w:val="en-US"/>
        </w:rPr>
      </w:pPr>
    </w:p>
    <w:p w14:paraId="605D3A16" w14:textId="77777777" w:rsidR="00036F02" w:rsidRPr="00E52E84" w:rsidRDefault="00036F02" w:rsidP="00036F02">
      <w:pPr>
        <w:spacing w:line="360" w:lineRule="auto"/>
        <w:jc w:val="both"/>
        <w:rPr>
          <w:rFonts w:ascii="Arial" w:hAnsi="Arial" w:cs="Arial"/>
          <w:b/>
          <w:bCs/>
          <w:sz w:val="24"/>
          <w:szCs w:val="24"/>
          <w:lang w:val="en-US"/>
        </w:rPr>
      </w:pPr>
      <w:r w:rsidRPr="00E52E84">
        <w:rPr>
          <w:rFonts w:ascii="Arial" w:hAnsi="Arial" w:cs="Arial"/>
          <w:b/>
          <w:bCs/>
          <w:sz w:val="24"/>
          <w:szCs w:val="24"/>
          <w:lang w:val="en-US"/>
        </w:rPr>
        <w:lastRenderedPageBreak/>
        <w:t>1. Political and Economic Volatility (P &amp; E)</w:t>
      </w:r>
    </w:p>
    <w:p w14:paraId="738A3C2D" w14:textId="77777777" w:rsidR="00036F02" w:rsidRPr="00E52E84" w:rsidRDefault="00036F02" w:rsidP="00036F02">
      <w:pPr>
        <w:spacing w:line="360" w:lineRule="auto"/>
        <w:jc w:val="both"/>
        <w:rPr>
          <w:rFonts w:ascii="Arial" w:hAnsi="Arial" w:cs="Arial"/>
          <w:sz w:val="24"/>
          <w:szCs w:val="24"/>
          <w:lang w:val="en-US"/>
        </w:rPr>
      </w:pPr>
      <w:r w:rsidRPr="00E52E84">
        <w:rPr>
          <w:rFonts w:ascii="Arial" w:hAnsi="Arial" w:cs="Arial"/>
          <w:sz w:val="24"/>
          <w:szCs w:val="24"/>
          <w:lang w:val="en-US"/>
        </w:rPr>
        <w:t xml:space="preserve">The threat of geopolitical tensions and conflicts is a quite significant strategic risk, and companies have to change business models and strategies, especially in the context of international supply chains (EY, 2024). </w:t>
      </w:r>
    </w:p>
    <w:p w14:paraId="1933708D" w14:textId="77777777" w:rsidR="00036F02" w:rsidRPr="00D74F78" w:rsidRDefault="00036F02" w:rsidP="00036F02">
      <w:pPr>
        <w:pStyle w:val="ListParagraph"/>
        <w:numPr>
          <w:ilvl w:val="0"/>
          <w:numId w:val="1"/>
        </w:numPr>
        <w:spacing w:line="360" w:lineRule="auto"/>
        <w:jc w:val="both"/>
        <w:rPr>
          <w:rFonts w:ascii="Arial" w:hAnsi="Arial" w:cs="Arial"/>
          <w:sz w:val="24"/>
          <w:szCs w:val="24"/>
          <w:lang w:val="en-US"/>
        </w:rPr>
      </w:pPr>
      <w:r w:rsidRPr="00D74F78">
        <w:rPr>
          <w:rFonts w:ascii="Arial" w:hAnsi="Arial" w:cs="Arial"/>
          <w:b/>
          <w:bCs/>
          <w:sz w:val="24"/>
          <w:szCs w:val="24"/>
          <w:lang w:val="en-US"/>
        </w:rPr>
        <w:t>Political Risks:</w:t>
      </w:r>
      <w:r w:rsidRPr="00D74F78">
        <w:rPr>
          <w:rFonts w:ascii="Arial" w:hAnsi="Arial" w:cs="Arial"/>
          <w:sz w:val="24"/>
          <w:szCs w:val="24"/>
          <w:lang w:val="en-US"/>
        </w:rPr>
        <w:t xml:space="preserve"> This is caused by government intervention through taxation of corporations, fiscal policies, and trade unrest, which directly affect operational efficiency and profitability. The presence of divergent political positions before elections may pose a lot of uncertainty, and long-term strategic investments by the management team could be hard. </w:t>
      </w:r>
    </w:p>
    <w:p w14:paraId="6571A1C5" w14:textId="77777777" w:rsidR="00036F02" w:rsidRPr="00D74F78" w:rsidRDefault="00036F02" w:rsidP="00036F02">
      <w:pPr>
        <w:pStyle w:val="ListParagraph"/>
        <w:numPr>
          <w:ilvl w:val="0"/>
          <w:numId w:val="1"/>
        </w:numPr>
        <w:spacing w:line="360" w:lineRule="auto"/>
        <w:jc w:val="both"/>
        <w:rPr>
          <w:rFonts w:ascii="Arial" w:hAnsi="Arial" w:cs="Arial"/>
          <w:sz w:val="24"/>
          <w:szCs w:val="24"/>
          <w:lang w:val="en-US"/>
        </w:rPr>
      </w:pPr>
      <w:r w:rsidRPr="00D74F78">
        <w:rPr>
          <w:rFonts w:ascii="Arial" w:hAnsi="Arial" w:cs="Arial"/>
          <w:b/>
          <w:bCs/>
          <w:sz w:val="24"/>
          <w:szCs w:val="24"/>
          <w:lang w:val="en-US"/>
        </w:rPr>
        <w:t>Economic Impact:</w:t>
      </w:r>
      <w:r w:rsidRPr="00D74F78">
        <w:rPr>
          <w:rFonts w:ascii="Arial" w:hAnsi="Arial" w:cs="Arial"/>
          <w:sz w:val="24"/>
          <w:szCs w:val="24"/>
          <w:lang w:val="en-US"/>
        </w:rPr>
        <w:t xml:space="preserve"> Political changes tend to convert into economic changes, and inflation, exchange rate instability, and market instability are direct effects on consumer purchasing power and market demand. To negotiate through them, one needs to have a wide view that also involves macroeconomic trend assessment (Chidiameke, 2024). </w:t>
      </w:r>
    </w:p>
    <w:p w14:paraId="5357E685" w14:textId="77777777" w:rsidR="00036F02" w:rsidRPr="00E52E84" w:rsidRDefault="00036F02" w:rsidP="00036F02">
      <w:pPr>
        <w:spacing w:line="360" w:lineRule="auto"/>
        <w:jc w:val="both"/>
        <w:rPr>
          <w:rFonts w:ascii="Arial" w:hAnsi="Arial" w:cs="Arial"/>
          <w:b/>
          <w:bCs/>
          <w:sz w:val="24"/>
          <w:szCs w:val="24"/>
          <w:lang w:val="en-US"/>
        </w:rPr>
      </w:pPr>
      <w:r w:rsidRPr="00E52E84">
        <w:rPr>
          <w:rFonts w:ascii="Arial" w:hAnsi="Arial" w:cs="Arial"/>
          <w:b/>
          <w:bCs/>
          <w:sz w:val="24"/>
          <w:szCs w:val="24"/>
          <w:lang w:val="en-US"/>
        </w:rPr>
        <w:t>2. Technological Transformation (T)</w:t>
      </w:r>
    </w:p>
    <w:p w14:paraId="6E3361FE" w14:textId="77777777" w:rsidR="00036F02" w:rsidRPr="00E52E84" w:rsidRDefault="00036F02" w:rsidP="00036F02">
      <w:pPr>
        <w:spacing w:line="360" w:lineRule="auto"/>
        <w:jc w:val="both"/>
        <w:rPr>
          <w:rFonts w:ascii="Arial" w:hAnsi="Arial" w:cs="Arial"/>
          <w:sz w:val="24"/>
          <w:szCs w:val="24"/>
          <w:lang w:val="en-US"/>
        </w:rPr>
      </w:pPr>
      <w:r w:rsidRPr="00E52E84">
        <w:rPr>
          <w:rFonts w:ascii="Arial" w:hAnsi="Arial" w:cs="Arial"/>
          <w:sz w:val="24"/>
          <w:szCs w:val="24"/>
          <w:lang w:val="en-US"/>
        </w:rPr>
        <w:t xml:space="preserve">The idea of digitalisation and the development of Artificial Intelligence (AI) is radically redefining the marketing practice, where it functions as an auxiliary process rather than a crucial contributor to the overall performance of the firm. </w:t>
      </w:r>
    </w:p>
    <w:p w14:paraId="444339C5" w14:textId="77777777" w:rsidR="00036F02" w:rsidRPr="00D74F78" w:rsidRDefault="00036F02" w:rsidP="00036F02">
      <w:pPr>
        <w:pStyle w:val="ListParagraph"/>
        <w:numPr>
          <w:ilvl w:val="0"/>
          <w:numId w:val="2"/>
        </w:numPr>
        <w:spacing w:line="360" w:lineRule="auto"/>
        <w:jc w:val="both"/>
        <w:rPr>
          <w:rFonts w:ascii="Arial" w:hAnsi="Arial" w:cs="Arial"/>
          <w:sz w:val="24"/>
          <w:szCs w:val="24"/>
          <w:lang w:val="en-US"/>
        </w:rPr>
      </w:pPr>
      <w:r w:rsidRPr="00D74F78">
        <w:rPr>
          <w:rFonts w:ascii="Arial" w:hAnsi="Arial" w:cs="Arial"/>
          <w:b/>
          <w:bCs/>
          <w:sz w:val="24"/>
          <w:szCs w:val="24"/>
          <w:lang w:val="en-US"/>
        </w:rPr>
        <w:t>Digital Marketing Requirement:</w:t>
      </w:r>
      <w:r w:rsidRPr="00D74F78">
        <w:rPr>
          <w:rFonts w:ascii="Arial" w:hAnsi="Arial" w:cs="Arial"/>
          <w:sz w:val="24"/>
          <w:szCs w:val="24"/>
          <w:lang w:val="en-US"/>
        </w:rPr>
        <w:t xml:space="preserve"> The digital methods, such as social media marketing and Search Engine Optimisation (SEO), help to increase the market presence and better economic outcomes, especially with small businesses and medium-sized companies (MdPI, 2024). </w:t>
      </w:r>
    </w:p>
    <w:p w14:paraId="620C1501" w14:textId="77777777" w:rsidR="00036F02" w:rsidRDefault="00036F02" w:rsidP="00036F02">
      <w:pPr>
        <w:pStyle w:val="ListParagraph"/>
        <w:numPr>
          <w:ilvl w:val="0"/>
          <w:numId w:val="2"/>
        </w:numPr>
        <w:spacing w:line="360" w:lineRule="auto"/>
        <w:jc w:val="both"/>
        <w:rPr>
          <w:rFonts w:ascii="Arial" w:hAnsi="Arial" w:cs="Arial"/>
          <w:sz w:val="24"/>
          <w:szCs w:val="24"/>
          <w:lang w:val="en-US"/>
        </w:rPr>
      </w:pPr>
      <w:r w:rsidRPr="00D74F78">
        <w:rPr>
          <w:rFonts w:ascii="Arial" w:hAnsi="Arial" w:cs="Arial"/>
          <w:b/>
          <w:bCs/>
          <w:sz w:val="24"/>
          <w:szCs w:val="24"/>
          <w:lang w:val="en-US"/>
        </w:rPr>
        <w:t>Transformative Potential of AI:</w:t>
      </w:r>
      <w:r w:rsidRPr="00D74F78">
        <w:rPr>
          <w:rFonts w:ascii="Arial" w:hAnsi="Arial" w:cs="Arial"/>
          <w:sz w:val="24"/>
          <w:szCs w:val="24"/>
          <w:lang w:val="en-US"/>
        </w:rPr>
        <w:t xml:space="preserve"> AI has the potential to make marketing more efficient, effective, and engaging towards the customer with respect to diverse aspects of the marketing mix, including pricing and promotion. Nevertheless, such power requires a responsible execution overseeing significant ethical and societal issues of bias, privacy and accountability (ResearchGate, 2024). </w:t>
      </w:r>
    </w:p>
    <w:p w14:paraId="048EAA6C" w14:textId="77777777" w:rsidR="00036F02" w:rsidRDefault="00036F02" w:rsidP="00036F02">
      <w:pPr>
        <w:pStyle w:val="ListParagraph"/>
        <w:spacing w:line="360" w:lineRule="auto"/>
        <w:jc w:val="both"/>
        <w:rPr>
          <w:rFonts w:ascii="Arial" w:hAnsi="Arial" w:cs="Arial"/>
          <w:b/>
          <w:bCs/>
          <w:sz w:val="24"/>
          <w:szCs w:val="24"/>
          <w:lang w:val="en-US"/>
        </w:rPr>
      </w:pPr>
    </w:p>
    <w:p w14:paraId="702CA9A7" w14:textId="77777777" w:rsidR="00036F02" w:rsidRDefault="00036F02" w:rsidP="00036F02">
      <w:pPr>
        <w:pStyle w:val="ListParagraph"/>
        <w:spacing w:line="360" w:lineRule="auto"/>
        <w:jc w:val="both"/>
        <w:rPr>
          <w:rFonts w:ascii="Arial" w:hAnsi="Arial" w:cs="Arial"/>
          <w:b/>
          <w:bCs/>
          <w:sz w:val="24"/>
          <w:szCs w:val="24"/>
          <w:lang w:val="en-US"/>
        </w:rPr>
      </w:pPr>
    </w:p>
    <w:p w14:paraId="7C756340" w14:textId="77777777" w:rsidR="00036F02" w:rsidRDefault="00036F02" w:rsidP="00036F02">
      <w:pPr>
        <w:pStyle w:val="ListParagraph"/>
        <w:spacing w:line="360" w:lineRule="auto"/>
        <w:jc w:val="both"/>
        <w:rPr>
          <w:rFonts w:ascii="Arial" w:hAnsi="Arial" w:cs="Arial"/>
          <w:b/>
          <w:bCs/>
          <w:sz w:val="24"/>
          <w:szCs w:val="24"/>
          <w:lang w:val="en-US"/>
        </w:rPr>
      </w:pPr>
    </w:p>
    <w:p w14:paraId="3E6D8A8E" w14:textId="77777777" w:rsidR="00036F02" w:rsidRPr="00D74F78" w:rsidRDefault="00036F02" w:rsidP="00036F02">
      <w:pPr>
        <w:pStyle w:val="ListParagraph"/>
        <w:spacing w:line="360" w:lineRule="auto"/>
        <w:jc w:val="both"/>
        <w:rPr>
          <w:rFonts w:ascii="Arial" w:hAnsi="Arial" w:cs="Arial"/>
          <w:sz w:val="24"/>
          <w:szCs w:val="24"/>
          <w:lang w:val="en-US"/>
        </w:rPr>
      </w:pPr>
    </w:p>
    <w:p w14:paraId="0B69509E" w14:textId="77777777" w:rsidR="00036F02" w:rsidRPr="00E52E84" w:rsidRDefault="00036F02" w:rsidP="00036F02">
      <w:pPr>
        <w:spacing w:line="360" w:lineRule="auto"/>
        <w:jc w:val="both"/>
        <w:rPr>
          <w:rFonts w:ascii="Arial" w:hAnsi="Arial" w:cs="Arial"/>
          <w:b/>
          <w:bCs/>
          <w:sz w:val="24"/>
          <w:szCs w:val="24"/>
          <w:lang w:val="en-US"/>
        </w:rPr>
      </w:pPr>
      <w:r w:rsidRPr="00E52E84">
        <w:rPr>
          <w:rFonts w:ascii="Arial" w:hAnsi="Arial" w:cs="Arial"/>
          <w:b/>
          <w:bCs/>
          <w:sz w:val="24"/>
          <w:szCs w:val="24"/>
          <w:lang w:val="en-US"/>
        </w:rPr>
        <w:lastRenderedPageBreak/>
        <w:t>3. Sociocultural and Environmental Mandate (S and E)</w:t>
      </w:r>
    </w:p>
    <w:p w14:paraId="62466782" w14:textId="77777777" w:rsidR="00036F02" w:rsidRPr="00E52E84" w:rsidRDefault="00036F02" w:rsidP="00036F02">
      <w:pPr>
        <w:spacing w:line="360" w:lineRule="auto"/>
        <w:jc w:val="both"/>
        <w:rPr>
          <w:rFonts w:ascii="Arial" w:hAnsi="Arial" w:cs="Arial"/>
          <w:sz w:val="24"/>
          <w:szCs w:val="24"/>
          <w:lang w:val="en-US"/>
        </w:rPr>
      </w:pPr>
      <w:r w:rsidRPr="00E52E84">
        <w:rPr>
          <w:rFonts w:ascii="Arial" w:hAnsi="Arial" w:cs="Arial"/>
          <w:sz w:val="24"/>
          <w:szCs w:val="24"/>
          <w:lang w:val="en-US"/>
        </w:rPr>
        <w:t xml:space="preserve">Environmental, Social, and Governance (ESG) has shifted to a mandatory strategy to be integrated into the strategies of companies, owing to the changing consumer demands. </w:t>
      </w:r>
    </w:p>
    <w:p w14:paraId="41FDC336" w14:textId="77777777" w:rsidR="00036F02" w:rsidRPr="00D74F78" w:rsidRDefault="00036F02" w:rsidP="00036F02">
      <w:pPr>
        <w:pStyle w:val="ListParagraph"/>
        <w:numPr>
          <w:ilvl w:val="0"/>
          <w:numId w:val="3"/>
        </w:numPr>
        <w:spacing w:line="360" w:lineRule="auto"/>
        <w:jc w:val="both"/>
        <w:rPr>
          <w:rFonts w:ascii="Arial" w:hAnsi="Arial" w:cs="Arial"/>
          <w:sz w:val="24"/>
          <w:szCs w:val="24"/>
          <w:lang w:val="en-US"/>
        </w:rPr>
      </w:pPr>
      <w:r w:rsidRPr="00D74F78">
        <w:rPr>
          <w:rFonts w:ascii="Arial" w:hAnsi="Arial" w:cs="Arial"/>
          <w:b/>
          <w:bCs/>
          <w:sz w:val="24"/>
          <w:szCs w:val="24"/>
          <w:lang w:val="en-US"/>
        </w:rPr>
        <w:t>Consumer-Driven Sustainability:</w:t>
      </w:r>
      <w:r w:rsidRPr="00D74F78">
        <w:rPr>
          <w:rFonts w:ascii="Arial" w:hAnsi="Arial" w:cs="Arial"/>
          <w:sz w:val="24"/>
          <w:szCs w:val="24"/>
          <w:lang w:val="en-US"/>
        </w:rPr>
        <w:t xml:space="preserve"> Sociocultural trends are in strong communication with the environment. It is reported that 46 percent of consumers are now actively buying more sustainable products, and as many as 80 percent would be ready to pay a higher price on sustainable products (PwC, cited in Ovais et al., 2025). </w:t>
      </w:r>
    </w:p>
    <w:p w14:paraId="3F36D86B" w14:textId="77777777" w:rsidR="00036F02" w:rsidRPr="00D74F78" w:rsidRDefault="00036F02" w:rsidP="00036F02">
      <w:pPr>
        <w:pStyle w:val="ListParagraph"/>
        <w:numPr>
          <w:ilvl w:val="0"/>
          <w:numId w:val="3"/>
        </w:numPr>
        <w:spacing w:line="360" w:lineRule="auto"/>
        <w:jc w:val="both"/>
        <w:rPr>
          <w:rFonts w:ascii="Arial" w:hAnsi="Arial" w:cs="Arial"/>
          <w:sz w:val="24"/>
          <w:szCs w:val="24"/>
          <w:lang w:val="en-US"/>
        </w:rPr>
      </w:pPr>
      <w:r w:rsidRPr="00D74F78">
        <w:rPr>
          <w:rFonts w:ascii="Arial" w:hAnsi="Arial" w:cs="Arial"/>
          <w:b/>
          <w:bCs/>
          <w:sz w:val="24"/>
          <w:szCs w:val="24"/>
          <w:lang w:val="en-US"/>
        </w:rPr>
        <w:t>Strategic Advantage:</w:t>
      </w:r>
      <w:r w:rsidRPr="00D74F78">
        <w:rPr>
          <w:rFonts w:ascii="Arial" w:hAnsi="Arial" w:cs="Arial"/>
          <w:sz w:val="24"/>
          <w:szCs w:val="24"/>
          <w:lang w:val="en-US"/>
        </w:rPr>
        <w:t xml:space="preserve"> Good ESG results have become an important strategic resource that improves the competitiveness of a company on the market and can lower the capital costs (ResearchGate, 2024). </w:t>
      </w:r>
    </w:p>
    <w:p w14:paraId="361946A1" w14:textId="77777777" w:rsidR="00036F02" w:rsidRPr="00D74F78" w:rsidRDefault="00036F02" w:rsidP="00036F02">
      <w:pPr>
        <w:pStyle w:val="ListParagraph"/>
        <w:numPr>
          <w:ilvl w:val="0"/>
          <w:numId w:val="3"/>
        </w:numPr>
        <w:spacing w:line="360" w:lineRule="auto"/>
        <w:jc w:val="both"/>
        <w:rPr>
          <w:rFonts w:ascii="Arial" w:hAnsi="Arial" w:cs="Arial"/>
          <w:sz w:val="24"/>
          <w:szCs w:val="24"/>
          <w:lang w:val="en-US"/>
        </w:rPr>
      </w:pPr>
      <w:r w:rsidRPr="00D74F78">
        <w:rPr>
          <w:rFonts w:ascii="Arial" w:hAnsi="Arial" w:cs="Arial"/>
          <w:b/>
          <w:bCs/>
          <w:sz w:val="24"/>
          <w:szCs w:val="24"/>
          <w:lang w:val="en-US"/>
        </w:rPr>
        <w:t>Greenwashing Challenge:</w:t>
      </w:r>
      <w:r w:rsidRPr="00D74F78">
        <w:rPr>
          <w:rFonts w:ascii="Arial" w:hAnsi="Arial" w:cs="Arial"/>
          <w:sz w:val="24"/>
          <w:szCs w:val="24"/>
          <w:lang w:val="en-US"/>
        </w:rPr>
        <w:t xml:space="preserve"> In spite of the call towards sustainability, companies are still confronted with the challenge of greenwashing, overstating or faking ESG commitments, which leads to consumer distrust and the need to be more transparent and validated by third parties. </w:t>
      </w:r>
    </w:p>
    <w:p w14:paraId="02B76C74" w14:textId="77777777" w:rsidR="00036F02" w:rsidRPr="00E52E84" w:rsidRDefault="00036F02" w:rsidP="00036F02">
      <w:pPr>
        <w:spacing w:line="360" w:lineRule="auto"/>
        <w:jc w:val="both"/>
        <w:rPr>
          <w:rFonts w:ascii="Arial" w:hAnsi="Arial" w:cs="Arial"/>
          <w:b/>
          <w:bCs/>
          <w:sz w:val="24"/>
          <w:szCs w:val="24"/>
          <w:lang w:val="en-US"/>
        </w:rPr>
      </w:pPr>
      <w:r w:rsidRPr="00E52E84">
        <w:rPr>
          <w:rFonts w:ascii="Arial" w:hAnsi="Arial" w:cs="Arial"/>
          <w:b/>
          <w:bCs/>
          <w:sz w:val="24"/>
          <w:szCs w:val="24"/>
          <w:lang w:val="en-US"/>
        </w:rPr>
        <w:t xml:space="preserve">4. </w:t>
      </w:r>
      <w:r w:rsidRPr="00C01337">
        <w:rPr>
          <w:rFonts w:ascii="Arial" w:hAnsi="Arial" w:cs="Arial"/>
          <w:b/>
          <w:bCs/>
          <w:sz w:val="24"/>
          <w:szCs w:val="24"/>
          <w:lang w:val="en-US"/>
        </w:rPr>
        <w:t>Legal and Strategic Resilence (L)</w:t>
      </w:r>
    </w:p>
    <w:p w14:paraId="51C84913" w14:textId="77777777" w:rsidR="00036F02" w:rsidRPr="00E52E84" w:rsidRDefault="00036F02" w:rsidP="00036F02">
      <w:pPr>
        <w:spacing w:line="360" w:lineRule="auto"/>
        <w:jc w:val="both"/>
        <w:rPr>
          <w:rFonts w:ascii="Arial" w:hAnsi="Arial" w:cs="Arial"/>
          <w:sz w:val="24"/>
          <w:szCs w:val="24"/>
          <w:lang w:val="en-US"/>
        </w:rPr>
      </w:pPr>
      <w:r w:rsidRPr="00886CD8">
        <w:rPr>
          <w:rFonts w:ascii="Arial" w:hAnsi="Arial" w:cs="Arial"/>
          <w:sz w:val="24"/>
          <w:szCs w:val="24"/>
          <w:lang w:val="en-US"/>
        </w:rPr>
        <w:t>Strategic marketers must use dynamic planning to meet these macro-forces' complexity and interconnection.  Scenario planning is essential for creating rapid and dependable marketing plans since backward-looking forecasting is unreliable owing to its patchy fog of uncertainty (Zucker, 2022).  Development of believable future scenarios may help organisations flourish in several realities and make their marketing strategies more reliable and successful in predicting unanticipated shifts like the pandemic (Zucker, 2022).  Finally, ethical AI use and reported ESG are essential to legal navigation (Ovais et al., 2025).</w:t>
      </w:r>
      <w:r w:rsidRPr="00E52E84">
        <w:rPr>
          <w:rFonts w:ascii="Arial" w:hAnsi="Arial" w:cs="Arial"/>
          <w:sz w:val="24"/>
          <w:szCs w:val="24"/>
          <w:lang w:val="en-US"/>
        </w:rPr>
        <w:t xml:space="preserve"> </w:t>
      </w:r>
    </w:p>
    <w:p w14:paraId="0BA83AD2" w14:textId="77777777" w:rsidR="00036F02" w:rsidRDefault="00036F02" w:rsidP="00036F02">
      <w:pPr>
        <w:pStyle w:val="Heading2"/>
      </w:pPr>
      <w:bookmarkStart w:id="6" w:name="_Toc214578588"/>
      <w:r>
        <w:t xml:space="preserve">1.2 </w:t>
      </w:r>
      <w:r w:rsidRPr="00565621">
        <w:t>Social &amp; Technological Actors: How Changing Social Values and Mobile AI Shape Opportunities &amp; Threats for Apple (Pioneer) and Xiaomi (Follower)</w:t>
      </w:r>
      <w:r>
        <w:t>:</w:t>
      </w:r>
      <w:bookmarkEnd w:id="6"/>
    </w:p>
    <w:p w14:paraId="4FE53765" w14:textId="77777777" w:rsidR="00036F02" w:rsidRPr="00E56DB0" w:rsidRDefault="00036F02" w:rsidP="00036F02">
      <w:pPr>
        <w:spacing w:before="240" w:line="360" w:lineRule="auto"/>
        <w:jc w:val="both"/>
        <w:rPr>
          <w:rFonts w:ascii="Arial" w:hAnsi="Arial" w:cs="Arial"/>
          <w:bCs/>
          <w:sz w:val="24"/>
          <w:szCs w:val="24"/>
          <w:lang w:val="en-US"/>
        </w:rPr>
      </w:pPr>
      <w:r w:rsidRPr="001208BF">
        <w:rPr>
          <w:rFonts w:ascii="Arial" w:hAnsi="Arial" w:cs="Arial"/>
          <w:bCs/>
          <w:sz w:val="24"/>
          <w:szCs w:val="24"/>
          <w:lang w:val="en-US"/>
        </w:rPr>
        <w:t xml:space="preserve">Their business climate and approach are dynamic towards Apple and Xiaomi.  This critical analysis examines two important external factors, sociocultural (consumer privacy mandates) and technological (artificial intelligence integration), and their </w:t>
      </w:r>
      <w:r w:rsidRPr="001208BF">
        <w:rPr>
          <w:rFonts w:ascii="Arial" w:hAnsi="Arial" w:cs="Arial"/>
          <w:bCs/>
          <w:sz w:val="24"/>
          <w:szCs w:val="24"/>
          <w:lang w:val="en-US"/>
        </w:rPr>
        <w:lastRenderedPageBreak/>
        <w:t>opportunities and threats to Apple, the premium market leader, and Xiaomi, a high-volume one.</w:t>
      </w:r>
    </w:p>
    <w:p w14:paraId="278B04DF" w14:textId="77777777" w:rsidR="00036F02" w:rsidRPr="00E56DB0" w:rsidRDefault="00036F02" w:rsidP="00036F02">
      <w:pPr>
        <w:spacing w:before="240" w:line="360" w:lineRule="auto"/>
        <w:jc w:val="both"/>
        <w:rPr>
          <w:rFonts w:ascii="Arial" w:hAnsi="Arial" w:cs="Arial"/>
          <w:b/>
          <w:sz w:val="24"/>
          <w:szCs w:val="24"/>
          <w:lang w:val="en-US"/>
        </w:rPr>
      </w:pPr>
      <w:r w:rsidRPr="00E56DB0">
        <w:rPr>
          <w:rFonts w:ascii="Arial" w:hAnsi="Arial" w:cs="Arial"/>
          <w:b/>
          <w:sz w:val="24"/>
          <w:szCs w:val="24"/>
          <w:lang w:val="en-US"/>
        </w:rPr>
        <w:t>1. Sociocultural Actor: Data Privacy Consumer Requirements</w:t>
      </w:r>
    </w:p>
    <w:p w14:paraId="1B469710" w14:textId="77777777" w:rsidR="00036F02" w:rsidRDefault="00036F02" w:rsidP="00036F02">
      <w:pPr>
        <w:spacing w:before="240" w:line="360" w:lineRule="auto"/>
        <w:jc w:val="both"/>
        <w:rPr>
          <w:rFonts w:ascii="Arial" w:hAnsi="Arial" w:cs="Arial"/>
          <w:bCs/>
          <w:sz w:val="24"/>
          <w:szCs w:val="24"/>
          <w:lang w:val="en-US"/>
        </w:rPr>
      </w:pPr>
      <w:r>
        <w:rPr>
          <w:rFonts w:ascii="Arial" w:hAnsi="Arial" w:cs="Arial"/>
          <w:bCs/>
          <w:sz w:val="24"/>
          <w:szCs w:val="24"/>
          <w:lang w:val="en-US"/>
        </w:rPr>
        <w:t>T</w:t>
      </w:r>
      <w:r w:rsidRPr="00E56DB0">
        <w:rPr>
          <w:rFonts w:ascii="Arial" w:hAnsi="Arial" w:cs="Arial"/>
          <w:bCs/>
          <w:sz w:val="24"/>
          <w:szCs w:val="24"/>
          <w:lang w:val="en-US"/>
        </w:rPr>
        <w:t>he growing need to secure and control data (S-factor) has ceased being a fringe issue and is now a competitive differentiator of paramount importance, particularly due to the significant legislative reforms, such as the introduction of the GDPR by the EU, and the initiatives of Apple itself (TrustArc, 2024; Live Oak Bank, 2021).</w:t>
      </w:r>
    </w:p>
    <w:tbl>
      <w:tblPr>
        <w:tblStyle w:val="TableGrid"/>
        <w:tblW w:w="0" w:type="dxa"/>
        <w:tblLook w:val="04A0" w:firstRow="1" w:lastRow="0" w:firstColumn="1" w:lastColumn="0" w:noHBand="0" w:noVBand="1"/>
      </w:tblPr>
      <w:tblGrid>
        <w:gridCol w:w="1790"/>
        <w:gridCol w:w="3622"/>
        <w:gridCol w:w="3604"/>
      </w:tblGrid>
      <w:tr w:rsidR="00036F02" w:rsidRPr="00F21E97" w14:paraId="245B4300" w14:textId="77777777" w:rsidTr="001C4696">
        <w:trPr>
          <w:trHeight w:val="315"/>
        </w:trPr>
        <w:tc>
          <w:tcPr>
            <w:tcW w:w="0" w:type="auto"/>
            <w:hideMark/>
          </w:tcPr>
          <w:p w14:paraId="7E1DEF31" w14:textId="77777777" w:rsidR="00036F02" w:rsidRPr="00F21E97" w:rsidRDefault="00036F02" w:rsidP="001C4696">
            <w:pPr>
              <w:spacing w:before="240" w:line="360" w:lineRule="auto"/>
              <w:jc w:val="both"/>
              <w:rPr>
                <w:rFonts w:ascii="Arial" w:hAnsi="Arial" w:cs="Arial"/>
                <w:b/>
                <w:sz w:val="24"/>
                <w:szCs w:val="24"/>
                <w:lang w:val="en-US"/>
              </w:rPr>
            </w:pPr>
            <w:r w:rsidRPr="00F21E97">
              <w:rPr>
                <w:rFonts w:ascii="Arial" w:hAnsi="Arial" w:cs="Arial"/>
                <w:b/>
                <w:sz w:val="24"/>
                <w:szCs w:val="24"/>
                <w:lang w:val="en-US"/>
              </w:rPr>
              <w:t>Impact</w:t>
            </w:r>
          </w:p>
        </w:tc>
        <w:tc>
          <w:tcPr>
            <w:tcW w:w="0" w:type="auto"/>
            <w:hideMark/>
          </w:tcPr>
          <w:p w14:paraId="5D6E1559" w14:textId="77777777" w:rsidR="00036F02" w:rsidRPr="00F21E97" w:rsidRDefault="00036F02" w:rsidP="001C4696">
            <w:pPr>
              <w:spacing w:before="240" w:line="360" w:lineRule="auto"/>
              <w:jc w:val="both"/>
              <w:rPr>
                <w:rFonts w:ascii="Arial" w:hAnsi="Arial" w:cs="Arial"/>
                <w:b/>
                <w:sz w:val="24"/>
                <w:szCs w:val="24"/>
                <w:lang w:val="en-US"/>
              </w:rPr>
            </w:pPr>
            <w:r w:rsidRPr="00F21E97">
              <w:rPr>
                <w:rFonts w:ascii="Arial" w:hAnsi="Arial" w:cs="Arial"/>
                <w:b/>
                <w:sz w:val="24"/>
                <w:szCs w:val="24"/>
                <w:lang w:val="en-US"/>
              </w:rPr>
              <w:t>Apple (Pioneer)</w:t>
            </w:r>
          </w:p>
        </w:tc>
        <w:tc>
          <w:tcPr>
            <w:tcW w:w="0" w:type="auto"/>
            <w:hideMark/>
          </w:tcPr>
          <w:p w14:paraId="6335DC8F" w14:textId="77777777" w:rsidR="00036F02" w:rsidRPr="00F21E97" w:rsidRDefault="00036F02" w:rsidP="001C4696">
            <w:pPr>
              <w:spacing w:before="240" w:line="360" w:lineRule="auto"/>
              <w:jc w:val="both"/>
              <w:rPr>
                <w:rFonts w:ascii="Arial" w:hAnsi="Arial" w:cs="Arial"/>
                <w:b/>
                <w:sz w:val="24"/>
                <w:szCs w:val="24"/>
                <w:lang w:val="en-US"/>
              </w:rPr>
            </w:pPr>
            <w:r w:rsidRPr="00F21E97">
              <w:rPr>
                <w:rFonts w:ascii="Arial" w:hAnsi="Arial" w:cs="Arial"/>
                <w:b/>
                <w:sz w:val="24"/>
                <w:szCs w:val="24"/>
                <w:lang w:val="en-US"/>
              </w:rPr>
              <w:t>Xiaomi (Follower)</w:t>
            </w:r>
          </w:p>
        </w:tc>
      </w:tr>
      <w:tr w:rsidR="00036F02" w:rsidRPr="00F21E97" w14:paraId="106AA485" w14:textId="77777777" w:rsidTr="001C4696">
        <w:trPr>
          <w:trHeight w:val="315"/>
        </w:trPr>
        <w:tc>
          <w:tcPr>
            <w:tcW w:w="0" w:type="auto"/>
            <w:hideMark/>
          </w:tcPr>
          <w:p w14:paraId="5C2623CD" w14:textId="77777777" w:rsidR="00036F02" w:rsidRPr="00F21E97" w:rsidRDefault="00036F02" w:rsidP="001C4696">
            <w:pPr>
              <w:spacing w:before="240" w:line="360" w:lineRule="auto"/>
              <w:jc w:val="both"/>
              <w:rPr>
                <w:rFonts w:ascii="Arial" w:hAnsi="Arial" w:cs="Arial"/>
                <w:b/>
                <w:sz w:val="24"/>
                <w:szCs w:val="24"/>
                <w:lang w:val="en-US"/>
              </w:rPr>
            </w:pPr>
            <w:r w:rsidRPr="00F21E97">
              <w:rPr>
                <w:rFonts w:ascii="Arial" w:hAnsi="Arial" w:cs="Arial"/>
                <w:b/>
                <w:sz w:val="24"/>
                <w:szCs w:val="24"/>
                <w:lang w:val="en-US"/>
              </w:rPr>
              <w:t>Opportunities</w:t>
            </w:r>
          </w:p>
        </w:tc>
        <w:tc>
          <w:tcPr>
            <w:tcW w:w="0" w:type="auto"/>
            <w:hideMark/>
          </w:tcPr>
          <w:p w14:paraId="3E385048" w14:textId="77777777" w:rsidR="00036F02" w:rsidRPr="00F21E97" w:rsidRDefault="00036F02" w:rsidP="001C4696">
            <w:pPr>
              <w:spacing w:before="240" w:line="360" w:lineRule="auto"/>
              <w:jc w:val="both"/>
              <w:rPr>
                <w:rFonts w:ascii="Arial" w:hAnsi="Arial" w:cs="Arial"/>
                <w:bCs/>
                <w:sz w:val="24"/>
                <w:szCs w:val="24"/>
                <w:lang w:val="en-US"/>
              </w:rPr>
            </w:pPr>
            <w:r w:rsidRPr="00F21E97">
              <w:rPr>
                <w:rFonts w:ascii="Arial" w:hAnsi="Arial" w:cs="Arial"/>
                <w:bCs/>
                <w:sz w:val="24"/>
                <w:szCs w:val="24"/>
                <w:lang w:val="en-US"/>
              </w:rPr>
              <w:t>Deepening Ecosystem Trust: Apple's launch of the App Tracking Transparency (ATT) framework (iOS 14.5 in 2021) reinforced its brand image as a privacy champion, strengthening customer loyalty among premium users willing to pay a price premium for control (Live Oak Bank, 2021).</w:t>
            </w:r>
          </w:p>
        </w:tc>
        <w:tc>
          <w:tcPr>
            <w:tcW w:w="0" w:type="auto"/>
            <w:hideMark/>
          </w:tcPr>
          <w:p w14:paraId="116CA7B6" w14:textId="77777777" w:rsidR="00036F02" w:rsidRPr="00F21E97" w:rsidRDefault="00036F02" w:rsidP="001C4696">
            <w:pPr>
              <w:spacing w:before="240" w:line="360" w:lineRule="auto"/>
              <w:jc w:val="both"/>
              <w:rPr>
                <w:rFonts w:ascii="Arial" w:hAnsi="Arial" w:cs="Arial"/>
                <w:bCs/>
                <w:sz w:val="24"/>
                <w:szCs w:val="24"/>
                <w:lang w:val="en-US"/>
              </w:rPr>
            </w:pPr>
            <w:r w:rsidRPr="00F21E97">
              <w:rPr>
                <w:rFonts w:ascii="Arial" w:hAnsi="Arial" w:cs="Arial"/>
                <w:bCs/>
                <w:sz w:val="24"/>
                <w:szCs w:val="24"/>
                <w:lang w:val="en-US"/>
              </w:rPr>
              <w:t>Proactive Compliance and Trust: Xiaomi, operating primarily on the open-source Android platform, has actively invested in compliance (e.g., GDPR Validation Assessment) and privacy-by-design principles, which is an opportunity to build trust in Western markets where Chinese brands often face skepticism (TrustArc, 2024; Xiaomi Corporation, 2024).</w:t>
            </w:r>
          </w:p>
        </w:tc>
      </w:tr>
      <w:tr w:rsidR="00036F02" w:rsidRPr="00F21E97" w14:paraId="07FCFF6D" w14:textId="77777777" w:rsidTr="001C4696">
        <w:trPr>
          <w:trHeight w:val="315"/>
        </w:trPr>
        <w:tc>
          <w:tcPr>
            <w:tcW w:w="0" w:type="auto"/>
            <w:hideMark/>
          </w:tcPr>
          <w:p w14:paraId="66364D05" w14:textId="77777777" w:rsidR="00036F02" w:rsidRPr="00F21E97" w:rsidRDefault="00036F02" w:rsidP="001C4696">
            <w:pPr>
              <w:spacing w:before="240" w:line="360" w:lineRule="auto"/>
              <w:jc w:val="both"/>
              <w:rPr>
                <w:rFonts w:ascii="Arial" w:hAnsi="Arial" w:cs="Arial"/>
                <w:b/>
                <w:sz w:val="24"/>
                <w:szCs w:val="24"/>
                <w:lang w:val="en-US"/>
              </w:rPr>
            </w:pPr>
            <w:r w:rsidRPr="00F21E97">
              <w:rPr>
                <w:rFonts w:ascii="Arial" w:hAnsi="Arial" w:cs="Arial"/>
                <w:b/>
                <w:sz w:val="24"/>
                <w:szCs w:val="24"/>
                <w:lang w:val="en-US"/>
              </w:rPr>
              <w:t>Threats</w:t>
            </w:r>
          </w:p>
        </w:tc>
        <w:tc>
          <w:tcPr>
            <w:tcW w:w="0" w:type="auto"/>
            <w:hideMark/>
          </w:tcPr>
          <w:p w14:paraId="4C359654" w14:textId="77777777" w:rsidR="00036F02" w:rsidRPr="00F21E97" w:rsidRDefault="00036F02" w:rsidP="001C4696">
            <w:pPr>
              <w:spacing w:before="240" w:line="360" w:lineRule="auto"/>
              <w:jc w:val="both"/>
              <w:rPr>
                <w:rFonts w:ascii="Arial" w:hAnsi="Arial" w:cs="Arial"/>
                <w:bCs/>
                <w:sz w:val="24"/>
                <w:szCs w:val="24"/>
                <w:lang w:val="en-US"/>
              </w:rPr>
            </w:pPr>
            <w:r w:rsidRPr="00F21E97">
              <w:rPr>
                <w:rFonts w:ascii="Arial" w:hAnsi="Arial" w:cs="Arial"/>
                <w:bCs/>
                <w:sz w:val="24"/>
                <w:szCs w:val="24"/>
                <w:lang w:val="en-US"/>
              </w:rPr>
              <w:t xml:space="preserve">Advertiser Backlash and Service Revenue Risk: The ATT framework created hurdles for the mobile advertising industry, impacting the revenue and measurement capabilities of third-party apps, potentially slowing the growth of Apple's </w:t>
            </w:r>
            <w:r w:rsidRPr="00F21E97">
              <w:rPr>
                <w:rFonts w:ascii="Arial" w:hAnsi="Arial" w:cs="Arial"/>
                <w:bCs/>
                <w:sz w:val="24"/>
                <w:szCs w:val="24"/>
                <w:lang w:val="en-US"/>
              </w:rPr>
              <w:lastRenderedPageBreak/>
              <w:t>high-margin Services segment (Live Oak Bank, 2021).</w:t>
            </w:r>
          </w:p>
        </w:tc>
        <w:tc>
          <w:tcPr>
            <w:tcW w:w="0" w:type="auto"/>
            <w:hideMark/>
          </w:tcPr>
          <w:p w14:paraId="3ED4E25E" w14:textId="77777777" w:rsidR="00036F02" w:rsidRPr="00F21E97" w:rsidRDefault="00036F02" w:rsidP="001C4696">
            <w:pPr>
              <w:keepNext/>
              <w:spacing w:before="240" w:line="360" w:lineRule="auto"/>
              <w:jc w:val="both"/>
              <w:rPr>
                <w:rFonts w:ascii="Arial" w:hAnsi="Arial" w:cs="Arial"/>
                <w:bCs/>
                <w:sz w:val="24"/>
                <w:szCs w:val="24"/>
                <w:lang w:val="en-US"/>
              </w:rPr>
            </w:pPr>
            <w:r w:rsidRPr="00F21E97">
              <w:rPr>
                <w:rFonts w:ascii="Arial" w:hAnsi="Arial" w:cs="Arial"/>
                <w:bCs/>
                <w:sz w:val="24"/>
                <w:szCs w:val="24"/>
                <w:lang w:val="en-US"/>
              </w:rPr>
              <w:lastRenderedPageBreak/>
              <w:t xml:space="preserve">Regulatory Vulnerability: As a Chinese company, Xiaomi faces a higher risk profile regarding data and privacy laws across various international jurisdictions. Any perceived or actual breach or regulatory non-compliance could severely </w:t>
            </w:r>
            <w:r w:rsidRPr="00F21E97">
              <w:rPr>
                <w:rFonts w:ascii="Arial" w:hAnsi="Arial" w:cs="Arial"/>
                <w:bCs/>
                <w:sz w:val="24"/>
                <w:szCs w:val="24"/>
                <w:lang w:val="en-US"/>
              </w:rPr>
              <w:lastRenderedPageBreak/>
              <w:t>damage its global reputation and market access, especially in highly regulated markets like Europe (TrustArc, 2024).</w:t>
            </w:r>
          </w:p>
        </w:tc>
      </w:tr>
    </w:tbl>
    <w:p w14:paraId="0FDFB2D2" w14:textId="77777777" w:rsidR="00036F02" w:rsidRDefault="00036F02" w:rsidP="00036F02">
      <w:pPr>
        <w:pStyle w:val="Caption"/>
      </w:pPr>
      <w:bookmarkStart w:id="7" w:name="_Toc214578577"/>
      <w:r>
        <w:lastRenderedPageBreak/>
        <w:t xml:space="preserve">Table </w:t>
      </w:r>
      <w:r>
        <w:fldChar w:fldCharType="begin"/>
      </w:r>
      <w:r>
        <w:instrText xml:space="preserve"> SEQ Table \* ARABIC </w:instrText>
      </w:r>
      <w:r>
        <w:fldChar w:fldCharType="separate"/>
      </w:r>
      <w:r>
        <w:rPr>
          <w:noProof/>
        </w:rPr>
        <w:t>1</w:t>
      </w:r>
      <w:r>
        <w:fldChar w:fldCharType="end"/>
      </w:r>
      <w:r>
        <w:t xml:space="preserve">: </w:t>
      </w:r>
      <w:r w:rsidRPr="00FA16F1">
        <w:t>Sociocultural Actor</w:t>
      </w:r>
      <w:bookmarkEnd w:id="7"/>
    </w:p>
    <w:p w14:paraId="13DBDAF0" w14:textId="77777777" w:rsidR="00036F02" w:rsidRPr="00E56DB0" w:rsidRDefault="00036F02" w:rsidP="00036F02">
      <w:pPr>
        <w:spacing w:before="240" w:line="360" w:lineRule="auto"/>
        <w:jc w:val="both"/>
        <w:rPr>
          <w:rFonts w:ascii="Arial" w:hAnsi="Arial" w:cs="Arial"/>
          <w:b/>
          <w:sz w:val="24"/>
          <w:szCs w:val="24"/>
          <w:lang w:val="en-US"/>
        </w:rPr>
      </w:pPr>
      <w:r w:rsidRPr="00E56DB0">
        <w:rPr>
          <w:rFonts w:ascii="Arial" w:hAnsi="Arial" w:cs="Arial"/>
          <w:b/>
          <w:sz w:val="24"/>
          <w:szCs w:val="24"/>
          <w:lang w:val="en-US"/>
        </w:rPr>
        <w:t>2. Technological Actor: Artificial Intelligence (AI) Integration</w:t>
      </w:r>
    </w:p>
    <w:p w14:paraId="746AE8F3" w14:textId="77777777" w:rsidR="00036F02" w:rsidRDefault="00036F02" w:rsidP="00036F02">
      <w:pPr>
        <w:spacing w:before="240" w:line="360" w:lineRule="auto"/>
        <w:jc w:val="both"/>
        <w:rPr>
          <w:rFonts w:ascii="Arial" w:hAnsi="Arial" w:cs="Arial"/>
          <w:bCs/>
          <w:sz w:val="24"/>
          <w:szCs w:val="24"/>
          <w:lang w:val="en-US"/>
        </w:rPr>
      </w:pPr>
      <w:r w:rsidRPr="00E56DB0">
        <w:rPr>
          <w:rFonts w:ascii="Arial" w:hAnsi="Arial" w:cs="Arial"/>
          <w:bCs/>
          <w:sz w:val="24"/>
          <w:szCs w:val="24"/>
          <w:lang w:val="en-US"/>
        </w:rPr>
        <w:t>The prompt incorporation of advanced AI features (T-factor) into operating systems and hardware on mobile devices is a revolutionary change, not just a simple voice assistant, but more of an improvement in photography, personalisation, and productivity (Dimension Market Research, 2024).</w:t>
      </w:r>
    </w:p>
    <w:tbl>
      <w:tblPr>
        <w:tblStyle w:val="TableGrid"/>
        <w:tblW w:w="9016" w:type="dxa"/>
        <w:tblLayout w:type="fixed"/>
        <w:tblLook w:val="04A0" w:firstRow="1" w:lastRow="0" w:firstColumn="1" w:lastColumn="0" w:noHBand="0" w:noVBand="1"/>
      </w:tblPr>
      <w:tblGrid>
        <w:gridCol w:w="1129"/>
        <w:gridCol w:w="4111"/>
        <w:gridCol w:w="3776"/>
      </w:tblGrid>
      <w:tr w:rsidR="00036F02" w:rsidRPr="003B5033" w14:paraId="2031A7C9" w14:textId="77777777" w:rsidTr="001C4696">
        <w:trPr>
          <w:trHeight w:val="274"/>
        </w:trPr>
        <w:tc>
          <w:tcPr>
            <w:tcW w:w="1129" w:type="dxa"/>
            <w:hideMark/>
          </w:tcPr>
          <w:p w14:paraId="4477A238" w14:textId="77777777" w:rsidR="00036F02" w:rsidRPr="003B5033" w:rsidRDefault="00036F02" w:rsidP="001C4696">
            <w:pPr>
              <w:spacing w:before="240" w:line="360" w:lineRule="auto"/>
              <w:jc w:val="both"/>
              <w:rPr>
                <w:rFonts w:ascii="Arial" w:hAnsi="Arial" w:cs="Arial"/>
                <w:b/>
                <w:sz w:val="24"/>
                <w:szCs w:val="24"/>
                <w:lang w:val="en-US"/>
              </w:rPr>
            </w:pPr>
            <w:r w:rsidRPr="003B5033">
              <w:rPr>
                <w:rFonts w:ascii="Arial" w:hAnsi="Arial" w:cs="Arial"/>
                <w:b/>
                <w:sz w:val="24"/>
                <w:szCs w:val="24"/>
                <w:lang w:val="en-US"/>
              </w:rPr>
              <w:t>Impact</w:t>
            </w:r>
          </w:p>
        </w:tc>
        <w:tc>
          <w:tcPr>
            <w:tcW w:w="4111" w:type="dxa"/>
            <w:hideMark/>
          </w:tcPr>
          <w:p w14:paraId="3C972692" w14:textId="77777777" w:rsidR="00036F02" w:rsidRPr="003B5033" w:rsidRDefault="00036F02" w:rsidP="001C4696">
            <w:pPr>
              <w:spacing w:before="240" w:line="360" w:lineRule="auto"/>
              <w:jc w:val="both"/>
              <w:rPr>
                <w:rFonts w:ascii="Arial" w:hAnsi="Arial" w:cs="Arial"/>
                <w:b/>
                <w:sz w:val="24"/>
                <w:szCs w:val="24"/>
                <w:lang w:val="en-US"/>
              </w:rPr>
            </w:pPr>
            <w:r w:rsidRPr="003B5033">
              <w:rPr>
                <w:rFonts w:ascii="Arial" w:hAnsi="Arial" w:cs="Arial"/>
                <w:b/>
                <w:sz w:val="24"/>
                <w:szCs w:val="24"/>
                <w:lang w:val="en-US"/>
              </w:rPr>
              <w:t>Apple (Pioneer)</w:t>
            </w:r>
          </w:p>
        </w:tc>
        <w:tc>
          <w:tcPr>
            <w:tcW w:w="3776" w:type="dxa"/>
            <w:hideMark/>
          </w:tcPr>
          <w:p w14:paraId="0DAF7BEB" w14:textId="77777777" w:rsidR="00036F02" w:rsidRPr="003B5033" w:rsidRDefault="00036F02" w:rsidP="001C4696">
            <w:pPr>
              <w:spacing w:before="240" w:line="360" w:lineRule="auto"/>
              <w:jc w:val="both"/>
              <w:rPr>
                <w:rFonts w:ascii="Arial" w:hAnsi="Arial" w:cs="Arial"/>
                <w:b/>
                <w:sz w:val="24"/>
                <w:szCs w:val="24"/>
                <w:lang w:val="en-US"/>
              </w:rPr>
            </w:pPr>
            <w:r w:rsidRPr="003B5033">
              <w:rPr>
                <w:rFonts w:ascii="Arial" w:hAnsi="Arial" w:cs="Arial"/>
                <w:b/>
                <w:sz w:val="24"/>
                <w:szCs w:val="24"/>
                <w:lang w:val="en-US"/>
              </w:rPr>
              <w:t>Xiaomi (Follower)</w:t>
            </w:r>
          </w:p>
        </w:tc>
      </w:tr>
      <w:tr w:rsidR="00036F02" w:rsidRPr="003B5033" w14:paraId="2E35B27E" w14:textId="77777777" w:rsidTr="001C4696">
        <w:trPr>
          <w:trHeight w:val="315"/>
        </w:trPr>
        <w:tc>
          <w:tcPr>
            <w:tcW w:w="1129" w:type="dxa"/>
            <w:hideMark/>
          </w:tcPr>
          <w:p w14:paraId="2BFE9373" w14:textId="77777777" w:rsidR="00036F02" w:rsidRPr="003B5033" w:rsidRDefault="00036F02" w:rsidP="001C4696">
            <w:pPr>
              <w:spacing w:before="240" w:line="360" w:lineRule="auto"/>
              <w:jc w:val="both"/>
              <w:rPr>
                <w:rFonts w:ascii="Arial" w:hAnsi="Arial" w:cs="Arial"/>
                <w:b/>
                <w:sz w:val="24"/>
                <w:szCs w:val="24"/>
                <w:lang w:val="en-US"/>
              </w:rPr>
            </w:pPr>
            <w:r w:rsidRPr="003B5033">
              <w:rPr>
                <w:rFonts w:ascii="Arial" w:hAnsi="Arial" w:cs="Arial"/>
                <w:b/>
                <w:sz w:val="24"/>
                <w:szCs w:val="24"/>
                <w:lang w:val="en-US"/>
              </w:rPr>
              <w:t>Opportunities</w:t>
            </w:r>
          </w:p>
        </w:tc>
        <w:tc>
          <w:tcPr>
            <w:tcW w:w="4111" w:type="dxa"/>
            <w:hideMark/>
          </w:tcPr>
          <w:p w14:paraId="606B7CEA" w14:textId="77777777" w:rsidR="00036F02" w:rsidRPr="003B5033" w:rsidRDefault="00036F02" w:rsidP="001C4696">
            <w:pPr>
              <w:spacing w:before="240" w:line="360" w:lineRule="auto"/>
              <w:jc w:val="both"/>
              <w:rPr>
                <w:rFonts w:ascii="Arial" w:hAnsi="Arial" w:cs="Arial"/>
                <w:bCs/>
                <w:sz w:val="24"/>
                <w:szCs w:val="24"/>
                <w:lang w:val="en-US"/>
              </w:rPr>
            </w:pPr>
            <w:r w:rsidRPr="003B5033">
              <w:rPr>
                <w:rFonts w:ascii="Arial" w:hAnsi="Arial" w:cs="Arial"/>
                <w:bCs/>
                <w:sz w:val="24"/>
                <w:szCs w:val="24"/>
                <w:lang w:val="en-US"/>
              </w:rPr>
              <w:t>Ecosystem Enhancement and Premium Services: Apple is leveraging AI (such as "Apple Intelligence") to offer proprietary, context-aware features, integrating its ecosystem more deeply with GenAI models like ChatGPT. This allows for new, high-value subscription tiers and justifies its premium pricing strategy (InvestingPro, 2025).</w:t>
            </w:r>
          </w:p>
        </w:tc>
        <w:tc>
          <w:tcPr>
            <w:tcW w:w="3776" w:type="dxa"/>
            <w:hideMark/>
          </w:tcPr>
          <w:p w14:paraId="16A40A8E" w14:textId="77777777" w:rsidR="00036F02" w:rsidRPr="003B5033" w:rsidRDefault="00036F02" w:rsidP="001C4696">
            <w:pPr>
              <w:spacing w:before="240" w:line="360" w:lineRule="auto"/>
              <w:jc w:val="both"/>
              <w:rPr>
                <w:rFonts w:ascii="Arial" w:hAnsi="Arial" w:cs="Arial"/>
                <w:bCs/>
                <w:sz w:val="24"/>
                <w:szCs w:val="24"/>
                <w:lang w:val="en-US"/>
              </w:rPr>
            </w:pPr>
            <w:r w:rsidRPr="003B5033">
              <w:rPr>
                <w:rFonts w:ascii="Arial" w:hAnsi="Arial" w:cs="Arial"/>
                <w:bCs/>
                <w:sz w:val="24"/>
                <w:szCs w:val="24"/>
                <w:lang w:val="en-US"/>
              </w:rPr>
              <w:t>Feature Parity and Customization: Xiaomi can use its expertise in hardware innovation to rapidly integrate cutting-edge, third-party AI features into its devices and its HyperOS, achieving near-flagship parity in features like advanced photography and battery optimization at a lower cost, appealing to value-conscious, tech-enthusiast segments (NanoReview, 2024; Coherent Market Insights, 2025).</w:t>
            </w:r>
          </w:p>
        </w:tc>
      </w:tr>
      <w:tr w:rsidR="00036F02" w:rsidRPr="003B5033" w14:paraId="7DFB944A" w14:textId="77777777" w:rsidTr="001C4696">
        <w:trPr>
          <w:trHeight w:val="315"/>
        </w:trPr>
        <w:tc>
          <w:tcPr>
            <w:tcW w:w="1129" w:type="dxa"/>
            <w:hideMark/>
          </w:tcPr>
          <w:p w14:paraId="5D0D5B7F" w14:textId="77777777" w:rsidR="00036F02" w:rsidRPr="003B5033" w:rsidRDefault="00036F02" w:rsidP="001C4696">
            <w:pPr>
              <w:spacing w:before="240" w:line="360" w:lineRule="auto"/>
              <w:jc w:val="both"/>
              <w:rPr>
                <w:rFonts w:ascii="Arial" w:hAnsi="Arial" w:cs="Arial"/>
                <w:b/>
                <w:sz w:val="24"/>
                <w:szCs w:val="24"/>
                <w:lang w:val="en-US"/>
              </w:rPr>
            </w:pPr>
            <w:r w:rsidRPr="003B5033">
              <w:rPr>
                <w:rFonts w:ascii="Arial" w:hAnsi="Arial" w:cs="Arial"/>
                <w:b/>
                <w:sz w:val="24"/>
                <w:szCs w:val="24"/>
                <w:lang w:val="en-US"/>
              </w:rPr>
              <w:t>Threats</w:t>
            </w:r>
          </w:p>
        </w:tc>
        <w:tc>
          <w:tcPr>
            <w:tcW w:w="4111" w:type="dxa"/>
            <w:hideMark/>
          </w:tcPr>
          <w:p w14:paraId="647BFB2A" w14:textId="77777777" w:rsidR="00036F02" w:rsidRPr="003B5033" w:rsidRDefault="00036F02" w:rsidP="001C4696">
            <w:pPr>
              <w:spacing w:before="240" w:line="360" w:lineRule="auto"/>
              <w:jc w:val="both"/>
              <w:rPr>
                <w:rFonts w:ascii="Arial" w:hAnsi="Arial" w:cs="Arial"/>
                <w:bCs/>
                <w:sz w:val="24"/>
                <w:szCs w:val="24"/>
                <w:lang w:val="en-US"/>
              </w:rPr>
            </w:pPr>
            <w:r w:rsidRPr="003B5033">
              <w:rPr>
                <w:rFonts w:ascii="Arial" w:hAnsi="Arial" w:cs="Arial"/>
                <w:bCs/>
                <w:sz w:val="24"/>
                <w:szCs w:val="24"/>
                <w:lang w:val="en-US"/>
              </w:rPr>
              <w:t xml:space="preserve">Pace of Innovation and Catch-up Risk: Apple faces the threat of lagging behind competitors like Google and Samsung in introducing </w:t>
            </w:r>
            <w:r w:rsidRPr="003B5033">
              <w:rPr>
                <w:rFonts w:ascii="Arial" w:hAnsi="Arial" w:cs="Arial"/>
                <w:bCs/>
                <w:sz w:val="24"/>
                <w:szCs w:val="24"/>
                <w:lang w:val="en-US"/>
              </w:rPr>
              <w:lastRenderedPageBreak/>
              <w:t>breakthrough AI hardware/software, potentially struggling to maintain its innovative lead if AI becomes the primary purchase driver for consumers (InvestingPro, 2025).</w:t>
            </w:r>
          </w:p>
        </w:tc>
        <w:tc>
          <w:tcPr>
            <w:tcW w:w="3776" w:type="dxa"/>
            <w:hideMark/>
          </w:tcPr>
          <w:p w14:paraId="035F66E8" w14:textId="77777777" w:rsidR="00036F02" w:rsidRPr="003B5033" w:rsidRDefault="00036F02" w:rsidP="001C4696">
            <w:pPr>
              <w:keepNext/>
              <w:spacing w:before="240" w:line="360" w:lineRule="auto"/>
              <w:jc w:val="both"/>
              <w:rPr>
                <w:rFonts w:ascii="Arial" w:hAnsi="Arial" w:cs="Arial"/>
                <w:bCs/>
                <w:sz w:val="24"/>
                <w:szCs w:val="24"/>
                <w:lang w:val="en-US"/>
              </w:rPr>
            </w:pPr>
            <w:r w:rsidRPr="003B5033">
              <w:rPr>
                <w:rFonts w:ascii="Arial" w:hAnsi="Arial" w:cs="Arial"/>
                <w:bCs/>
                <w:sz w:val="24"/>
                <w:szCs w:val="24"/>
                <w:lang w:val="en-US"/>
              </w:rPr>
              <w:lastRenderedPageBreak/>
              <w:t xml:space="preserve">Ethical AI and Bias Concerns: As AI-driven features become central, Xiaomi, with its open-source Android base, must </w:t>
            </w:r>
            <w:r w:rsidRPr="003B5033">
              <w:rPr>
                <w:rFonts w:ascii="Arial" w:hAnsi="Arial" w:cs="Arial"/>
                <w:bCs/>
                <w:sz w:val="24"/>
                <w:szCs w:val="24"/>
                <w:lang w:val="en-US"/>
              </w:rPr>
              <w:lastRenderedPageBreak/>
              <w:t>navigate the threats of ensuring ethical AI use, avoiding algorithmic bias, and maintaining transparency, which is complex across diverse global markets (ResearchGate, 2024).</w:t>
            </w:r>
          </w:p>
        </w:tc>
      </w:tr>
    </w:tbl>
    <w:p w14:paraId="3774DC0F" w14:textId="77777777" w:rsidR="00036F02" w:rsidRPr="00E56DB0" w:rsidRDefault="00036F02" w:rsidP="00036F02">
      <w:pPr>
        <w:pStyle w:val="Caption"/>
        <w:rPr>
          <w:rFonts w:ascii="Arial" w:hAnsi="Arial" w:cs="Arial"/>
          <w:bCs/>
          <w:sz w:val="24"/>
          <w:szCs w:val="24"/>
          <w:lang w:val="en-US"/>
        </w:rPr>
      </w:pPr>
      <w:bookmarkStart w:id="8" w:name="_Toc214578578"/>
      <w:r>
        <w:lastRenderedPageBreak/>
        <w:t xml:space="preserve">Table </w:t>
      </w:r>
      <w:r>
        <w:fldChar w:fldCharType="begin"/>
      </w:r>
      <w:r>
        <w:instrText xml:space="preserve"> SEQ Table \* ARABIC </w:instrText>
      </w:r>
      <w:r>
        <w:fldChar w:fldCharType="separate"/>
      </w:r>
      <w:r>
        <w:rPr>
          <w:noProof/>
        </w:rPr>
        <w:t>2</w:t>
      </w:r>
      <w:r>
        <w:fldChar w:fldCharType="end"/>
      </w:r>
      <w:r>
        <w:t xml:space="preserve">: </w:t>
      </w:r>
      <w:r w:rsidRPr="00A82A9F">
        <w:t>Technological Actor</w:t>
      </w:r>
      <w:bookmarkEnd w:id="8"/>
    </w:p>
    <w:p w14:paraId="192B0AFC" w14:textId="77777777" w:rsidR="00036F02" w:rsidRDefault="00036F02" w:rsidP="00036F02">
      <w:pPr>
        <w:spacing w:before="240" w:line="360" w:lineRule="auto"/>
        <w:jc w:val="both"/>
        <w:rPr>
          <w:rFonts w:ascii="Arial" w:hAnsi="Arial" w:cs="Arial"/>
          <w:bCs/>
          <w:sz w:val="24"/>
          <w:szCs w:val="24"/>
          <w:lang w:val="en-US"/>
        </w:rPr>
      </w:pPr>
      <w:r w:rsidRPr="00E071BB">
        <w:rPr>
          <w:rFonts w:ascii="Arial" w:hAnsi="Arial" w:cs="Arial"/>
          <w:bCs/>
          <w:sz w:val="24"/>
          <w:szCs w:val="24"/>
          <w:lang w:val="en-US"/>
        </w:rPr>
        <w:t>Apple and Xiaomi should strategically address macro factors.  Apple uses sociocultural change to emphasise privacy as a brand value, but delayed AI adoption might jeopardise it.  Xiaomi employs AI to maintain its cost-leadership approach, but it is more structurally vulnerable to sociocultural/legal risks to data privacy and international confidence.  To overcome their macro-environmental disadvantages, both enterprises must use dynamic planning during navigation.</w:t>
      </w:r>
    </w:p>
    <w:p w14:paraId="23512FBA" w14:textId="77777777" w:rsidR="00036F02" w:rsidRDefault="00036F02" w:rsidP="00036F02">
      <w:pPr>
        <w:spacing w:after="160" w:line="278" w:lineRule="auto"/>
        <w:rPr>
          <w:rFonts w:ascii="Arial" w:eastAsiaTheme="majorEastAsia" w:hAnsi="Arial" w:cstheme="majorBidi"/>
          <w:b/>
          <w:color w:val="000000" w:themeColor="text1"/>
          <w:sz w:val="32"/>
          <w:szCs w:val="40"/>
          <w:lang w:val="en-US"/>
        </w:rPr>
      </w:pPr>
      <w:r>
        <w:rPr>
          <w:lang w:val="en-US"/>
        </w:rPr>
        <w:br w:type="page"/>
      </w:r>
    </w:p>
    <w:p w14:paraId="7CA0C5AA" w14:textId="77777777" w:rsidR="00036F02" w:rsidRPr="00130761" w:rsidRDefault="00036F02" w:rsidP="00036F02">
      <w:pPr>
        <w:pStyle w:val="Heading1"/>
        <w:jc w:val="center"/>
        <w:rPr>
          <w:lang w:val="en-US"/>
        </w:rPr>
      </w:pPr>
      <w:bookmarkStart w:id="9" w:name="_Toc214578589"/>
      <w:r w:rsidRPr="0070071B">
        <w:rPr>
          <w:lang w:val="en-US"/>
        </w:rPr>
        <w:lastRenderedPageBreak/>
        <w:t>Task 2</w:t>
      </w:r>
      <w:bookmarkEnd w:id="9"/>
    </w:p>
    <w:p w14:paraId="3ECBF575" w14:textId="77777777" w:rsidR="00036F02" w:rsidRDefault="00036F02" w:rsidP="00036F02">
      <w:pPr>
        <w:pStyle w:val="Heading2"/>
        <w:rPr>
          <w:lang w:val="en-US"/>
        </w:rPr>
      </w:pPr>
      <w:bookmarkStart w:id="10" w:name="_Toc214578590"/>
      <w:r>
        <w:rPr>
          <w:lang w:val="en-US"/>
        </w:rPr>
        <w:t xml:space="preserve">2.1 </w:t>
      </w:r>
      <w:r w:rsidRPr="00B72F08">
        <w:rPr>
          <w:lang w:val="en-US"/>
        </w:rPr>
        <w:t>Strategic Responses to Macro-Environmental Forces</w:t>
      </w:r>
      <w:bookmarkEnd w:id="10"/>
    </w:p>
    <w:p w14:paraId="6293D551" w14:textId="77777777" w:rsidR="0043770C" w:rsidRPr="0043770C" w:rsidRDefault="0043770C" w:rsidP="0043770C">
      <w:pPr>
        <w:spacing w:before="240" w:line="360" w:lineRule="auto"/>
        <w:jc w:val="both"/>
        <w:rPr>
          <w:rFonts w:ascii="Arial" w:hAnsi="Arial" w:cs="Arial"/>
          <w:bCs/>
          <w:sz w:val="24"/>
          <w:szCs w:val="24"/>
          <w:lang w:val="en-US"/>
        </w:rPr>
      </w:pPr>
      <w:r w:rsidRPr="0043770C">
        <w:rPr>
          <w:rFonts w:ascii="Arial" w:hAnsi="Arial" w:cs="Arial"/>
          <w:bCs/>
          <w:sz w:val="24"/>
          <w:szCs w:val="24"/>
          <w:lang w:val="en-US"/>
        </w:rPr>
        <w:t>The long-term competitiveness of the companies in the dynamic worldwide technology hardware market is determined by the strategic responses of firms to the external macro-environmental players (like the changes in data privacy and the spread of AI) (Liu and Park, 2022). This is a critical analysis of the strategic decisions of the first mover, Apple Inc., and the technological follower, Xiaomi Corporation, using different classical strategic models – Porter's Generic Strategies for Apple and the Growth Matrix of Ansoff for Xiaomi – to demonstrate their respective approaches to the evolution of the market.</w:t>
      </w:r>
    </w:p>
    <w:p w14:paraId="5C6B6ADA" w14:textId="77777777" w:rsidR="0043770C" w:rsidRPr="0043770C" w:rsidRDefault="0043770C" w:rsidP="0043770C">
      <w:pPr>
        <w:spacing w:before="240" w:line="360" w:lineRule="auto"/>
        <w:jc w:val="both"/>
        <w:rPr>
          <w:rFonts w:ascii="Arial" w:hAnsi="Arial" w:cs="Arial"/>
          <w:bCs/>
          <w:sz w:val="24"/>
          <w:szCs w:val="24"/>
          <w:lang w:val="en-US"/>
        </w:rPr>
      </w:pPr>
      <w:r w:rsidRPr="0043770C">
        <w:rPr>
          <w:rFonts w:ascii="Arial" w:hAnsi="Arial" w:cs="Arial"/>
          <w:bCs/>
          <w:sz w:val="24"/>
          <w:szCs w:val="24"/>
          <w:lang w:val="en-US"/>
        </w:rPr>
        <w:t>The brand loyalty, proprietary design, and a well-interested user ecosystem enable Apple to uphold its high pricing model, which is also based on its competitive edge (Liu and Park, 2022). In contrast, Xiaomi is interested in the maximum market share by the speed of product diversification within the Internet of Things (IoT) platform and the use of cost leadership to overcome aggressive competition (Liu and Park, 2022; Zhang et al., 2024).</w:t>
      </w:r>
    </w:p>
    <w:p w14:paraId="1FEF12A7" w14:textId="58892DB2" w:rsidR="0043770C" w:rsidRPr="0043770C" w:rsidRDefault="0043770C" w:rsidP="00B23E59">
      <w:pPr>
        <w:pStyle w:val="Heading3"/>
        <w:rPr>
          <w:lang w:val="en-US"/>
        </w:rPr>
      </w:pPr>
      <w:bookmarkStart w:id="11" w:name="_Toc214578591"/>
      <w:r>
        <w:rPr>
          <w:lang w:val="en-US"/>
        </w:rPr>
        <w:t>2</w:t>
      </w:r>
      <w:r w:rsidRPr="0043770C">
        <w:rPr>
          <w:lang w:val="en-US"/>
        </w:rPr>
        <w:t>.1</w:t>
      </w:r>
      <w:r w:rsidR="00B23E59">
        <w:rPr>
          <w:lang w:val="en-US"/>
        </w:rPr>
        <w:t>.1</w:t>
      </w:r>
      <w:r w:rsidRPr="0043770C">
        <w:rPr>
          <w:lang w:val="en-US"/>
        </w:rPr>
        <w:t xml:space="preserve"> Strategic Responses of Apple Inc. Organisations.</w:t>
      </w:r>
      <w:bookmarkEnd w:id="11"/>
    </w:p>
    <w:p w14:paraId="31AB41E6" w14:textId="3631D281" w:rsidR="0043770C" w:rsidRPr="00BD7936" w:rsidRDefault="0043770C" w:rsidP="0043770C">
      <w:pPr>
        <w:spacing w:before="240" w:line="360" w:lineRule="auto"/>
        <w:jc w:val="both"/>
        <w:rPr>
          <w:rFonts w:ascii="Arial" w:hAnsi="Arial" w:cs="Arial"/>
          <w:b/>
          <w:sz w:val="24"/>
          <w:szCs w:val="24"/>
          <w:lang w:val="en-US"/>
        </w:rPr>
      </w:pPr>
      <w:r w:rsidRPr="00BD7936">
        <w:rPr>
          <w:rFonts w:ascii="Arial" w:hAnsi="Arial" w:cs="Arial"/>
          <w:b/>
          <w:sz w:val="24"/>
          <w:szCs w:val="24"/>
          <w:lang w:val="en-US"/>
        </w:rPr>
        <w:t xml:space="preserve">Strategic Model: </w:t>
      </w:r>
      <w:r w:rsidR="00BD7936" w:rsidRPr="00BD7936">
        <w:rPr>
          <w:rFonts w:ascii="Arial" w:hAnsi="Arial" w:cs="Arial"/>
          <w:b/>
          <w:sz w:val="24"/>
          <w:szCs w:val="24"/>
          <w:lang w:val="en-US"/>
        </w:rPr>
        <w:t>Porter's Differentiation Focus</w:t>
      </w:r>
    </w:p>
    <w:p w14:paraId="120BD4FF" w14:textId="77777777" w:rsidR="0043770C" w:rsidRPr="0043770C" w:rsidRDefault="0043770C" w:rsidP="0043770C">
      <w:pPr>
        <w:spacing w:before="240" w:line="360" w:lineRule="auto"/>
        <w:jc w:val="both"/>
        <w:rPr>
          <w:rFonts w:ascii="Arial" w:hAnsi="Arial" w:cs="Arial"/>
          <w:bCs/>
          <w:sz w:val="24"/>
          <w:szCs w:val="24"/>
          <w:lang w:val="en-US"/>
        </w:rPr>
      </w:pPr>
      <w:r w:rsidRPr="0043770C">
        <w:rPr>
          <w:rFonts w:ascii="Arial" w:hAnsi="Arial" w:cs="Arial"/>
          <w:bCs/>
          <w:sz w:val="24"/>
          <w:szCs w:val="24"/>
          <w:lang w:val="en-US"/>
        </w:rPr>
        <w:t>First-mover companies such as Apple mainly react to the environmental change by exploiting and strengthening the existing competitive advantage. In the case of Apple, it is done under the concept of Differentiation Focus strategy which focuses on the most lucrative areas of the market by selling unique and high-level superior products and an unmatched user ecosystem (Sugiarti &amp; Zulfikar, 2024). This approach will enable the firm to explain its premium pricing framework and attain significantly greater profit margins than its volume-orientated competitors (Liu and Park, 2022).</w:t>
      </w:r>
    </w:p>
    <w:p w14:paraId="6AF6F634" w14:textId="77777777" w:rsidR="0043770C" w:rsidRPr="00922DAB" w:rsidRDefault="0043770C" w:rsidP="0043770C">
      <w:pPr>
        <w:spacing w:before="240" w:line="360" w:lineRule="auto"/>
        <w:jc w:val="both"/>
        <w:rPr>
          <w:rFonts w:ascii="Arial" w:hAnsi="Arial" w:cs="Arial"/>
          <w:b/>
          <w:sz w:val="24"/>
          <w:szCs w:val="24"/>
          <w:lang w:val="en-US"/>
        </w:rPr>
      </w:pPr>
      <w:r w:rsidRPr="00922DAB">
        <w:rPr>
          <w:rFonts w:ascii="Arial" w:hAnsi="Arial" w:cs="Arial"/>
          <w:b/>
          <w:sz w:val="24"/>
          <w:szCs w:val="24"/>
          <w:lang w:val="en-US"/>
        </w:rPr>
        <w:t>Using and Critically Analysing:</w:t>
      </w:r>
    </w:p>
    <w:p w14:paraId="1F50123E" w14:textId="77777777" w:rsidR="0043770C" w:rsidRPr="00613DD3" w:rsidRDefault="0043770C" w:rsidP="00613DD3">
      <w:pPr>
        <w:pStyle w:val="ListParagraph"/>
        <w:numPr>
          <w:ilvl w:val="0"/>
          <w:numId w:val="8"/>
        </w:numPr>
        <w:spacing w:before="240" w:line="360" w:lineRule="auto"/>
        <w:jc w:val="both"/>
        <w:rPr>
          <w:rFonts w:ascii="Arial" w:hAnsi="Arial" w:cs="Arial"/>
          <w:bCs/>
          <w:sz w:val="24"/>
          <w:szCs w:val="24"/>
          <w:lang w:val="en-US"/>
        </w:rPr>
      </w:pPr>
      <w:r w:rsidRPr="00613DD3">
        <w:rPr>
          <w:rFonts w:ascii="Arial" w:hAnsi="Arial" w:cs="Arial"/>
          <w:b/>
          <w:sz w:val="24"/>
          <w:szCs w:val="24"/>
          <w:lang w:val="en-US"/>
        </w:rPr>
        <w:t>Response to Social Actor (Data Privacy):</w:t>
      </w:r>
      <w:r w:rsidRPr="00613DD3">
        <w:rPr>
          <w:rFonts w:ascii="Arial" w:hAnsi="Arial" w:cs="Arial"/>
          <w:bCs/>
          <w:sz w:val="24"/>
          <w:szCs w:val="24"/>
          <w:lang w:val="en-US"/>
        </w:rPr>
        <w:t xml:space="preserve"> Apple has been able to turn the social trend of increased data privacy into a strategic differentiator, which </w:t>
      </w:r>
      <w:r w:rsidRPr="00613DD3">
        <w:rPr>
          <w:rFonts w:ascii="Arial" w:hAnsi="Arial" w:cs="Arial"/>
          <w:bCs/>
          <w:sz w:val="24"/>
          <w:szCs w:val="24"/>
          <w:lang w:val="en-US"/>
        </w:rPr>
        <w:lastRenderedPageBreak/>
        <w:t>reinforced its brand image of a high-quality, ethical selection (Sugiarti and Zulfikar, 2024).</w:t>
      </w:r>
    </w:p>
    <w:p w14:paraId="5DD896FC" w14:textId="77777777" w:rsidR="0043770C" w:rsidRPr="00613DD3" w:rsidRDefault="0043770C" w:rsidP="00613DD3">
      <w:pPr>
        <w:pStyle w:val="ListParagraph"/>
        <w:numPr>
          <w:ilvl w:val="1"/>
          <w:numId w:val="8"/>
        </w:numPr>
        <w:spacing w:before="240" w:line="360" w:lineRule="auto"/>
        <w:jc w:val="both"/>
        <w:rPr>
          <w:rFonts w:ascii="Arial" w:hAnsi="Arial" w:cs="Arial"/>
          <w:bCs/>
          <w:sz w:val="24"/>
          <w:szCs w:val="24"/>
          <w:lang w:val="en-US"/>
        </w:rPr>
      </w:pPr>
      <w:r w:rsidRPr="00613DD3">
        <w:rPr>
          <w:rFonts w:ascii="Arial" w:hAnsi="Arial" w:cs="Arial"/>
          <w:b/>
          <w:sz w:val="24"/>
          <w:szCs w:val="24"/>
          <w:lang w:val="en-US"/>
        </w:rPr>
        <w:t>Strategic Response:</w:t>
      </w:r>
      <w:r w:rsidRPr="00613DD3">
        <w:rPr>
          <w:rFonts w:ascii="Arial" w:hAnsi="Arial" w:cs="Arial"/>
          <w:bCs/>
          <w:sz w:val="24"/>
          <w:szCs w:val="24"/>
          <w:lang w:val="en-US"/>
        </w:rPr>
        <w:t xml:space="preserve"> In 2020, the presentation of the App Tracking Transparency (ATT) meant that the user needed to consent to their data sharing, which put Apple in charge of the user security (Baum-Zepeda, 2025). This action both reinforced brand loyalty and signalled the application of a proprietary control point (the iOS ecosystem) to enhance customer lock-in (Sugiarti and Zulfikar, 2024).</w:t>
      </w:r>
    </w:p>
    <w:p w14:paraId="59251FCE" w14:textId="77777777" w:rsidR="0043770C" w:rsidRPr="00613DD3" w:rsidRDefault="0043770C" w:rsidP="00613DD3">
      <w:pPr>
        <w:pStyle w:val="ListParagraph"/>
        <w:numPr>
          <w:ilvl w:val="1"/>
          <w:numId w:val="8"/>
        </w:numPr>
        <w:spacing w:before="240" w:line="360" w:lineRule="auto"/>
        <w:jc w:val="both"/>
        <w:rPr>
          <w:rFonts w:ascii="Arial" w:hAnsi="Arial" w:cs="Arial"/>
          <w:bCs/>
          <w:sz w:val="24"/>
          <w:szCs w:val="24"/>
          <w:lang w:val="en-US"/>
        </w:rPr>
      </w:pPr>
      <w:r w:rsidRPr="00613DD3">
        <w:rPr>
          <w:rFonts w:ascii="Arial" w:hAnsi="Arial" w:cs="Arial"/>
          <w:b/>
          <w:sz w:val="24"/>
          <w:szCs w:val="24"/>
          <w:lang w:val="en-US"/>
        </w:rPr>
        <w:t>Critical Threat:</w:t>
      </w:r>
      <w:r w:rsidRPr="00613DD3">
        <w:rPr>
          <w:rFonts w:ascii="Arial" w:hAnsi="Arial" w:cs="Arial"/>
          <w:bCs/>
          <w:sz w:val="24"/>
          <w:szCs w:val="24"/>
          <w:lang w:val="en-US"/>
        </w:rPr>
        <w:t xml:space="preserve"> In the process of strengthening differentiation, the policy has been understood as being evaluated as critical in being anti-competitive in nature. Critics believe that ATT increases the marketing expenses of competitor firms and at the same time increases revenue on advertisements made by Apple to third parties, making the company vulnerable to severe antitrust and regulatory risk, which may damage major sources of its core services revenue (Baum-Zepeda, 2025).</w:t>
      </w:r>
    </w:p>
    <w:p w14:paraId="00420F03" w14:textId="77777777" w:rsidR="0043770C" w:rsidRPr="001F1748" w:rsidRDefault="0043770C" w:rsidP="001F1748">
      <w:pPr>
        <w:pStyle w:val="ListParagraph"/>
        <w:numPr>
          <w:ilvl w:val="0"/>
          <w:numId w:val="9"/>
        </w:numPr>
        <w:spacing w:before="240" w:line="360" w:lineRule="auto"/>
        <w:jc w:val="both"/>
        <w:rPr>
          <w:rFonts w:ascii="Arial" w:hAnsi="Arial" w:cs="Arial"/>
          <w:bCs/>
          <w:sz w:val="24"/>
          <w:szCs w:val="24"/>
          <w:lang w:val="en-US"/>
        </w:rPr>
      </w:pPr>
      <w:r w:rsidRPr="001F1748">
        <w:rPr>
          <w:rFonts w:ascii="Arial" w:hAnsi="Arial" w:cs="Arial"/>
          <w:b/>
          <w:sz w:val="24"/>
          <w:szCs w:val="24"/>
          <w:lang w:val="en-US"/>
        </w:rPr>
        <w:t>Response to Technological Actor (AI Integration):</w:t>
      </w:r>
      <w:r w:rsidRPr="001F1748">
        <w:rPr>
          <w:rFonts w:ascii="Arial" w:hAnsi="Arial" w:cs="Arial"/>
          <w:bCs/>
          <w:sz w:val="24"/>
          <w:szCs w:val="24"/>
          <w:lang w:val="en-US"/>
        </w:rPr>
        <w:t xml:space="preserve"> Apple deploys the integration of AI, which solely elevates its differentiated product experience and ecosystem synergy (Fensore &amp; D’Amico, 2024).</w:t>
      </w:r>
    </w:p>
    <w:p w14:paraId="01468C28" w14:textId="77777777" w:rsidR="0043770C" w:rsidRPr="001F1748" w:rsidRDefault="0043770C" w:rsidP="001F1748">
      <w:pPr>
        <w:pStyle w:val="ListParagraph"/>
        <w:numPr>
          <w:ilvl w:val="1"/>
          <w:numId w:val="9"/>
        </w:numPr>
        <w:spacing w:before="240" w:line="360" w:lineRule="auto"/>
        <w:jc w:val="both"/>
        <w:rPr>
          <w:rFonts w:ascii="Arial" w:hAnsi="Arial" w:cs="Arial"/>
          <w:bCs/>
          <w:sz w:val="24"/>
          <w:szCs w:val="24"/>
          <w:lang w:val="en-US"/>
        </w:rPr>
      </w:pPr>
      <w:r w:rsidRPr="001F1748">
        <w:rPr>
          <w:rFonts w:ascii="Arial" w:hAnsi="Arial" w:cs="Arial"/>
          <w:b/>
          <w:sz w:val="24"/>
          <w:szCs w:val="24"/>
          <w:lang w:val="en-US"/>
        </w:rPr>
        <w:t>Strategic Action:</w:t>
      </w:r>
      <w:r w:rsidRPr="001F1748">
        <w:rPr>
          <w:rFonts w:ascii="Arial" w:hAnsi="Arial" w:cs="Arial"/>
          <w:bCs/>
          <w:sz w:val="24"/>
          <w:szCs w:val="24"/>
          <w:lang w:val="en-US"/>
        </w:rPr>
        <w:t xml:space="preserve"> Apple emphasizes Situated AI Use instead of low-cost and mass-market strategy, using algorithms to power already valuable functions like facial recognition during user authentication and cross-interoperability among devices (Fensore and D’Amico, 2024). This only heightens the Data Network Effects of its built-in platform (Fensore &amp; D’Amico, 2024).</w:t>
      </w:r>
    </w:p>
    <w:p w14:paraId="0A7B9881" w14:textId="77777777" w:rsidR="0043770C" w:rsidRPr="001F1748" w:rsidRDefault="0043770C" w:rsidP="001F1748">
      <w:pPr>
        <w:pStyle w:val="ListParagraph"/>
        <w:numPr>
          <w:ilvl w:val="1"/>
          <w:numId w:val="9"/>
        </w:numPr>
        <w:spacing w:before="240" w:line="360" w:lineRule="auto"/>
        <w:jc w:val="both"/>
        <w:rPr>
          <w:rFonts w:ascii="Arial" w:hAnsi="Arial" w:cs="Arial"/>
          <w:bCs/>
          <w:sz w:val="24"/>
          <w:szCs w:val="24"/>
          <w:lang w:val="en-US"/>
        </w:rPr>
      </w:pPr>
      <w:r w:rsidRPr="001F1748">
        <w:rPr>
          <w:rFonts w:ascii="Arial" w:hAnsi="Arial" w:cs="Arial"/>
          <w:b/>
          <w:sz w:val="24"/>
          <w:szCs w:val="24"/>
          <w:lang w:val="en-US"/>
        </w:rPr>
        <w:t>Critical Opportunity:</w:t>
      </w:r>
      <w:r w:rsidRPr="001F1748">
        <w:rPr>
          <w:rFonts w:ascii="Arial" w:hAnsi="Arial" w:cs="Arial"/>
          <w:bCs/>
          <w:sz w:val="24"/>
          <w:szCs w:val="24"/>
          <w:lang w:val="en-US"/>
        </w:rPr>
        <w:t xml:space="preserve"> This supports the differentiation strategy through the establishment of a constantly enhancing, personalised experience that competitors have a hard time imitating that justifies the higher price point and explains high brand loyalty (Sugiarti &amp; Zulfikar, 2024).</w:t>
      </w:r>
    </w:p>
    <w:p w14:paraId="78D86F7A" w14:textId="77777777" w:rsidR="004D6D79" w:rsidRDefault="004D6D79">
      <w:pPr>
        <w:spacing w:after="160" w:line="278" w:lineRule="auto"/>
        <w:rPr>
          <w:rFonts w:ascii="Arial" w:eastAsiaTheme="majorEastAsia" w:hAnsi="Arial" w:cstheme="majorBidi"/>
          <w:b/>
          <w:color w:val="000000" w:themeColor="text1"/>
          <w:sz w:val="26"/>
          <w:szCs w:val="28"/>
          <w:lang w:val="en-US"/>
        </w:rPr>
      </w:pPr>
      <w:r>
        <w:rPr>
          <w:lang w:val="en-US"/>
        </w:rPr>
        <w:br w:type="page"/>
      </w:r>
    </w:p>
    <w:p w14:paraId="16D5D7D5" w14:textId="07F5B975" w:rsidR="0043770C" w:rsidRPr="0043770C" w:rsidRDefault="00332A1B" w:rsidP="00332A1B">
      <w:pPr>
        <w:pStyle w:val="Heading3"/>
        <w:rPr>
          <w:lang w:val="en-US"/>
        </w:rPr>
      </w:pPr>
      <w:bookmarkStart w:id="12" w:name="_Toc214578592"/>
      <w:r>
        <w:rPr>
          <w:lang w:val="en-US"/>
        </w:rPr>
        <w:lastRenderedPageBreak/>
        <w:t xml:space="preserve">2.1.2 </w:t>
      </w:r>
      <w:r w:rsidR="0043770C" w:rsidRPr="0043770C">
        <w:rPr>
          <w:lang w:val="en-US"/>
        </w:rPr>
        <w:t>Strategic Responses of follower Xiaomi Organisations.</w:t>
      </w:r>
      <w:bookmarkEnd w:id="12"/>
    </w:p>
    <w:p w14:paraId="24C5B356" w14:textId="4570E274" w:rsidR="0043770C" w:rsidRPr="004D6D79" w:rsidRDefault="00985F99" w:rsidP="0043770C">
      <w:pPr>
        <w:spacing w:before="240" w:line="360" w:lineRule="auto"/>
        <w:jc w:val="both"/>
        <w:rPr>
          <w:rFonts w:ascii="Arial" w:hAnsi="Arial" w:cs="Arial"/>
          <w:b/>
          <w:sz w:val="24"/>
          <w:szCs w:val="24"/>
          <w:lang w:val="en-US"/>
        </w:rPr>
      </w:pPr>
      <w:r w:rsidRPr="004D6D79">
        <w:rPr>
          <w:rFonts w:ascii="Arial" w:hAnsi="Arial" w:cs="Arial"/>
          <w:b/>
          <w:sz w:val="24"/>
          <w:szCs w:val="24"/>
          <w:lang w:val="en-US"/>
        </w:rPr>
        <w:t>Strategic Model: Ansoff's Growth Matrix (Diversification and Market Development)</w:t>
      </w:r>
    </w:p>
    <w:p w14:paraId="4F7DC37B" w14:textId="77777777" w:rsidR="0043770C" w:rsidRPr="0043770C" w:rsidRDefault="0043770C" w:rsidP="0043770C">
      <w:pPr>
        <w:spacing w:before="240" w:line="360" w:lineRule="auto"/>
        <w:jc w:val="both"/>
        <w:rPr>
          <w:rFonts w:ascii="Arial" w:hAnsi="Arial" w:cs="Arial"/>
          <w:bCs/>
          <w:sz w:val="24"/>
          <w:szCs w:val="24"/>
          <w:lang w:val="en-US"/>
        </w:rPr>
      </w:pPr>
      <w:r w:rsidRPr="0043770C">
        <w:rPr>
          <w:rFonts w:ascii="Arial" w:hAnsi="Arial" w:cs="Arial"/>
          <w:bCs/>
          <w:sz w:val="24"/>
          <w:szCs w:val="24"/>
          <w:lang w:val="en-US"/>
        </w:rPr>
        <w:t>The followers, such as Xiaomi, can implement vigorous expansion policies to remain competitive in the market with the established pioneers (Liu and Park, 2022). The strategy of Xiaomi can be discussed in the context of the Growth Matrix developed by Ansoff, which prescribes the expansion of the market share and scope of a company with the help of old or new products in old or new markets (Walsh, 2024). Xiaomi utilises mostly the Diversification (new product/new market) and Product Development (new product/existing market) quadrants (Liu and Park, 2022).</w:t>
      </w:r>
    </w:p>
    <w:p w14:paraId="26C12C56" w14:textId="77777777" w:rsidR="0043770C" w:rsidRPr="004D6D79" w:rsidRDefault="0043770C" w:rsidP="0043770C">
      <w:pPr>
        <w:spacing w:before="240" w:line="360" w:lineRule="auto"/>
        <w:jc w:val="both"/>
        <w:rPr>
          <w:rFonts w:ascii="Arial" w:hAnsi="Arial" w:cs="Arial"/>
          <w:b/>
          <w:sz w:val="24"/>
          <w:szCs w:val="24"/>
          <w:lang w:val="en-US"/>
        </w:rPr>
      </w:pPr>
      <w:r w:rsidRPr="004D6D79">
        <w:rPr>
          <w:rFonts w:ascii="Arial" w:hAnsi="Arial" w:cs="Arial"/>
          <w:b/>
          <w:sz w:val="24"/>
          <w:szCs w:val="24"/>
          <w:lang w:val="en-US"/>
        </w:rPr>
        <w:t>Application and Critical Evaluation:</w:t>
      </w:r>
    </w:p>
    <w:p w14:paraId="5BCEB33C" w14:textId="77777777" w:rsidR="0043770C" w:rsidRDefault="0043770C" w:rsidP="00607C65">
      <w:pPr>
        <w:pStyle w:val="ListParagraph"/>
        <w:numPr>
          <w:ilvl w:val="0"/>
          <w:numId w:val="9"/>
        </w:numPr>
        <w:spacing w:before="240" w:line="360" w:lineRule="auto"/>
        <w:jc w:val="both"/>
        <w:rPr>
          <w:rFonts w:ascii="Arial" w:hAnsi="Arial" w:cs="Arial"/>
          <w:bCs/>
          <w:sz w:val="24"/>
          <w:szCs w:val="24"/>
          <w:lang w:val="en-US"/>
        </w:rPr>
      </w:pPr>
      <w:r w:rsidRPr="00607C65">
        <w:rPr>
          <w:rFonts w:ascii="Arial" w:hAnsi="Arial" w:cs="Arial"/>
          <w:b/>
          <w:sz w:val="24"/>
          <w:szCs w:val="24"/>
          <w:lang w:val="en-US"/>
        </w:rPr>
        <w:t>Response to Technological Actor (AI Integration):</w:t>
      </w:r>
      <w:r w:rsidRPr="00607C65">
        <w:rPr>
          <w:rFonts w:ascii="Arial" w:hAnsi="Arial" w:cs="Arial"/>
          <w:bCs/>
          <w:sz w:val="24"/>
          <w:szCs w:val="24"/>
          <w:lang w:val="en-US"/>
        </w:rPr>
        <w:t xml:space="preserve"> Xiaomi leverages the technological opportunity to pursue aggressive diversification through shifting to completely new markets, based on its existing product base (Zhang et al., 2024).</w:t>
      </w:r>
    </w:p>
    <w:p w14:paraId="23BEF664" w14:textId="77777777" w:rsidR="0043770C" w:rsidRPr="00607C65" w:rsidRDefault="0043770C" w:rsidP="00607C65">
      <w:pPr>
        <w:pStyle w:val="ListParagraph"/>
        <w:numPr>
          <w:ilvl w:val="1"/>
          <w:numId w:val="9"/>
        </w:numPr>
        <w:spacing w:before="240" w:line="360" w:lineRule="auto"/>
        <w:jc w:val="both"/>
        <w:rPr>
          <w:rFonts w:ascii="Arial" w:hAnsi="Arial" w:cs="Arial"/>
          <w:bCs/>
          <w:sz w:val="24"/>
          <w:szCs w:val="24"/>
          <w:lang w:val="en-US"/>
        </w:rPr>
      </w:pPr>
      <w:r w:rsidRPr="00607C65">
        <w:rPr>
          <w:rFonts w:ascii="Arial" w:hAnsi="Arial" w:cs="Arial"/>
          <w:b/>
          <w:sz w:val="24"/>
          <w:szCs w:val="24"/>
          <w:lang w:val="en-US"/>
        </w:rPr>
        <w:t>Strategic Action:</w:t>
      </w:r>
      <w:r w:rsidRPr="00607C65">
        <w:rPr>
          <w:rFonts w:ascii="Arial" w:hAnsi="Arial" w:cs="Arial"/>
          <w:bCs/>
          <w:sz w:val="24"/>
          <w:szCs w:val="24"/>
          <w:lang w:val="en-US"/>
        </w:rPr>
        <w:t xml:space="preserve"> HyperOS 2, which includes HyperAI, was a core upgrade, as it brought its fragmented devices together on its enormous IoT platform (more than 700 million connected devices) (Xiaomi Corporation, 2025; Zhang et al., 2024). Such a technological adoption allowed the Diversification to enter the electric vehicle (EV) market in 2024 (Xiaomi Corporation, 2025; Zhang et al., 2024).</w:t>
      </w:r>
    </w:p>
    <w:p w14:paraId="6FFF1BE3" w14:textId="5FA24D81" w:rsidR="0043770C" w:rsidRPr="00607C65" w:rsidRDefault="0043770C" w:rsidP="00607C65">
      <w:pPr>
        <w:pStyle w:val="ListParagraph"/>
        <w:numPr>
          <w:ilvl w:val="1"/>
          <w:numId w:val="9"/>
        </w:numPr>
        <w:spacing w:before="240" w:line="360" w:lineRule="auto"/>
        <w:jc w:val="both"/>
        <w:rPr>
          <w:rFonts w:ascii="Arial" w:hAnsi="Arial" w:cs="Arial"/>
          <w:bCs/>
          <w:sz w:val="24"/>
          <w:szCs w:val="24"/>
          <w:lang w:val="en-US"/>
        </w:rPr>
      </w:pPr>
      <w:r w:rsidRPr="00607C65">
        <w:rPr>
          <w:rFonts w:ascii="Arial" w:hAnsi="Arial" w:cs="Arial"/>
          <w:b/>
          <w:sz w:val="24"/>
          <w:szCs w:val="24"/>
          <w:lang w:val="en-US"/>
        </w:rPr>
        <w:t>Critical Opportunity:</w:t>
      </w:r>
      <w:r w:rsidRPr="00607C65">
        <w:rPr>
          <w:rFonts w:ascii="Arial" w:hAnsi="Arial" w:cs="Arial"/>
          <w:bCs/>
          <w:sz w:val="24"/>
          <w:szCs w:val="24"/>
          <w:lang w:val="en-US"/>
        </w:rPr>
        <w:t xml:space="preserve"> This Xiaomi X </w:t>
      </w:r>
      <w:r w:rsidR="00607C65" w:rsidRPr="00607C65">
        <w:rPr>
          <w:rFonts w:ascii="Arial" w:hAnsi="Arial" w:cs="Arial"/>
          <w:bCs/>
          <w:sz w:val="24"/>
          <w:szCs w:val="24"/>
          <w:lang w:val="en-US"/>
        </w:rPr>
        <w:t>Car</w:t>
      </w:r>
      <w:r w:rsidRPr="00607C65">
        <w:rPr>
          <w:rFonts w:ascii="Arial" w:hAnsi="Arial" w:cs="Arial"/>
          <w:bCs/>
          <w:sz w:val="24"/>
          <w:szCs w:val="24"/>
          <w:lang w:val="en-US"/>
        </w:rPr>
        <w:t xml:space="preserve"> X home approach enabled the company to use its current user base to introduce the EV that allegedly cost the company 40 per cent less to acquire customers than traditional automakers (Zhang et al., 2024). Such a diversification step reduces the dependency on the smartphone market, which is very competitive in terms of prices (Liu and Park, 2022).</w:t>
      </w:r>
    </w:p>
    <w:p w14:paraId="28DDD132" w14:textId="77777777" w:rsidR="0043770C" w:rsidRPr="00607C65" w:rsidRDefault="0043770C" w:rsidP="00607C65">
      <w:pPr>
        <w:pStyle w:val="ListParagraph"/>
        <w:numPr>
          <w:ilvl w:val="0"/>
          <w:numId w:val="9"/>
        </w:numPr>
        <w:spacing w:before="240" w:line="360" w:lineRule="auto"/>
        <w:jc w:val="both"/>
        <w:rPr>
          <w:rFonts w:ascii="Arial" w:hAnsi="Arial" w:cs="Arial"/>
          <w:bCs/>
          <w:sz w:val="24"/>
          <w:szCs w:val="24"/>
          <w:lang w:val="en-US"/>
        </w:rPr>
      </w:pPr>
      <w:r w:rsidRPr="00607C65">
        <w:rPr>
          <w:rFonts w:ascii="Arial" w:hAnsi="Arial" w:cs="Arial"/>
          <w:b/>
          <w:sz w:val="24"/>
          <w:szCs w:val="24"/>
          <w:lang w:val="en-US"/>
        </w:rPr>
        <w:t>Response to Social Actor (ESG/Reputation):</w:t>
      </w:r>
      <w:r w:rsidRPr="00607C65">
        <w:rPr>
          <w:rFonts w:ascii="Arial" w:hAnsi="Arial" w:cs="Arial"/>
          <w:bCs/>
          <w:sz w:val="24"/>
          <w:szCs w:val="24"/>
          <w:lang w:val="en-US"/>
        </w:rPr>
        <w:t xml:space="preserve"> Xiaomi employs the use of social compliance as the basis behind its aggressive Market Development (in new customers in existing markets) (Liu and Park, 2022).</w:t>
      </w:r>
    </w:p>
    <w:p w14:paraId="60AF3D35" w14:textId="77777777" w:rsidR="0043770C" w:rsidRPr="00607C65" w:rsidRDefault="0043770C" w:rsidP="00607C65">
      <w:pPr>
        <w:pStyle w:val="ListParagraph"/>
        <w:numPr>
          <w:ilvl w:val="1"/>
          <w:numId w:val="9"/>
        </w:numPr>
        <w:spacing w:before="240" w:line="360" w:lineRule="auto"/>
        <w:jc w:val="both"/>
        <w:rPr>
          <w:rFonts w:ascii="Arial" w:hAnsi="Arial" w:cs="Arial"/>
          <w:bCs/>
          <w:sz w:val="24"/>
          <w:szCs w:val="24"/>
          <w:lang w:val="en-US"/>
        </w:rPr>
      </w:pPr>
      <w:r w:rsidRPr="00607C65">
        <w:rPr>
          <w:rFonts w:ascii="Arial" w:hAnsi="Arial" w:cs="Arial"/>
          <w:b/>
          <w:sz w:val="24"/>
          <w:szCs w:val="24"/>
          <w:lang w:val="en-US"/>
        </w:rPr>
        <w:lastRenderedPageBreak/>
        <w:t>Strategic Action:</w:t>
      </w:r>
      <w:r w:rsidRPr="00607C65">
        <w:rPr>
          <w:rFonts w:ascii="Arial" w:hAnsi="Arial" w:cs="Arial"/>
          <w:bCs/>
          <w:sz w:val="24"/>
          <w:szCs w:val="24"/>
          <w:lang w:val="en-US"/>
        </w:rPr>
        <w:t xml:space="preserve"> To create the trust which is required in case of global expansion and perception of its products as premium, Xiaomi has invested in the ESG performance and received a high rating, such as EcoVadis Gold (top 2% globally) and an MSCI ESG rating of BBB in 2024 (Xiaomi Corporation, 2024). This concentration accumulates the required reputational asset to enter notably controlled and competitive markets in the West (Xiaomi Corporation, 2024).</w:t>
      </w:r>
    </w:p>
    <w:p w14:paraId="7CBB1819" w14:textId="68CF8E63" w:rsidR="00036F02" w:rsidRPr="00ED5A18" w:rsidRDefault="0043770C" w:rsidP="00ED5A18">
      <w:pPr>
        <w:pStyle w:val="ListParagraph"/>
        <w:numPr>
          <w:ilvl w:val="1"/>
          <w:numId w:val="9"/>
        </w:numPr>
        <w:spacing w:before="240" w:line="360" w:lineRule="auto"/>
        <w:jc w:val="both"/>
        <w:rPr>
          <w:rFonts w:ascii="Arial" w:hAnsi="Arial" w:cs="Arial"/>
          <w:bCs/>
          <w:sz w:val="24"/>
          <w:szCs w:val="24"/>
          <w:lang w:val="en-US"/>
        </w:rPr>
      </w:pPr>
      <w:r w:rsidRPr="00607C65">
        <w:rPr>
          <w:rFonts w:ascii="Arial" w:hAnsi="Arial" w:cs="Arial"/>
          <w:b/>
          <w:sz w:val="24"/>
          <w:szCs w:val="24"/>
          <w:lang w:val="en-US"/>
        </w:rPr>
        <w:t>Critical Threat:</w:t>
      </w:r>
      <w:r w:rsidRPr="00607C65">
        <w:rPr>
          <w:rFonts w:ascii="Arial" w:hAnsi="Arial" w:cs="Arial"/>
          <w:bCs/>
          <w:sz w:val="24"/>
          <w:szCs w:val="24"/>
          <w:lang w:val="en-US"/>
        </w:rPr>
        <w:t xml:space="preserve"> The threat posed by such a blistering growth is complexity. The combination of AI and the need to keep the supply chain environmentally friendly (escaping costs through partnership to produce) puts a heavy burden on operational efficiency and adds substantial compliance expenses, which can undermine the primary cost benefits that it needs to compete effectively (Zhang et al., 2024; Xiaomi Corporation, 2024).</w:t>
      </w:r>
    </w:p>
    <w:p w14:paraId="309863CE" w14:textId="77777777" w:rsidR="00036F02" w:rsidRDefault="00036F02" w:rsidP="00036F02">
      <w:pPr>
        <w:spacing w:before="240" w:line="360" w:lineRule="auto"/>
        <w:jc w:val="both"/>
        <w:rPr>
          <w:rFonts w:ascii="Arial" w:hAnsi="Arial" w:cs="Arial"/>
          <w:b/>
          <w:sz w:val="24"/>
          <w:szCs w:val="24"/>
          <w:lang w:val="en-US"/>
        </w:rPr>
      </w:pPr>
      <w:r w:rsidRPr="008F2F4F">
        <w:rPr>
          <w:rFonts w:ascii="Arial" w:hAnsi="Arial" w:cs="Arial"/>
          <w:b/>
          <w:sz w:val="24"/>
          <w:szCs w:val="24"/>
          <w:lang w:val="en-US"/>
        </w:rPr>
        <w:t>Summary of Strategic Responses</w:t>
      </w:r>
    </w:p>
    <w:tbl>
      <w:tblPr>
        <w:tblStyle w:val="TableGrid"/>
        <w:tblW w:w="0" w:type="dxa"/>
        <w:tblLook w:val="04A0" w:firstRow="1" w:lastRow="0" w:firstColumn="1" w:lastColumn="0" w:noHBand="0" w:noVBand="1"/>
      </w:tblPr>
      <w:tblGrid>
        <w:gridCol w:w="2278"/>
        <w:gridCol w:w="3115"/>
        <w:gridCol w:w="3623"/>
      </w:tblGrid>
      <w:tr w:rsidR="00307B81" w:rsidRPr="00307B81" w14:paraId="46EF4EE7" w14:textId="77777777" w:rsidTr="00307B81">
        <w:trPr>
          <w:trHeight w:val="315"/>
        </w:trPr>
        <w:tc>
          <w:tcPr>
            <w:tcW w:w="0" w:type="auto"/>
            <w:hideMark/>
          </w:tcPr>
          <w:p w14:paraId="5CFCB6E1" w14:textId="77777777" w:rsidR="00307B81" w:rsidRPr="00307B81" w:rsidRDefault="00307B81" w:rsidP="00307B81">
            <w:pPr>
              <w:spacing w:before="240" w:line="360" w:lineRule="auto"/>
              <w:jc w:val="both"/>
              <w:rPr>
                <w:rFonts w:ascii="Arial" w:hAnsi="Arial" w:cs="Arial"/>
                <w:b/>
                <w:sz w:val="24"/>
                <w:szCs w:val="24"/>
                <w:lang w:val="en-US"/>
              </w:rPr>
            </w:pPr>
            <w:r w:rsidRPr="00307B81">
              <w:rPr>
                <w:rFonts w:ascii="Arial" w:hAnsi="Arial" w:cs="Arial"/>
                <w:b/>
                <w:sz w:val="24"/>
                <w:szCs w:val="24"/>
                <w:lang w:val="en-US"/>
              </w:rPr>
              <w:t>Strategic Model Summary</w:t>
            </w:r>
          </w:p>
        </w:tc>
        <w:tc>
          <w:tcPr>
            <w:tcW w:w="0" w:type="auto"/>
            <w:hideMark/>
          </w:tcPr>
          <w:p w14:paraId="6600C90D" w14:textId="77777777" w:rsidR="00307B81" w:rsidRPr="00307B81" w:rsidRDefault="00307B81" w:rsidP="00307B81">
            <w:pPr>
              <w:spacing w:before="240" w:line="360" w:lineRule="auto"/>
              <w:jc w:val="both"/>
              <w:rPr>
                <w:rFonts w:ascii="Arial" w:hAnsi="Arial" w:cs="Arial"/>
                <w:b/>
                <w:sz w:val="24"/>
                <w:szCs w:val="24"/>
                <w:lang w:val="en-US"/>
              </w:rPr>
            </w:pPr>
            <w:r w:rsidRPr="00307B81">
              <w:rPr>
                <w:rFonts w:ascii="Arial" w:hAnsi="Arial" w:cs="Arial"/>
                <w:b/>
                <w:sz w:val="24"/>
                <w:szCs w:val="24"/>
                <w:lang w:val="en-US"/>
              </w:rPr>
              <w:t>Apple Inc. (Pioneer)</w:t>
            </w:r>
          </w:p>
        </w:tc>
        <w:tc>
          <w:tcPr>
            <w:tcW w:w="0" w:type="auto"/>
            <w:hideMark/>
          </w:tcPr>
          <w:p w14:paraId="472DE677" w14:textId="77777777" w:rsidR="00307B81" w:rsidRPr="00307B81" w:rsidRDefault="00307B81" w:rsidP="00307B81">
            <w:pPr>
              <w:spacing w:before="240" w:line="360" w:lineRule="auto"/>
              <w:jc w:val="both"/>
              <w:rPr>
                <w:rFonts w:ascii="Arial" w:hAnsi="Arial" w:cs="Arial"/>
                <w:b/>
                <w:sz w:val="24"/>
                <w:szCs w:val="24"/>
                <w:lang w:val="en-US"/>
              </w:rPr>
            </w:pPr>
            <w:r w:rsidRPr="00307B81">
              <w:rPr>
                <w:rFonts w:ascii="Arial" w:hAnsi="Arial" w:cs="Arial"/>
                <w:b/>
                <w:sz w:val="24"/>
                <w:szCs w:val="24"/>
                <w:lang w:val="en-US"/>
              </w:rPr>
              <w:t>Xiaomi Corporation (Follower)</w:t>
            </w:r>
          </w:p>
        </w:tc>
      </w:tr>
      <w:tr w:rsidR="00307B81" w:rsidRPr="00307B81" w14:paraId="4FFFA237" w14:textId="77777777" w:rsidTr="00307B81">
        <w:trPr>
          <w:trHeight w:val="315"/>
        </w:trPr>
        <w:tc>
          <w:tcPr>
            <w:tcW w:w="0" w:type="auto"/>
            <w:hideMark/>
          </w:tcPr>
          <w:p w14:paraId="65B2CE6E" w14:textId="77777777" w:rsidR="00307B81" w:rsidRPr="00307B81" w:rsidRDefault="00307B81" w:rsidP="00307B81">
            <w:pPr>
              <w:spacing w:before="240" w:line="360" w:lineRule="auto"/>
              <w:jc w:val="both"/>
              <w:rPr>
                <w:rFonts w:ascii="Arial" w:hAnsi="Arial" w:cs="Arial"/>
                <w:b/>
                <w:sz w:val="24"/>
                <w:szCs w:val="24"/>
                <w:lang w:val="en-US"/>
              </w:rPr>
            </w:pPr>
            <w:r w:rsidRPr="00307B81">
              <w:rPr>
                <w:rFonts w:ascii="Arial" w:hAnsi="Arial" w:cs="Arial"/>
                <w:b/>
                <w:sz w:val="24"/>
                <w:szCs w:val="24"/>
                <w:lang w:val="en-US"/>
              </w:rPr>
              <w:t>Primary Model</w:t>
            </w:r>
          </w:p>
        </w:tc>
        <w:tc>
          <w:tcPr>
            <w:tcW w:w="0" w:type="auto"/>
            <w:hideMark/>
          </w:tcPr>
          <w:p w14:paraId="17A63BFD" w14:textId="77777777" w:rsidR="00307B81" w:rsidRPr="00307B81" w:rsidRDefault="00307B81" w:rsidP="00307B81">
            <w:pPr>
              <w:spacing w:before="240" w:line="360" w:lineRule="auto"/>
              <w:jc w:val="both"/>
              <w:rPr>
                <w:rFonts w:ascii="Arial" w:hAnsi="Arial" w:cs="Arial"/>
                <w:bCs/>
                <w:sz w:val="24"/>
                <w:szCs w:val="24"/>
                <w:lang w:val="en-US"/>
              </w:rPr>
            </w:pPr>
            <w:r w:rsidRPr="00307B81">
              <w:rPr>
                <w:rFonts w:ascii="Arial" w:hAnsi="Arial" w:cs="Arial"/>
                <w:bCs/>
                <w:sz w:val="24"/>
                <w:szCs w:val="24"/>
                <w:lang w:val="en-US"/>
              </w:rPr>
              <w:t>Porter's Differentiation Focus (Sugiarti &amp; Zulfikar, 2024)</w:t>
            </w:r>
          </w:p>
        </w:tc>
        <w:tc>
          <w:tcPr>
            <w:tcW w:w="0" w:type="auto"/>
            <w:hideMark/>
          </w:tcPr>
          <w:p w14:paraId="5F580D35" w14:textId="77777777" w:rsidR="00307B81" w:rsidRPr="00307B81" w:rsidRDefault="00307B81" w:rsidP="00307B81">
            <w:pPr>
              <w:spacing w:before="240" w:line="360" w:lineRule="auto"/>
              <w:jc w:val="both"/>
              <w:rPr>
                <w:rFonts w:ascii="Arial" w:hAnsi="Arial" w:cs="Arial"/>
                <w:bCs/>
                <w:sz w:val="24"/>
                <w:szCs w:val="24"/>
                <w:lang w:val="en-US"/>
              </w:rPr>
            </w:pPr>
            <w:r w:rsidRPr="00307B81">
              <w:rPr>
                <w:rFonts w:ascii="Arial" w:hAnsi="Arial" w:cs="Arial"/>
                <w:bCs/>
                <w:sz w:val="24"/>
                <w:szCs w:val="24"/>
                <w:lang w:val="en-US"/>
              </w:rPr>
              <w:t>Ansoff's Growth Matrix (Diversification) (Walsh, 2024)</w:t>
            </w:r>
          </w:p>
        </w:tc>
      </w:tr>
      <w:tr w:rsidR="00307B81" w:rsidRPr="00307B81" w14:paraId="75A700C6" w14:textId="77777777" w:rsidTr="00307B81">
        <w:trPr>
          <w:trHeight w:val="315"/>
        </w:trPr>
        <w:tc>
          <w:tcPr>
            <w:tcW w:w="0" w:type="auto"/>
            <w:hideMark/>
          </w:tcPr>
          <w:p w14:paraId="1CFEEA67" w14:textId="77777777" w:rsidR="00307B81" w:rsidRPr="00307B81" w:rsidRDefault="00307B81" w:rsidP="00307B81">
            <w:pPr>
              <w:spacing w:before="240" w:line="360" w:lineRule="auto"/>
              <w:jc w:val="both"/>
              <w:rPr>
                <w:rFonts w:ascii="Arial" w:hAnsi="Arial" w:cs="Arial"/>
                <w:b/>
                <w:sz w:val="24"/>
                <w:szCs w:val="24"/>
                <w:lang w:val="en-US"/>
              </w:rPr>
            </w:pPr>
            <w:r w:rsidRPr="00307B81">
              <w:rPr>
                <w:rFonts w:ascii="Arial" w:hAnsi="Arial" w:cs="Arial"/>
                <w:b/>
                <w:sz w:val="24"/>
                <w:szCs w:val="24"/>
                <w:lang w:val="en-US"/>
              </w:rPr>
              <w:t>Response to Privacy (Social)</w:t>
            </w:r>
          </w:p>
        </w:tc>
        <w:tc>
          <w:tcPr>
            <w:tcW w:w="0" w:type="auto"/>
            <w:hideMark/>
          </w:tcPr>
          <w:p w14:paraId="7A7343C3" w14:textId="77777777" w:rsidR="00307B81" w:rsidRPr="00307B81" w:rsidRDefault="00307B81" w:rsidP="00307B81">
            <w:pPr>
              <w:spacing w:before="240" w:line="360" w:lineRule="auto"/>
              <w:jc w:val="both"/>
              <w:rPr>
                <w:rFonts w:ascii="Arial" w:hAnsi="Arial" w:cs="Arial"/>
                <w:bCs/>
                <w:sz w:val="24"/>
                <w:szCs w:val="24"/>
                <w:lang w:val="en-US"/>
              </w:rPr>
            </w:pPr>
            <w:r w:rsidRPr="00307B81">
              <w:rPr>
                <w:rFonts w:ascii="Arial" w:hAnsi="Arial" w:cs="Arial"/>
                <w:bCs/>
                <w:sz w:val="24"/>
                <w:szCs w:val="24"/>
                <w:lang w:val="en-US"/>
              </w:rPr>
              <w:t>Fortifies brand differentiation and customer lock-in (Premium value) (Baum-Zepeda, 2025).</w:t>
            </w:r>
          </w:p>
        </w:tc>
        <w:tc>
          <w:tcPr>
            <w:tcW w:w="0" w:type="auto"/>
            <w:hideMark/>
          </w:tcPr>
          <w:p w14:paraId="32FB8195" w14:textId="77777777" w:rsidR="00307B81" w:rsidRPr="00307B81" w:rsidRDefault="00307B81" w:rsidP="00307B81">
            <w:pPr>
              <w:spacing w:before="240" w:line="360" w:lineRule="auto"/>
              <w:jc w:val="both"/>
              <w:rPr>
                <w:rFonts w:ascii="Arial" w:hAnsi="Arial" w:cs="Arial"/>
                <w:bCs/>
                <w:sz w:val="24"/>
                <w:szCs w:val="24"/>
                <w:lang w:val="en-US"/>
              </w:rPr>
            </w:pPr>
            <w:r w:rsidRPr="00307B81">
              <w:rPr>
                <w:rFonts w:ascii="Arial" w:hAnsi="Arial" w:cs="Arial"/>
                <w:bCs/>
                <w:sz w:val="24"/>
                <w:szCs w:val="24"/>
                <w:lang w:val="en-US"/>
              </w:rPr>
              <w:t>Builds global trust and reputational capital for market access (Market Development) (Xiaomi Corporation, 2024).</w:t>
            </w:r>
          </w:p>
        </w:tc>
      </w:tr>
      <w:tr w:rsidR="00307B81" w:rsidRPr="00307B81" w14:paraId="553874EA" w14:textId="77777777" w:rsidTr="00307B81">
        <w:trPr>
          <w:trHeight w:val="315"/>
        </w:trPr>
        <w:tc>
          <w:tcPr>
            <w:tcW w:w="0" w:type="auto"/>
            <w:hideMark/>
          </w:tcPr>
          <w:p w14:paraId="22D5AF5B" w14:textId="77777777" w:rsidR="00307B81" w:rsidRPr="00307B81" w:rsidRDefault="00307B81" w:rsidP="00307B81">
            <w:pPr>
              <w:spacing w:before="240" w:line="360" w:lineRule="auto"/>
              <w:jc w:val="both"/>
              <w:rPr>
                <w:rFonts w:ascii="Arial" w:hAnsi="Arial" w:cs="Arial"/>
                <w:b/>
                <w:sz w:val="24"/>
                <w:szCs w:val="24"/>
                <w:lang w:val="en-US"/>
              </w:rPr>
            </w:pPr>
            <w:r w:rsidRPr="00307B81">
              <w:rPr>
                <w:rFonts w:ascii="Arial" w:hAnsi="Arial" w:cs="Arial"/>
                <w:b/>
                <w:sz w:val="24"/>
                <w:szCs w:val="24"/>
                <w:lang w:val="en-US"/>
              </w:rPr>
              <w:t>Response to AI (Technological)</w:t>
            </w:r>
          </w:p>
        </w:tc>
        <w:tc>
          <w:tcPr>
            <w:tcW w:w="0" w:type="auto"/>
            <w:hideMark/>
          </w:tcPr>
          <w:p w14:paraId="7AB5009C" w14:textId="77777777" w:rsidR="00307B81" w:rsidRPr="00307B81" w:rsidRDefault="00307B81" w:rsidP="00307B81">
            <w:pPr>
              <w:spacing w:before="240" w:line="360" w:lineRule="auto"/>
              <w:jc w:val="both"/>
              <w:rPr>
                <w:rFonts w:ascii="Arial" w:hAnsi="Arial" w:cs="Arial"/>
                <w:bCs/>
                <w:sz w:val="24"/>
                <w:szCs w:val="24"/>
                <w:lang w:val="en-US"/>
              </w:rPr>
            </w:pPr>
            <w:r w:rsidRPr="00307B81">
              <w:rPr>
                <w:rFonts w:ascii="Arial" w:hAnsi="Arial" w:cs="Arial"/>
                <w:bCs/>
                <w:sz w:val="24"/>
                <w:szCs w:val="24"/>
                <w:lang w:val="en-US"/>
              </w:rPr>
              <w:t xml:space="preserve">Enhances proprietary ecosystem via Situated AI (Product Excellence) </w:t>
            </w:r>
            <w:r w:rsidRPr="00307B81">
              <w:rPr>
                <w:rFonts w:ascii="Arial" w:hAnsi="Arial" w:cs="Arial"/>
                <w:bCs/>
                <w:sz w:val="24"/>
                <w:szCs w:val="24"/>
                <w:lang w:val="en-US"/>
              </w:rPr>
              <w:lastRenderedPageBreak/>
              <w:t>(Fensore &amp; D’Amico, 2024).</w:t>
            </w:r>
          </w:p>
        </w:tc>
        <w:tc>
          <w:tcPr>
            <w:tcW w:w="0" w:type="auto"/>
            <w:hideMark/>
          </w:tcPr>
          <w:p w14:paraId="0CE5569D" w14:textId="77777777" w:rsidR="00307B81" w:rsidRPr="00307B81" w:rsidRDefault="00307B81" w:rsidP="00307B81">
            <w:pPr>
              <w:spacing w:before="240" w:line="360" w:lineRule="auto"/>
              <w:jc w:val="both"/>
              <w:rPr>
                <w:rFonts w:ascii="Arial" w:hAnsi="Arial" w:cs="Arial"/>
                <w:bCs/>
                <w:sz w:val="24"/>
                <w:szCs w:val="24"/>
                <w:lang w:val="en-US"/>
              </w:rPr>
            </w:pPr>
            <w:r w:rsidRPr="00307B81">
              <w:rPr>
                <w:rFonts w:ascii="Arial" w:hAnsi="Arial" w:cs="Arial"/>
                <w:bCs/>
                <w:sz w:val="24"/>
                <w:szCs w:val="24"/>
                <w:lang w:val="en-US"/>
              </w:rPr>
              <w:lastRenderedPageBreak/>
              <w:t xml:space="preserve">Enables mass-market diversification into new sectors (EVs via HyperAI) (Xiaomi </w:t>
            </w:r>
            <w:r w:rsidRPr="00307B81">
              <w:rPr>
                <w:rFonts w:ascii="Arial" w:hAnsi="Arial" w:cs="Arial"/>
                <w:bCs/>
                <w:sz w:val="24"/>
                <w:szCs w:val="24"/>
                <w:lang w:val="en-US"/>
              </w:rPr>
              <w:lastRenderedPageBreak/>
              <w:t>Corporation, 2025; Zhang et al., 2024).</w:t>
            </w:r>
          </w:p>
        </w:tc>
      </w:tr>
    </w:tbl>
    <w:p w14:paraId="63FB6D9D" w14:textId="77777777" w:rsidR="00036F02" w:rsidRPr="000F5B43" w:rsidRDefault="00036F02" w:rsidP="00036F02">
      <w:pPr>
        <w:pStyle w:val="Caption"/>
        <w:rPr>
          <w:rFonts w:ascii="Arial" w:hAnsi="Arial" w:cs="Arial"/>
          <w:bCs/>
          <w:sz w:val="24"/>
          <w:szCs w:val="24"/>
          <w:lang w:val="en-US"/>
        </w:rPr>
      </w:pPr>
      <w:bookmarkStart w:id="13" w:name="_Toc214578579"/>
      <w:r>
        <w:lastRenderedPageBreak/>
        <w:t xml:space="preserve">Table </w:t>
      </w:r>
      <w:r>
        <w:fldChar w:fldCharType="begin"/>
      </w:r>
      <w:r>
        <w:instrText xml:space="preserve"> SEQ Table \* ARABIC </w:instrText>
      </w:r>
      <w:r>
        <w:fldChar w:fldCharType="separate"/>
      </w:r>
      <w:r>
        <w:rPr>
          <w:noProof/>
        </w:rPr>
        <w:t>3</w:t>
      </w:r>
      <w:r>
        <w:fldChar w:fldCharType="end"/>
      </w:r>
      <w:r>
        <w:t xml:space="preserve">: </w:t>
      </w:r>
      <w:r w:rsidRPr="00940098">
        <w:t>Strategic Responses</w:t>
      </w:r>
      <w:bookmarkEnd w:id="13"/>
    </w:p>
    <w:p w14:paraId="3FA901AB" w14:textId="77777777" w:rsidR="00036F02" w:rsidRDefault="00036F02" w:rsidP="00036F02">
      <w:pPr>
        <w:spacing w:after="160" w:line="278" w:lineRule="auto"/>
        <w:rPr>
          <w:rFonts w:ascii="Arial" w:eastAsiaTheme="majorEastAsia" w:hAnsi="Arial" w:cstheme="majorBidi"/>
          <w:b/>
          <w:color w:val="000000" w:themeColor="text1"/>
          <w:sz w:val="32"/>
          <w:szCs w:val="40"/>
        </w:rPr>
      </w:pPr>
      <w:r>
        <w:br w:type="page"/>
      </w:r>
    </w:p>
    <w:p w14:paraId="51B1CA99" w14:textId="77777777" w:rsidR="00036F02" w:rsidRPr="003227C7" w:rsidRDefault="00036F02" w:rsidP="00036F02">
      <w:pPr>
        <w:pStyle w:val="Heading1"/>
      </w:pPr>
      <w:bookmarkStart w:id="14" w:name="_Toc214578593"/>
      <w:r w:rsidRPr="003227C7">
        <w:lastRenderedPageBreak/>
        <w:t>Conclusion</w:t>
      </w:r>
      <w:bookmarkEnd w:id="14"/>
    </w:p>
    <w:p w14:paraId="2CB62261" w14:textId="77777777" w:rsidR="00036F02" w:rsidRPr="009A2808" w:rsidRDefault="00036F02" w:rsidP="00036F02">
      <w:pPr>
        <w:spacing w:before="240" w:line="360" w:lineRule="auto"/>
        <w:jc w:val="both"/>
        <w:rPr>
          <w:rFonts w:ascii="Arial" w:hAnsi="Arial" w:cs="Arial"/>
          <w:sz w:val="24"/>
          <w:szCs w:val="24"/>
          <w:lang w:val="en-US"/>
        </w:rPr>
      </w:pPr>
      <w:r w:rsidRPr="0053087C">
        <w:rPr>
          <w:rFonts w:ascii="Arial" w:hAnsi="Arial" w:cs="Arial"/>
          <w:sz w:val="24"/>
          <w:szCs w:val="24"/>
          <w:lang w:val="en-US"/>
        </w:rPr>
        <w:t>The effectiveness of Apple and Xiaomi in the strategic operation depends on how the two companies react to unstable macro-forces. Apple, the innovator, maintains its competitive advantage through a differentiation strategy that leverages sociocultural needs by offering unique features such as privacy and security, while also incorporating AI to enhance its proprietary ecosystem. On the other hand, Xiaomi, the follower, has been operating under a cost-leadership strategy, mitigating legal risks by complying with them and using AI to build out its interconnected, affordable Human x Car x Home platform quickly, which ensures its relevance in the mass market.</w:t>
      </w:r>
    </w:p>
    <w:p w14:paraId="6251B210" w14:textId="77777777" w:rsidR="00036F02" w:rsidRPr="0047706E" w:rsidRDefault="00036F02" w:rsidP="00036F02">
      <w:pPr>
        <w:spacing w:before="240" w:line="360" w:lineRule="auto"/>
        <w:jc w:val="both"/>
        <w:rPr>
          <w:rFonts w:ascii="Arial" w:hAnsi="Arial" w:cs="Arial"/>
          <w:sz w:val="24"/>
          <w:szCs w:val="24"/>
          <w:lang w:val="en-US"/>
        </w:rPr>
      </w:pPr>
      <w:r w:rsidRPr="003227C7">
        <w:rPr>
          <w:rFonts w:ascii="Arial" w:hAnsi="Arial" w:cs="Arial"/>
          <w:sz w:val="24"/>
          <w:szCs w:val="24"/>
        </w:rPr>
        <w:br w:type="page"/>
      </w:r>
    </w:p>
    <w:p w14:paraId="7328ECF2" w14:textId="77777777" w:rsidR="00036F02" w:rsidRPr="003227C7" w:rsidRDefault="00036F02" w:rsidP="00036F02">
      <w:pPr>
        <w:pStyle w:val="Heading1"/>
      </w:pPr>
      <w:bookmarkStart w:id="15" w:name="_Toc214578594"/>
      <w:r w:rsidRPr="003227C7">
        <w:lastRenderedPageBreak/>
        <w:t>Reference</w:t>
      </w:r>
      <w:bookmarkEnd w:id="15"/>
    </w:p>
    <w:p w14:paraId="0416F7A7" w14:textId="77777777" w:rsidR="00036F02" w:rsidRPr="00562D82" w:rsidRDefault="00036F02" w:rsidP="00036F02">
      <w:pPr>
        <w:pStyle w:val="NormalWeb"/>
        <w:spacing w:line="360" w:lineRule="auto"/>
        <w:rPr>
          <w:rFonts w:ascii="Arial" w:hAnsi="Arial" w:cs="Arial"/>
          <w:lang w:val="en-US"/>
        </w:rPr>
      </w:pPr>
      <w:r w:rsidRPr="00562D82">
        <w:rPr>
          <w:rFonts w:ascii="Arial" w:hAnsi="Arial" w:cs="Arial"/>
          <w:lang w:val="en-US"/>
        </w:rPr>
        <w:t xml:space="preserve">Chidiameke, C. (2024). </w:t>
      </w:r>
      <w:r w:rsidRPr="00562D82">
        <w:rPr>
          <w:rFonts w:ascii="Arial" w:hAnsi="Arial" w:cs="Arial"/>
          <w:i/>
          <w:iCs/>
          <w:lang w:val="en-US"/>
        </w:rPr>
        <w:t>2024 in Focus: Strategic Management of Macro Risks for Business Leaders</w:t>
      </w:r>
      <w:r w:rsidRPr="00562D82">
        <w:rPr>
          <w:rFonts w:ascii="Arial" w:hAnsi="Arial" w:cs="Arial"/>
          <w:lang w:val="en-US"/>
        </w:rPr>
        <w:t xml:space="preserve">. Available at: </w:t>
      </w:r>
      <w:hyperlink r:id="rId11" w:tgtFrame="_blank" w:history="1">
        <w:r w:rsidRPr="00562D82">
          <w:rPr>
            <w:rStyle w:val="Hyperlink"/>
            <w:rFonts w:ascii="Arial" w:hAnsi="Arial" w:cs="Arial"/>
            <w:lang w:val="en-US"/>
          </w:rPr>
          <w:t>https://www.chidiameke.com/post/2024-in-focus-strategic-management-of-macro-risks-for-business-leaders</w:t>
        </w:r>
      </w:hyperlink>
      <w:r w:rsidRPr="00562D82">
        <w:rPr>
          <w:rFonts w:ascii="Arial" w:hAnsi="Arial" w:cs="Arial"/>
          <w:lang w:val="en-US"/>
        </w:rPr>
        <w:t xml:space="preserve"> (Accessed: 17 November 2025).</w:t>
      </w:r>
    </w:p>
    <w:p w14:paraId="00277F57" w14:textId="77777777" w:rsidR="00036F02" w:rsidRPr="00562D82" w:rsidRDefault="00036F02" w:rsidP="00036F02">
      <w:pPr>
        <w:pStyle w:val="NormalWeb"/>
        <w:spacing w:line="360" w:lineRule="auto"/>
        <w:rPr>
          <w:rFonts w:ascii="Arial" w:hAnsi="Arial" w:cs="Arial"/>
          <w:lang w:val="en-US"/>
        </w:rPr>
      </w:pPr>
      <w:r w:rsidRPr="00562D82">
        <w:rPr>
          <w:rFonts w:ascii="Arial" w:hAnsi="Arial" w:cs="Arial"/>
          <w:lang w:val="en-US"/>
        </w:rPr>
        <w:t xml:space="preserve">EY. (2024). </w:t>
      </w:r>
      <w:r w:rsidRPr="00562D82">
        <w:rPr>
          <w:rFonts w:ascii="Arial" w:hAnsi="Arial" w:cs="Arial"/>
          <w:i/>
          <w:iCs/>
          <w:lang w:val="en-US"/>
        </w:rPr>
        <w:t>2024 Geostrategic Outlook</w:t>
      </w:r>
      <w:r w:rsidRPr="00562D82">
        <w:rPr>
          <w:rFonts w:ascii="Arial" w:hAnsi="Arial" w:cs="Arial"/>
          <w:lang w:val="en-US"/>
        </w:rPr>
        <w:t xml:space="preserve">. Available at: </w:t>
      </w:r>
      <w:hyperlink r:id="rId12" w:tgtFrame="_blank" w:history="1">
        <w:r w:rsidRPr="00562D82">
          <w:rPr>
            <w:rStyle w:val="Hyperlink"/>
            <w:rFonts w:ascii="Arial" w:hAnsi="Arial" w:cs="Arial"/>
            <w:lang w:val="en-US"/>
          </w:rPr>
          <w:t>https://www.ey.com/en_lt/insights/geostrategy/2024-geostrategic-outlook</w:t>
        </w:r>
      </w:hyperlink>
      <w:r w:rsidRPr="00562D82">
        <w:rPr>
          <w:rFonts w:ascii="Arial" w:hAnsi="Arial" w:cs="Arial"/>
          <w:lang w:val="en-US"/>
        </w:rPr>
        <w:t xml:space="preserve"> (Accessed: 17 November 2025).</w:t>
      </w:r>
    </w:p>
    <w:p w14:paraId="064CCC87" w14:textId="77777777" w:rsidR="00036F02" w:rsidRPr="00562D82" w:rsidRDefault="00036F02" w:rsidP="00036F02">
      <w:pPr>
        <w:pStyle w:val="NormalWeb"/>
        <w:spacing w:line="360" w:lineRule="auto"/>
        <w:rPr>
          <w:rFonts w:ascii="Arial" w:hAnsi="Arial" w:cs="Arial"/>
          <w:lang w:val="en-US"/>
        </w:rPr>
      </w:pPr>
      <w:r w:rsidRPr="00562D82">
        <w:rPr>
          <w:rFonts w:ascii="Arial" w:hAnsi="Arial" w:cs="Arial"/>
          <w:lang w:val="en-US"/>
        </w:rPr>
        <w:t xml:space="preserve">MdPI. (2024). </w:t>
      </w:r>
      <w:r w:rsidRPr="00562D82">
        <w:rPr>
          <w:rFonts w:ascii="Arial" w:hAnsi="Arial" w:cs="Arial"/>
          <w:i/>
          <w:iCs/>
          <w:lang w:val="en-US"/>
        </w:rPr>
        <w:t>Effect on the performance of small and medium enterprises (SMEs) of technological developments</w:t>
      </w:r>
      <w:r w:rsidRPr="00562D82">
        <w:rPr>
          <w:rFonts w:ascii="Arial" w:hAnsi="Arial" w:cs="Arial"/>
          <w:lang w:val="en-US"/>
        </w:rPr>
        <w:t xml:space="preserve">. Available at: </w:t>
      </w:r>
      <w:hyperlink r:id="rId13" w:tgtFrame="_blank" w:history="1">
        <w:r w:rsidRPr="00562D82">
          <w:rPr>
            <w:rStyle w:val="Hyperlink"/>
            <w:rFonts w:ascii="Arial" w:hAnsi="Arial" w:cs="Arial"/>
            <w:lang w:val="en-US"/>
          </w:rPr>
          <w:t>https://www.mdpi.com/2071-1050/16/19/8667</w:t>
        </w:r>
      </w:hyperlink>
      <w:r w:rsidRPr="00562D82">
        <w:rPr>
          <w:rFonts w:ascii="Arial" w:hAnsi="Arial" w:cs="Arial"/>
          <w:lang w:val="en-US"/>
        </w:rPr>
        <w:t xml:space="preserve"> (Accessed: 17 November 2025).</w:t>
      </w:r>
    </w:p>
    <w:p w14:paraId="4B4F190E" w14:textId="77777777" w:rsidR="00036F02" w:rsidRPr="00562D82" w:rsidRDefault="00036F02" w:rsidP="00036F02">
      <w:pPr>
        <w:pStyle w:val="NormalWeb"/>
        <w:spacing w:line="360" w:lineRule="auto"/>
        <w:rPr>
          <w:rFonts w:ascii="Arial" w:hAnsi="Arial" w:cs="Arial"/>
          <w:lang w:val="en-US"/>
        </w:rPr>
      </w:pPr>
      <w:r w:rsidRPr="00562D82">
        <w:rPr>
          <w:rFonts w:ascii="Arial" w:hAnsi="Arial" w:cs="Arial"/>
          <w:lang w:val="en-US"/>
        </w:rPr>
        <w:t xml:space="preserve">Ovais, D., Jain, R., &amp; Choudhary, S. (2025). </w:t>
      </w:r>
      <w:r w:rsidRPr="00562D82">
        <w:rPr>
          <w:rFonts w:ascii="Arial" w:hAnsi="Arial" w:cs="Arial"/>
          <w:i/>
          <w:iCs/>
          <w:lang w:val="en-US"/>
        </w:rPr>
        <w:t>Shaping the future of Marketing through ESG: A Systematic Literature Review</w:t>
      </w:r>
      <w:r w:rsidRPr="00562D82">
        <w:rPr>
          <w:rFonts w:ascii="Arial" w:hAnsi="Arial" w:cs="Arial"/>
          <w:lang w:val="en-US"/>
        </w:rPr>
        <w:t xml:space="preserve">. Available at: </w:t>
      </w:r>
      <w:hyperlink r:id="rId14" w:tgtFrame="_blank" w:history="1">
        <w:r w:rsidRPr="00562D82">
          <w:rPr>
            <w:rStyle w:val="Hyperlink"/>
            <w:rFonts w:ascii="Arial" w:hAnsi="Arial" w:cs="Arial"/>
            <w:lang w:val="en-US"/>
          </w:rPr>
          <w:t>https://iimspune.edu.in/wp-content/uploads/2025/07/13.-Shaping-the-future-of-Marketing-through-ESG-A-Systematic-Literature-Review.pdf</w:t>
        </w:r>
      </w:hyperlink>
      <w:r w:rsidRPr="00562D82">
        <w:rPr>
          <w:rFonts w:ascii="Arial" w:hAnsi="Arial" w:cs="Arial"/>
          <w:lang w:val="en-US"/>
        </w:rPr>
        <w:t xml:space="preserve"> (Accessed: 17 November 2025).</w:t>
      </w:r>
    </w:p>
    <w:p w14:paraId="34811746" w14:textId="77777777" w:rsidR="00036F02" w:rsidRPr="00562D82" w:rsidRDefault="00036F02" w:rsidP="00036F02">
      <w:pPr>
        <w:pStyle w:val="NormalWeb"/>
        <w:spacing w:line="360" w:lineRule="auto"/>
        <w:rPr>
          <w:rFonts w:ascii="Arial" w:hAnsi="Arial" w:cs="Arial"/>
          <w:lang w:val="en-US"/>
        </w:rPr>
      </w:pPr>
      <w:r w:rsidRPr="00562D82">
        <w:rPr>
          <w:rFonts w:ascii="Arial" w:hAnsi="Arial" w:cs="Arial"/>
          <w:lang w:val="en-US"/>
        </w:rPr>
        <w:t xml:space="preserve">ResearchGate. (2024). </w:t>
      </w:r>
      <w:r w:rsidRPr="00562D82">
        <w:rPr>
          <w:rFonts w:ascii="Arial" w:hAnsi="Arial" w:cs="Arial"/>
          <w:i/>
          <w:iCs/>
          <w:lang w:val="en-US"/>
        </w:rPr>
        <w:t>Impact of digitalization and AI on strategic marketing</w:t>
      </w:r>
      <w:r w:rsidRPr="00562D82">
        <w:rPr>
          <w:rFonts w:ascii="Arial" w:hAnsi="Arial" w:cs="Arial"/>
          <w:lang w:val="en-US"/>
        </w:rPr>
        <w:t xml:space="preserve">. Available at: </w:t>
      </w:r>
      <w:hyperlink r:id="rId15" w:tgtFrame="_blank" w:history="1">
        <w:r w:rsidRPr="00562D82">
          <w:rPr>
            <w:rStyle w:val="Hyperlink"/>
            <w:rFonts w:ascii="Arial" w:hAnsi="Arial" w:cs="Arial"/>
            <w:lang w:val="en-US"/>
          </w:rPr>
          <w:t>https://seaopenresearch.eu/Journals/articles/CMJ2024_I1_2.pdf</w:t>
        </w:r>
      </w:hyperlink>
      <w:r w:rsidRPr="00562D82">
        <w:rPr>
          <w:rFonts w:ascii="Arial" w:hAnsi="Arial" w:cs="Arial"/>
          <w:lang w:val="en-US"/>
        </w:rPr>
        <w:t xml:space="preserve"> (Accessed: 17 November 2025).</w:t>
      </w:r>
    </w:p>
    <w:p w14:paraId="57669C50" w14:textId="77777777" w:rsidR="00036F02" w:rsidRPr="00562D82" w:rsidRDefault="00036F02" w:rsidP="00036F02">
      <w:pPr>
        <w:pStyle w:val="NormalWeb"/>
        <w:spacing w:line="360" w:lineRule="auto"/>
        <w:rPr>
          <w:rFonts w:ascii="Arial" w:hAnsi="Arial" w:cs="Arial"/>
          <w:lang w:val="en-US"/>
        </w:rPr>
      </w:pPr>
      <w:r w:rsidRPr="00562D82">
        <w:rPr>
          <w:rFonts w:ascii="Arial" w:hAnsi="Arial" w:cs="Arial"/>
          <w:lang w:val="en-US"/>
        </w:rPr>
        <w:t xml:space="preserve">ResearchGate. (2024). </w:t>
      </w:r>
      <w:r w:rsidRPr="00562D82">
        <w:rPr>
          <w:rFonts w:ascii="Arial" w:hAnsi="Arial" w:cs="Arial"/>
          <w:i/>
          <w:iCs/>
          <w:lang w:val="en-US"/>
        </w:rPr>
        <w:t>Research on the Impact of Corporate ESG Performance on Long-Term Sustainable Competitive Advantage</w:t>
      </w:r>
      <w:r w:rsidRPr="00562D82">
        <w:rPr>
          <w:rFonts w:ascii="Arial" w:hAnsi="Arial" w:cs="Arial"/>
          <w:lang w:val="en-US"/>
        </w:rPr>
        <w:t xml:space="preserve">. Available at: </w:t>
      </w:r>
      <w:hyperlink r:id="rId16" w:tgtFrame="_blank" w:history="1">
        <w:r w:rsidRPr="00562D82">
          <w:rPr>
            <w:rStyle w:val="Hyperlink"/>
            <w:rFonts w:ascii="Arial" w:hAnsi="Arial" w:cs="Arial"/>
            <w:lang w:val="en-US"/>
          </w:rPr>
          <w:t>https://www.researchgate.net/publication/385540100_Research_on_the_Impact_of_Corporate_ESG_Performance_on_Long-Term_Sustainable_Competitive_Advantage</w:t>
        </w:r>
      </w:hyperlink>
      <w:r w:rsidRPr="00562D82">
        <w:rPr>
          <w:rFonts w:ascii="Arial" w:hAnsi="Arial" w:cs="Arial"/>
          <w:lang w:val="en-US"/>
        </w:rPr>
        <w:t xml:space="preserve"> (Accessed: 17 November 2025).</w:t>
      </w:r>
    </w:p>
    <w:p w14:paraId="6AF74415" w14:textId="77777777" w:rsidR="00036F02" w:rsidRPr="00562D82" w:rsidRDefault="00036F02" w:rsidP="00036F02">
      <w:pPr>
        <w:pStyle w:val="NormalWeb"/>
        <w:spacing w:line="360" w:lineRule="auto"/>
        <w:rPr>
          <w:rFonts w:ascii="Arial" w:hAnsi="Arial" w:cs="Arial"/>
          <w:lang w:val="en-US"/>
        </w:rPr>
      </w:pPr>
      <w:r w:rsidRPr="00562D82">
        <w:rPr>
          <w:rFonts w:ascii="Arial" w:hAnsi="Arial" w:cs="Arial"/>
          <w:lang w:val="en-US"/>
        </w:rPr>
        <w:t xml:space="preserve">Zucker, M. (2022). </w:t>
      </w:r>
      <w:r w:rsidRPr="00562D82">
        <w:rPr>
          <w:rFonts w:ascii="Arial" w:hAnsi="Arial" w:cs="Arial"/>
          <w:i/>
          <w:iCs/>
          <w:lang w:val="en-US"/>
        </w:rPr>
        <w:t>How to Build a Resilient Marketing Strategy with Scenario Planning</w:t>
      </w:r>
      <w:r w:rsidRPr="00562D82">
        <w:rPr>
          <w:rFonts w:ascii="Arial" w:hAnsi="Arial" w:cs="Arial"/>
          <w:lang w:val="en-US"/>
        </w:rPr>
        <w:t xml:space="preserve">. AMA New York. Available at: </w:t>
      </w:r>
      <w:hyperlink r:id="rId17" w:tgtFrame="_blank" w:history="1">
        <w:r w:rsidRPr="00562D82">
          <w:rPr>
            <w:rStyle w:val="Hyperlink"/>
            <w:rFonts w:ascii="Arial" w:hAnsi="Arial" w:cs="Arial"/>
            <w:lang w:val="en-US"/>
          </w:rPr>
          <w:t>https://www.amanewyork.org/resources/how-to-build-a-resilient-marketing-strategy-with-scenario-planning/</w:t>
        </w:r>
      </w:hyperlink>
      <w:r w:rsidRPr="00562D82">
        <w:rPr>
          <w:rFonts w:ascii="Arial" w:hAnsi="Arial" w:cs="Arial"/>
          <w:lang w:val="en-US"/>
        </w:rPr>
        <w:t xml:space="preserve"> (Accessed: 17 November 2025).</w:t>
      </w:r>
    </w:p>
    <w:p w14:paraId="2AFBD38A" w14:textId="77777777" w:rsidR="00036F02" w:rsidRDefault="00036F02" w:rsidP="00036F02">
      <w:pPr>
        <w:pStyle w:val="NormalWeb"/>
        <w:spacing w:line="360" w:lineRule="auto"/>
        <w:rPr>
          <w:rFonts w:ascii="Arial" w:hAnsi="Arial" w:cs="Arial"/>
        </w:rPr>
      </w:pPr>
      <w:r w:rsidRPr="003315D8">
        <w:rPr>
          <w:rFonts w:ascii="Arial" w:hAnsi="Arial" w:cs="Arial"/>
        </w:rPr>
        <w:lastRenderedPageBreak/>
        <w:t xml:space="preserve">Apple. (2025). </w:t>
      </w:r>
      <w:r w:rsidRPr="003315D8">
        <w:rPr>
          <w:rFonts w:ascii="Arial" w:hAnsi="Arial" w:cs="Arial"/>
          <w:i/>
          <w:iCs/>
        </w:rPr>
        <w:t>The Digital Markets Act’s impacts on EU users</w:t>
      </w:r>
      <w:r w:rsidRPr="003315D8">
        <w:rPr>
          <w:rFonts w:ascii="Arial" w:hAnsi="Arial" w:cs="Arial"/>
        </w:rPr>
        <w:t xml:space="preserve">. Available at: </w:t>
      </w:r>
      <w:hyperlink r:id="rId18" w:tgtFrame="_blank" w:history="1">
        <w:r w:rsidRPr="003315D8">
          <w:rPr>
            <w:rStyle w:val="Hyperlink"/>
            <w:rFonts w:ascii="Arial" w:hAnsi="Arial" w:cs="Arial"/>
          </w:rPr>
          <w:t>https://www.apple.com/newsroom/2025/09/the-digital-markets-acts-impacts-on-eu-users/</w:t>
        </w:r>
      </w:hyperlink>
      <w:r w:rsidRPr="003315D8">
        <w:rPr>
          <w:rFonts w:ascii="Arial" w:hAnsi="Arial" w:cs="Arial"/>
        </w:rPr>
        <w:t xml:space="preserve"> (Accessed: 17 November 2025). </w:t>
      </w:r>
    </w:p>
    <w:p w14:paraId="19EF1CFE" w14:textId="77777777" w:rsidR="00036F02" w:rsidRDefault="00036F02" w:rsidP="00036F02">
      <w:pPr>
        <w:pStyle w:val="NormalWeb"/>
        <w:spacing w:line="360" w:lineRule="auto"/>
        <w:rPr>
          <w:rFonts w:ascii="Arial" w:hAnsi="Arial" w:cs="Arial"/>
        </w:rPr>
      </w:pPr>
      <w:r w:rsidRPr="003315D8">
        <w:rPr>
          <w:rFonts w:ascii="Arial" w:hAnsi="Arial" w:cs="Arial"/>
        </w:rPr>
        <w:t xml:space="preserve">Counterpoint Research. (2024). </w:t>
      </w:r>
      <w:r w:rsidRPr="003315D8">
        <w:rPr>
          <w:rFonts w:ascii="Arial" w:hAnsi="Arial" w:cs="Arial"/>
          <w:i/>
          <w:iCs/>
        </w:rPr>
        <w:t>Europe Smartphone Shipments Finally Resume Growth in Q1 2024, Cautious Optimism for Year Ahead</w:t>
      </w:r>
      <w:r w:rsidRPr="003315D8">
        <w:rPr>
          <w:rFonts w:ascii="Arial" w:hAnsi="Arial" w:cs="Arial"/>
        </w:rPr>
        <w:t xml:space="preserve">. Available at: </w:t>
      </w:r>
      <w:hyperlink r:id="rId19" w:tgtFrame="_blank" w:history="1">
        <w:r w:rsidRPr="003315D8">
          <w:rPr>
            <w:rStyle w:val="Hyperlink"/>
            <w:rFonts w:ascii="Arial" w:hAnsi="Arial" w:cs="Arial"/>
          </w:rPr>
          <w:t>https://counterpointresearch.com/en/insights/europe-smartphone-market-q1-2024</w:t>
        </w:r>
      </w:hyperlink>
      <w:r w:rsidRPr="003315D8">
        <w:rPr>
          <w:rFonts w:ascii="Arial" w:hAnsi="Arial" w:cs="Arial"/>
        </w:rPr>
        <w:t xml:space="preserve"> (Accessed: 17 November 2025). Deloitte Ireland. (2024). </w:t>
      </w:r>
    </w:p>
    <w:p w14:paraId="0537F72C" w14:textId="77777777" w:rsidR="00036F02" w:rsidRDefault="00036F02" w:rsidP="00036F02">
      <w:pPr>
        <w:pStyle w:val="NormalWeb"/>
        <w:spacing w:line="360" w:lineRule="auto"/>
        <w:rPr>
          <w:rFonts w:ascii="Arial" w:hAnsi="Arial" w:cs="Arial"/>
        </w:rPr>
      </w:pPr>
      <w:r w:rsidRPr="003315D8">
        <w:rPr>
          <w:rFonts w:ascii="Arial" w:hAnsi="Arial" w:cs="Arial"/>
          <w:i/>
          <w:iCs/>
        </w:rPr>
        <w:t>Consumer trends on smartphones usage</w:t>
      </w:r>
      <w:r w:rsidRPr="003315D8">
        <w:rPr>
          <w:rFonts w:ascii="Arial" w:hAnsi="Arial" w:cs="Arial"/>
        </w:rPr>
        <w:t xml:space="preserve">. Available at: </w:t>
      </w:r>
      <w:hyperlink r:id="rId20" w:tgtFrame="_blank" w:history="1">
        <w:r w:rsidRPr="003315D8">
          <w:rPr>
            <w:rStyle w:val="Hyperlink"/>
            <w:rFonts w:ascii="Arial" w:hAnsi="Arial" w:cs="Arial"/>
          </w:rPr>
          <w:t>https://www.deloitte.com/ie/en/about/press-room/consumer-trends-smartphone-usage.html</w:t>
        </w:r>
      </w:hyperlink>
      <w:r w:rsidRPr="003315D8">
        <w:rPr>
          <w:rFonts w:ascii="Arial" w:hAnsi="Arial" w:cs="Arial"/>
        </w:rPr>
        <w:t xml:space="preserve"> (Accessed: 17 November 2025). </w:t>
      </w:r>
    </w:p>
    <w:p w14:paraId="4B031E83" w14:textId="77777777" w:rsidR="00036F02" w:rsidRDefault="00036F02" w:rsidP="00036F02">
      <w:pPr>
        <w:pStyle w:val="NormalWeb"/>
        <w:spacing w:line="360" w:lineRule="auto"/>
        <w:rPr>
          <w:rFonts w:ascii="Arial" w:hAnsi="Arial" w:cs="Arial"/>
        </w:rPr>
      </w:pPr>
      <w:r w:rsidRPr="003315D8">
        <w:rPr>
          <w:rFonts w:ascii="Arial" w:hAnsi="Arial" w:cs="Arial"/>
        </w:rPr>
        <w:t xml:space="preserve">InvestingPro. (2025). </w:t>
      </w:r>
      <w:r w:rsidRPr="003315D8">
        <w:rPr>
          <w:rFonts w:ascii="Arial" w:hAnsi="Arial" w:cs="Arial"/>
          <w:i/>
          <w:iCs/>
        </w:rPr>
        <w:t>Apple's stock value analysis: The AI opportunity</w:t>
      </w:r>
      <w:r w:rsidRPr="003315D8">
        <w:rPr>
          <w:rFonts w:ascii="Arial" w:hAnsi="Arial" w:cs="Arial"/>
        </w:rPr>
        <w:t xml:space="preserve">. Available at: </w:t>
      </w:r>
      <w:hyperlink r:id="rId21" w:tgtFrame="_blank" w:history="1">
        <w:r w:rsidRPr="003315D8">
          <w:rPr>
            <w:rStyle w:val="Hyperlink"/>
            <w:rFonts w:ascii="Arial" w:hAnsi="Arial" w:cs="Arial"/>
          </w:rPr>
          <w:t>https://www.investing.com/pro/apple-s-stock-value-analysis-the-ai-opportunity-1398246/</w:t>
        </w:r>
      </w:hyperlink>
      <w:r w:rsidRPr="003315D8">
        <w:rPr>
          <w:rFonts w:ascii="Arial" w:hAnsi="Arial" w:cs="Arial"/>
        </w:rPr>
        <w:t xml:space="preserve"> (Accessed: 17 November 2025). </w:t>
      </w:r>
    </w:p>
    <w:p w14:paraId="5B23A3EF" w14:textId="77777777" w:rsidR="00036F02" w:rsidRDefault="00036F02" w:rsidP="00036F02">
      <w:pPr>
        <w:pStyle w:val="NormalWeb"/>
        <w:spacing w:line="360" w:lineRule="auto"/>
        <w:rPr>
          <w:rFonts w:ascii="Arial" w:hAnsi="Arial" w:cs="Arial"/>
        </w:rPr>
      </w:pPr>
      <w:r w:rsidRPr="003315D8">
        <w:rPr>
          <w:rFonts w:ascii="Arial" w:hAnsi="Arial" w:cs="Arial"/>
        </w:rPr>
        <w:t xml:space="preserve">PatentPC. (2025). </w:t>
      </w:r>
      <w:r w:rsidRPr="003315D8">
        <w:rPr>
          <w:rFonts w:ascii="Arial" w:hAnsi="Arial" w:cs="Arial"/>
          <w:i/>
          <w:iCs/>
        </w:rPr>
        <w:t>The Impact of Apple Patents on Consumer Privacy and Data Protection</w:t>
      </w:r>
      <w:r w:rsidRPr="003315D8">
        <w:rPr>
          <w:rFonts w:ascii="Arial" w:hAnsi="Arial" w:cs="Arial"/>
        </w:rPr>
        <w:t xml:space="preserve">. Available at: </w:t>
      </w:r>
      <w:hyperlink r:id="rId22" w:tgtFrame="_blank" w:history="1">
        <w:r w:rsidRPr="003315D8">
          <w:rPr>
            <w:rStyle w:val="Hyperlink"/>
            <w:rFonts w:ascii="Arial" w:hAnsi="Arial" w:cs="Arial"/>
          </w:rPr>
          <w:t>https://patentpc.com/blog/the-impact-of-apple-patents-on-consumer-privacy-and-data-protection</w:t>
        </w:r>
      </w:hyperlink>
      <w:r w:rsidRPr="003315D8">
        <w:rPr>
          <w:rFonts w:ascii="Arial" w:hAnsi="Arial" w:cs="Arial"/>
        </w:rPr>
        <w:t xml:space="preserve"> (Accessed: 17 November 2025). </w:t>
      </w:r>
    </w:p>
    <w:p w14:paraId="0154FC1E" w14:textId="77777777" w:rsidR="00036F02" w:rsidRDefault="00036F02" w:rsidP="00036F02">
      <w:pPr>
        <w:pStyle w:val="NormalWeb"/>
        <w:spacing w:line="360" w:lineRule="auto"/>
        <w:rPr>
          <w:rFonts w:ascii="Arial" w:hAnsi="Arial" w:cs="Arial"/>
        </w:rPr>
      </w:pPr>
      <w:r w:rsidRPr="003315D8">
        <w:rPr>
          <w:rFonts w:ascii="Arial" w:hAnsi="Arial" w:cs="Arial"/>
        </w:rPr>
        <w:t xml:space="preserve">ResearchGate. (2024). </w:t>
      </w:r>
      <w:r w:rsidRPr="003315D8">
        <w:rPr>
          <w:rFonts w:ascii="Arial" w:hAnsi="Arial" w:cs="Arial"/>
          <w:i/>
          <w:iCs/>
        </w:rPr>
        <w:t>Analysis of Xiaomi Auto’s Marketing Strategy</w:t>
      </w:r>
      <w:r w:rsidRPr="003315D8">
        <w:rPr>
          <w:rFonts w:ascii="Arial" w:hAnsi="Arial" w:cs="Arial"/>
        </w:rPr>
        <w:t xml:space="preserve">. Available at: </w:t>
      </w:r>
      <w:hyperlink r:id="rId23" w:tgtFrame="_blank" w:history="1">
        <w:r w:rsidRPr="003315D8">
          <w:rPr>
            <w:rStyle w:val="Hyperlink"/>
            <w:rFonts w:ascii="Arial" w:hAnsi="Arial" w:cs="Arial"/>
          </w:rPr>
          <w:t>https://www.researchgate.net/publication/392542357_Analysis_of_Xiaomi_Auto%27s_Marketing_Strategy</w:t>
        </w:r>
      </w:hyperlink>
      <w:r w:rsidRPr="003315D8">
        <w:rPr>
          <w:rFonts w:ascii="Arial" w:hAnsi="Arial" w:cs="Arial"/>
        </w:rPr>
        <w:t xml:space="preserve"> (Accessed: 17 November 2025). SmartOSC. (2023). </w:t>
      </w:r>
    </w:p>
    <w:p w14:paraId="307B1700" w14:textId="77777777" w:rsidR="00036F02" w:rsidRDefault="00036F02" w:rsidP="00036F02">
      <w:pPr>
        <w:pStyle w:val="NormalWeb"/>
        <w:spacing w:line="360" w:lineRule="auto"/>
        <w:rPr>
          <w:rFonts w:ascii="Arial" w:hAnsi="Arial" w:cs="Arial"/>
        </w:rPr>
      </w:pPr>
      <w:r w:rsidRPr="003315D8">
        <w:rPr>
          <w:rFonts w:ascii="Arial" w:hAnsi="Arial" w:cs="Arial"/>
        </w:rPr>
        <w:t xml:space="preserve">TrustArc. (2024). </w:t>
      </w:r>
      <w:r w:rsidRPr="003315D8">
        <w:rPr>
          <w:rFonts w:ascii="Arial" w:hAnsi="Arial" w:cs="Arial"/>
          <w:i/>
          <w:iCs/>
        </w:rPr>
        <w:t>A Review of Xiaomi's Privacy and Data Protection Programs</w:t>
      </w:r>
      <w:r w:rsidRPr="003315D8">
        <w:rPr>
          <w:rFonts w:ascii="Arial" w:hAnsi="Arial" w:cs="Arial"/>
        </w:rPr>
        <w:t xml:space="preserve">. Available at: </w:t>
      </w:r>
      <w:hyperlink r:id="rId24" w:tgtFrame="_blank" w:history="1">
        <w:r w:rsidRPr="003315D8">
          <w:rPr>
            <w:rStyle w:val="Hyperlink"/>
            <w:rFonts w:ascii="Arial" w:hAnsi="Arial" w:cs="Arial"/>
          </w:rPr>
          <w:t>https://www.trustarc.com/resource/a-review-of-xiaomis-privacy-and-data-protection-programs/</w:t>
        </w:r>
      </w:hyperlink>
      <w:r w:rsidRPr="003315D8">
        <w:rPr>
          <w:rFonts w:ascii="Arial" w:hAnsi="Arial" w:cs="Arial"/>
        </w:rPr>
        <w:t xml:space="preserve"> (Accessed: 17 November 2025). </w:t>
      </w:r>
    </w:p>
    <w:p w14:paraId="7D2E25ED" w14:textId="77777777" w:rsidR="00036F02" w:rsidRDefault="00036F02" w:rsidP="00036F02">
      <w:pPr>
        <w:pStyle w:val="NormalWeb"/>
        <w:spacing w:line="360" w:lineRule="auto"/>
        <w:rPr>
          <w:rFonts w:ascii="Arial" w:hAnsi="Arial" w:cs="Arial"/>
        </w:rPr>
      </w:pPr>
      <w:r w:rsidRPr="003315D8">
        <w:rPr>
          <w:rFonts w:ascii="Arial" w:hAnsi="Arial" w:cs="Arial"/>
        </w:rPr>
        <w:t xml:space="preserve">Xiaomi Global Home. (2024). </w:t>
      </w:r>
      <w:r w:rsidRPr="003315D8">
        <w:rPr>
          <w:rFonts w:ascii="Arial" w:hAnsi="Arial" w:cs="Arial"/>
          <w:i/>
          <w:iCs/>
        </w:rPr>
        <w:t>Xiaomi Debuts "Human x Car x Home" Smart Ecosystem at MWC 2024</w:t>
      </w:r>
      <w:r w:rsidRPr="003315D8">
        <w:rPr>
          <w:rFonts w:ascii="Arial" w:hAnsi="Arial" w:cs="Arial"/>
        </w:rPr>
        <w:t xml:space="preserve">. Available at: </w:t>
      </w:r>
      <w:hyperlink r:id="rId25" w:tgtFrame="_blank" w:history="1">
        <w:r w:rsidRPr="003315D8">
          <w:rPr>
            <w:rStyle w:val="Hyperlink"/>
            <w:rFonts w:ascii="Arial" w:hAnsi="Arial" w:cs="Arial"/>
          </w:rPr>
          <w:t>https://www.mi.com/global/discover/article?id=3190</w:t>
        </w:r>
      </w:hyperlink>
      <w:r w:rsidRPr="003315D8">
        <w:rPr>
          <w:rFonts w:ascii="Arial" w:hAnsi="Arial" w:cs="Arial"/>
        </w:rPr>
        <w:t xml:space="preserve"> (Accessed: 17 November 2025). </w:t>
      </w:r>
    </w:p>
    <w:p w14:paraId="2CA5F0CC" w14:textId="06E7F734" w:rsidR="00F252C4" w:rsidRPr="00F252C4" w:rsidRDefault="00F252C4" w:rsidP="00F252C4">
      <w:pPr>
        <w:pStyle w:val="NormalWeb"/>
        <w:spacing w:line="360" w:lineRule="auto"/>
        <w:rPr>
          <w:rFonts w:ascii="Arial" w:hAnsi="Arial" w:cs="Arial"/>
          <w:lang w:val="en-US"/>
        </w:rPr>
      </w:pPr>
      <w:r w:rsidRPr="00F252C4">
        <w:rPr>
          <w:rFonts w:ascii="Arial" w:hAnsi="Arial" w:cs="Arial"/>
          <w:lang w:val="en-US"/>
        </w:rPr>
        <w:t xml:space="preserve">Baum-Zepeda, B. (2025). Privacy as a Shield, Antitrust as a Sword: Apple’s App Tracking Policies. </w:t>
      </w:r>
      <w:r w:rsidRPr="00F252C4">
        <w:rPr>
          <w:rFonts w:ascii="Arial" w:hAnsi="Arial" w:cs="Arial"/>
          <w:i/>
          <w:iCs/>
          <w:lang w:val="en-US"/>
        </w:rPr>
        <w:t>UC Davis Law Review</w:t>
      </w:r>
      <w:r w:rsidRPr="00F252C4">
        <w:rPr>
          <w:rFonts w:ascii="Arial" w:hAnsi="Arial" w:cs="Arial"/>
          <w:lang w:val="en-US"/>
        </w:rPr>
        <w:t xml:space="preserve">, [online] Available </w:t>
      </w:r>
      <w:r w:rsidRPr="00F252C4">
        <w:rPr>
          <w:rFonts w:ascii="Arial" w:hAnsi="Arial" w:cs="Arial"/>
          <w:lang w:val="en-US"/>
        </w:rPr>
        <w:lastRenderedPageBreak/>
        <w:t>at:(</w:t>
      </w:r>
      <w:hyperlink r:id="rId26" w:history="1">
        <w:r w:rsidRPr="00F252C4">
          <w:rPr>
            <w:rStyle w:val="Hyperlink"/>
            <w:rFonts w:ascii="Arial" w:hAnsi="Arial" w:cs="Arial"/>
            <w:lang w:val="en-US"/>
          </w:rPr>
          <w:t>https://blj.ucdavis.edu/sites/g/files/dgvnsk15221/files/2025-01/Brandon%20Baum-Zepeda.pdf</w:t>
        </w:r>
      </w:hyperlink>
      <w:r w:rsidRPr="00F252C4">
        <w:rPr>
          <w:rFonts w:ascii="Arial" w:hAnsi="Arial" w:cs="Arial"/>
          <w:lang w:val="en-US"/>
        </w:rPr>
        <w:t>) (Accessed: 21 November 2025).</w:t>
      </w:r>
    </w:p>
    <w:p w14:paraId="751391FB" w14:textId="77777777" w:rsidR="00F252C4" w:rsidRPr="00F252C4" w:rsidRDefault="00F252C4" w:rsidP="00F252C4">
      <w:pPr>
        <w:pStyle w:val="NormalWeb"/>
        <w:spacing w:line="360" w:lineRule="auto"/>
        <w:rPr>
          <w:rFonts w:ascii="Arial" w:hAnsi="Arial" w:cs="Arial"/>
          <w:lang w:val="en-US"/>
        </w:rPr>
      </w:pPr>
      <w:r w:rsidRPr="00F252C4">
        <w:rPr>
          <w:rFonts w:ascii="Arial" w:hAnsi="Arial" w:cs="Arial"/>
          <w:lang w:val="en-US"/>
        </w:rPr>
        <w:t xml:space="preserve">Fensore, S. and D’Amico, A. (2024). AI-enabled business models for competitive advantage. </w:t>
      </w:r>
      <w:r w:rsidRPr="00F252C4">
        <w:rPr>
          <w:rFonts w:ascii="Arial" w:hAnsi="Arial" w:cs="Arial"/>
          <w:i/>
          <w:iCs/>
          <w:lang w:val="en-US"/>
        </w:rPr>
        <w:t>Journal of Innovation &amp; Knowledge</w:t>
      </w:r>
      <w:r w:rsidRPr="00F252C4">
        <w:rPr>
          <w:rFonts w:ascii="Arial" w:hAnsi="Arial" w:cs="Arial"/>
          <w:lang w:val="en-US"/>
        </w:rPr>
        <w:t xml:space="preserve">, 9(3), p.100588. </w:t>
      </w:r>
      <w:hyperlink r:id="rId27" w:tgtFrame="_blank" w:history="1">
        <w:r w:rsidRPr="00F252C4">
          <w:rPr>
            <w:rStyle w:val="Hyperlink"/>
            <w:rFonts w:ascii="Arial" w:hAnsi="Arial" w:cs="Arial"/>
            <w:lang w:val="en-US"/>
          </w:rPr>
          <w:t>https://doi.org/10.1016/j.jik.2024.100588</w:t>
        </w:r>
      </w:hyperlink>
      <w:r w:rsidRPr="00F252C4">
        <w:rPr>
          <w:rFonts w:ascii="Arial" w:hAnsi="Arial" w:cs="Arial"/>
          <w:lang w:val="en-US"/>
        </w:rPr>
        <w:t xml:space="preserve"> (Accessed: 21 November 2025).</w:t>
      </w:r>
    </w:p>
    <w:p w14:paraId="0AD43C27" w14:textId="77777777" w:rsidR="00F252C4" w:rsidRPr="00F252C4" w:rsidRDefault="00F252C4" w:rsidP="00F252C4">
      <w:pPr>
        <w:pStyle w:val="NormalWeb"/>
        <w:spacing w:line="360" w:lineRule="auto"/>
        <w:rPr>
          <w:rFonts w:ascii="Arial" w:hAnsi="Arial" w:cs="Arial"/>
          <w:lang w:val="en-US"/>
        </w:rPr>
      </w:pPr>
      <w:r w:rsidRPr="00F252C4">
        <w:rPr>
          <w:rFonts w:ascii="Arial" w:hAnsi="Arial" w:cs="Arial"/>
          <w:lang w:val="en-US"/>
        </w:rPr>
        <w:t xml:space="preserve">Liu, Y. and Park, J. (2022). Competitive strategies of Xiaomi in the global smartphone industry: A comparative study with Samsung and Apple. </w:t>
      </w:r>
      <w:r w:rsidRPr="00F252C4">
        <w:rPr>
          <w:rFonts w:ascii="Arial" w:hAnsi="Arial" w:cs="Arial"/>
          <w:i/>
          <w:iCs/>
          <w:lang w:val="en-US"/>
        </w:rPr>
        <w:t>International Journal of Strategic Management</w:t>
      </w:r>
      <w:r w:rsidRPr="00F252C4">
        <w:rPr>
          <w:rFonts w:ascii="Arial" w:hAnsi="Arial" w:cs="Arial"/>
          <w:lang w:val="en-US"/>
        </w:rPr>
        <w:t xml:space="preserve">, 31(4), pp. 521-538. </w:t>
      </w:r>
      <w:hyperlink r:id="rId28" w:tgtFrame="_blank" w:history="1">
        <w:r w:rsidRPr="00F252C4">
          <w:rPr>
            <w:rStyle w:val="Hyperlink"/>
            <w:rFonts w:ascii="Arial" w:hAnsi="Arial" w:cs="Arial"/>
            <w:lang w:val="en-US"/>
          </w:rPr>
          <w:t>https://drpress.org/ojs/index.php/jid/article/view/32262</w:t>
        </w:r>
      </w:hyperlink>
      <w:r w:rsidRPr="00F252C4">
        <w:rPr>
          <w:rFonts w:ascii="Arial" w:hAnsi="Arial" w:cs="Arial"/>
          <w:lang w:val="en-US"/>
        </w:rPr>
        <w:t xml:space="preserve"> (Accessed: 21 November 2025).</w:t>
      </w:r>
    </w:p>
    <w:p w14:paraId="0B146249" w14:textId="158C3E18" w:rsidR="00F252C4" w:rsidRPr="00F252C4" w:rsidRDefault="00F252C4" w:rsidP="00F252C4">
      <w:pPr>
        <w:pStyle w:val="NormalWeb"/>
        <w:spacing w:line="360" w:lineRule="auto"/>
        <w:rPr>
          <w:rFonts w:ascii="Arial" w:hAnsi="Arial" w:cs="Arial"/>
          <w:lang w:val="en-US"/>
        </w:rPr>
      </w:pPr>
      <w:r w:rsidRPr="00F252C4">
        <w:rPr>
          <w:rFonts w:ascii="Arial" w:hAnsi="Arial" w:cs="Arial"/>
          <w:lang w:val="en-US"/>
        </w:rPr>
        <w:t xml:space="preserve">Sugiarti, T. and Zulfikar, R. (2024). Apple strategic response to data privacy as competitive advantage. </w:t>
      </w:r>
      <w:r w:rsidRPr="00F252C4">
        <w:rPr>
          <w:rFonts w:ascii="Arial" w:hAnsi="Arial" w:cs="Arial"/>
          <w:i/>
          <w:iCs/>
          <w:lang w:val="en-US"/>
        </w:rPr>
        <w:t>SHS Web of Conferences</w:t>
      </w:r>
      <w:r w:rsidRPr="00F252C4">
        <w:rPr>
          <w:rFonts w:ascii="Arial" w:hAnsi="Arial" w:cs="Arial"/>
          <w:lang w:val="en-US"/>
        </w:rPr>
        <w:t xml:space="preserve">, 198, p.01020. </w:t>
      </w:r>
      <w:hyperlink r:id="rId29" w:history="1">
        <w:r w:rsidR="00BE6643" w:rsidRPr="00BE6643">
          <w:rPr>
            <w:rStyle w:val="Hyperlink"/>
            <w:rFonts w:ascii="Arial" w:hAnsi="Arial" w:cs="Arial"/>
            <w:lang w:val="en-US"/>
          </w:rPr>
          <w:t>https://www.researchgate.net/publication/386738541_Analysis_of_Apple%27s</w:t>
        </w:r>
      </w:hyperlink>
      <w:r w:rsidRPr="00F252C4">
        <w:rPr>
          <w:rFonts w:ascii="Arial" w:hAnsi="Arial" w:cs="Arial"/>
          <w:lang w:val="en-US"/>
        </w:rPr>
        <w:t xml:space="preserve"> (Accessed: 21 November 2025).</w:t>
      </w:r>
    </w:p>
    <w:p w14:paraId="280B5440" w14:textId="77777777" w:rsidR="00F252C4" w:rsidRPr="00F252C4" w:rsidRDefault="00F252C4" w:rsidP="00F252C4">
      <w:pPr>
        <w:pStyle w:val="NormalWeb"/>
        <w:spacing w:line="360" w:lineRule="auto"/>
        <w:rPr>
          <w:rFonts w:ascii="Arial" w:hAnsi="Arial" w:cs="Arial"/>
          <w:lang w:val="en-US"/>
        </w:rPr>
      </w:pPr>
      <w:r w:rsidRPr="00F252C4">
        <w:rPr>
          <w:rFonts w:ascii="Arial" w:hAnsi="Arial" w:cs="Arial"/>
          <w:lang w:val="en-US"/>
        </w:rPr>
        <w:t xml:space="preserve">Walsh, J. (2024). </w:t>
      </w:r>
      <w:r w:rsidRPr="00F252C4">
        <w:rPr>
          <w:rFonts w:ascii="Arial" w:hAnsi="Arial" w:cs="Arial"/>
          <w:i/>
          <w:iCs/>
          <w:lang w:val="en-US"/>
        </w:rPr>
        <w:t>PEST Analysis</w:t>
      </w:r>
      <w:r w:rsidRPr="00F252C4">
        <w:rPr>
          <w:rFonts w:ascii="Arial" w:hAnsi="Arial" w:cs="Arial"/>
          <w:lang w:val="en-US"/>
        </w:rPr>
        <w:t xml:space="preserve">. EBSCOhost. Available at: </w:t>
      </w:r>
      <w:hyperlink r:id="rId30" w:tgtFrame="_blank" w:history="1">
        <w:r w:rsidRPr="00F252C4">
          <w:rPr>
            <w:rStyle w:val="Hyperlink"/>
            <w:rFonts w:ascii="Arial" w:hAnsi="Arial" w:cs="Arial"/>
            <w:lang w:val="en-US"/>
          </w:rPr>
          <w:t>https://www.ebsco.com/research-starters/social-sciences-and-humanities/pest-analysis</w:t>
        </w:r>
      </w:hyperlink>
      <w:r w:rsidRPr="00F252C4">
        <w:rPr>
          <w:rFonts w:ascii="Arial" w:hAnsi="Arial" w:cs="Arial"/>
          <w:lang w:val="en-US"/>
        </w:rPr>
        <w:t xml:space="preserve"> (Accessed: 21 November 2025).</w:t>
      </w:r>
    </w:p>
    <w:p w14:paraId="55ABEAE6" w14:textId="77777777" w:rsidR="00F252C4" w:rsidRPr="00F252C4" w:rsidRDefault="00F252C4" w:rsidP="00F252C4">
      <w:pPr>
        <w:pStyle w:val="NormalWeb"/>
        <w:spacing w:line="360" w:lineRule="auto"/>
        <w:rPr>
          <w:rFonts w:ascii="Arial" w:hAnsi="Arial" w:cs="Arial"/>
          <w:lang w:val="en-US"/>
        </w:rPr>
      </w:pPr>
      <w:r w:rsidRPr="00F252C4">
        <w:rPr>
          <w:rFonts w:ascii="Arial" w:hAnsi="Arial" w:cs="Arial"/>
          <w:lang w:val="en-US"/>
        </w:rPr>
        <w:t xml:space="preserve">Xiaomi Corporation. (2024). </w:t>
      </w:r>
      <w:r w:rsidRPr="00F252C4">
        <w:rPr>
          <w:rFonts w:ascii="Arial" w:hAnsi="Arial" w:cs="Arial"/>
          <w:i/>
          <w:iCs/>
          <w:lang w:val="en-US"/>
        </w:rPr>
        <w:t>ESG Ratings and Glory</w:t>
      </w:r>
      <w:r w:rsidRPr="00F252C4">
        <w:rPr>
          <w:rFonts w:ascii="Arial" w:hAnsi="Arial" w:cs="Arial"/>
          <w:lang w:val="en-US"/>
        </w:rPr>
        <w:t xml:space="preserve">. [online] Available at: </w:t>
      </w:r>
      <w:hyperlink r:id="rId31" w:tgtFrame="_blank" w:history="1">
        <w:r w:rsidRPr="00F252C4">
          <w:rPr>
            <w:rStyle w:val="Hyperlink"/>
            <w:rFonts w:ascii="Arial" w:hAnsi="Arial" w:cs="Arial"/>
            <w:lang w:val="en-US"/>
          </w:rPr>
          <w:t>https://www.mi.com/csr</w:t>
        </w:r>
      </w:hyperlink>
      <w:r w:rsidRPr="00F252C4">
        <w:rPr>
          <w:rFonts w:ascii="Arial" w:hAnsi="Arial" w:cs="Arial"/>
          <w:lang w:val="en-US"/>
        </w:rPr>
        <w:t xml:space="preserve"> (Accessed: 21 November 2025).</w:t>
      </w:r>
    </w:p>
    <w:p w14:paraId="3F5F569E" w14:textId="77777777" w:rsidR="00F252C4" w:rsidRPr="00F252C4" w:rsidRDefault="00F252C4" w:rsidP="00F252C4">
      <w:pPr>
        <w:pStyle w:val="NormalWeb"/>
        <w:spacing w:line="360" w:lineRule="auto"/>
        <w:rPr>
          <w:rFonts w:ascii="Arial" w:hAnsi="Arial" w:cs="Arial"/>
          <w:lang w:val="en-US"/>
        </w:rPr>
      </w:pPr>
      <w:r w:rsidRPr="00F252C4">
        <w:rPr>
          <w:rFonts w:ascii="Arial" w:hAnsi="Arial" w:cs="Arial"/>
          <w:lang w:val="en-US"/>
        </w:rPr>
        <w:t xml:space="preserve">Xiaomi Corporation. (2025). </w:t>
      </w:r>
      <w:r w:rsidRPr="00F252C4">
        <w:rPr>
          <w:rFonts w:ascii="Arial" w:hAnsi="Arial" w:cs="Arial"/>
          <w:i/>
          <w:iCs/>
          <w:lang w:val="en-US"/>
        </w:rPr>
        <w:t>ANNUAL RESULTS ANNOUNCEMENT FOR THE YEAR ENDED DECEMBER 31, 2024</w:t>
      </w:r>
      <w:r w:rsidRPr="00F252C4">
        <w:rPr>
          <w:rFonts w:ascii="Arial" w:hAnsi="Arial" w:cs="Arial"/>
          <w:lang w:val="en-US"/>
        </w:rPr>
        <w:t>. [online] Available at:(</w:t>
      </w:r>
      <w:hyperlink r:id="rId32" w:tgtFrame="_blank" w:history="1">
        <w:r w:rsidRPr="00F252C4">
          <w:rPr>
            <w:rStyle w:val="Hyperlink"/>
            <w:rFonts w:ascii="Arial" w:hAnsi="Arial" w:cs="Arial"/>
            <w:lang w:val="en-US"/>
          </w:rPr>
          <w:t>https://ir.mi.com/system/files-encrypted/nasdaq_kms/assets/2025/03/18/5-38-56/%E8%8B%B1%E6%96%87%E5%85%AC%E9%80%9A.pdf</w:t>
        </w:r>
      </w:hyperlink>
      <w:r w:rsidRPr="00F252C4">
        <w:rPr>
          <w:rFonts w:ascii="Arial" w:hAnsi="Arial" w:cs="Arial"/>
          <w:lang w:val="en-US"/>
        </w:rPr>
        <w:t>) (Accessed: 21 November 2025).</w:t>
      </w:r>
    </w:p>
    <w:p w14:paraId="478AB5CD" w14:textId="77777777" w:rsidR="00F252C4" w:rsidRPr="00F252C4" w:rsidRDefault="00F252C4" w:rsidP="00F252C4">
      <w:pPr>
        <w:pStyle w:val="NormalWeb"/>
        <w:spacing w:line="360" w:lineRule="auto"/>
        <w:rPr>
          <w:rFonts w:ascii="Arial" w:hAnsi="Arial" w:cs="Arial"/>
          <w:lang w:val="en-US"/>
        </w:rPr>
      </w:pPr>
      <w:r w:rsidRPr="00F252C4">
        <w:rPr>
          <w:rFonts w:ascii="Arial" w:hAnsi="Arial" w:cs="Arial"/>
          <w:lang w:val="en-US"/>
        </w:rPr>
        <w:t xml:space="preserve">Zhang, Q., Wu, D. and Liu, S. (2024). Research on how companies can sustainably grow in crowded markets--Taking Xiaomi and BiliBili as examples. </w:t>
      </w:r>
      <w:r w:rsidRPr="00F252C4">
        <w:rPr>
          <w:rFonts w:ascii="Arial" w:hAnsi="Arial" w:cs="Arial"/>
          <w:i/>
          <w:iCs/>
          <w:lang w:val="en-US"/>
        </w:rPr>
        <w:t>ResearchGate</w:t>
      </w:r>
      <w:r w:rsidRPr="00F252C4">
        <w:rPr>
          <w:rFonts w:ascii="Arial" w:hAnsi="Arial" w:cs="Arial"/>
          <w:lang w:val="en-US"/>
        </w:rPr>
        <w:t>. [online] Available at:(</w:t>
      </w:r>
      <w:hyperlink r:id="rId33" w:tgtFrame="_blank" w:history="1">
        <w:r w:rsidRPr="00F252C4">
          <w:rPr>
            <w:rStyle w:val="Hyperlink"/>
            <w:rFonts w:ascii="Arial" w:hAnsi="Arial" w:cs="Arial"/>
            <w:lang w:val="en-US"/>
          </w:rPr>
          <w:t>https://www.researchgate.net/publication/396323593_Research_on_how_compa</w:t>
        </w:r>
        <w:r w:rsidRPr="00F252C4">
          <w:rPr>
            <w:rStyle w:val="Hyperlink"/>
            <w:rFonts w:ascii="Arial" w:hAnsi="Arial" w:cs="Arial"/>
            <w:lang w:val="en-US"/>
          </w:rPr>
          <w:lastRenderedPageBreak/>
          <w:t>nies_can_sustainably_grow_in_crowded_markets--Taking_Xiaomi_and_BiliBili_as_examples</w:t>
        </w:r>
      </w:hyperlink>
      <w:r w:rsidRPr="00F252C4">
        <w:rPr>
          <w:rFonts w:ascii="Arial" w:hAnsi="Arial" w:cs="Arial"/>
          <w:lang w:val="en-US"/>
        </w:rPr>
        <w:t>) (Accessed: 21 November 2025).</w:t>
      </w:r>
    </w:p>
    <w:p w14:paraId="11608C1F" w14:textId="77777777" w:rsidR="00F252C4" w:rsidRPr="00036F02" w:rsidRDefault="00F252C4" w:rsidP="00036F02">
      <w:pPr>
        <w:pStyle w:val="NormalWeb"/>
        <w:spacing w:line="360" w:lineRule="auto"/>
        <w:rPr>
          <w:rFonts w:ascii="Arial" w:hAnsi="Arial" w:cs="Arial"/>
        </w:rPr>
      </w:pPr>
    </w:p>
    <w:sectPr w:rsidR="00F252C4" w:rsidRPr="00036F02" w:rsidSect="00036F02">
      <w:footerReference w:type="default" r:id="rId34"/>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E0B493" w14:textId="77777777" w:rsidR="00460F9C" w:rsidRDefault="00460F9C">
      <w:pPr>
        <w:spacing w:after="0" w:line="240" w:lineRule="auto"/>
      </w:pPr>
      <w:r>
        <w:separator/>
      </w:r>
    </w:p>
  </w:endnote>
  <w:endnote w:type="continuationSeparator" w:id="0">
    <w:p w14:paraId="79D72F73" w14:textId="77777777" w:rsidR="00460F9C" w:rsidRDefault="00460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0201291"/>
      <w:docPartObj>
        <w:docPartGallery w:val="Page Numbers (Bottom of Page)"/>
        <w:docPartUnique/>
      </w:docPartObj>
    </w:sdtPr>
    <w:sdtEndPr>
      <w:rPr>
        <w:noProof/>
      </w:rPr>
    </w:sdtEndPr>
    <w:sdtContent>
      <w:p w14:paraId="664B6956" w14:textId="77777777" w:rsidR="00036F02" w:rsidRDefault="00036F02">
        <w:pPr>
          <w:pStyle w:val="Footer"/>
          <w:jc w:val="right"/>
        </w:pPr>
        <w:r>
          <w:fldChar w:fldCharType="begin"/>
        </w:r>
        <w:r>
          <w:instrText xml:space="preserve"> PAGE   \* MERGEFORMAT </w:instrText>
        </w:r>
        <w:r>
          <w:fldChar w:fldCharType="separate"/>
        </w:r>
        <w:r w:rsidR="001266D7">
          <w:rPr>
            <w:noProof/>
          </w:rPr>
          <w:t>17</w:t>
        </w:r>
        <w:r>
          <w:rPr>
            <w:noProof/>
          </w:rPr>
          <w:fldChar w:fldCharType="end"/>
        </w:r>
      </w:p>
    </w:sdtContent>
  </w:sdt>
  <w:p w14:paraId="7614F2DD" w14:textId="77777777" w:rsidR="00036F02" w:rsidRDefault="00036F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C41097" w14:textId="77777777" w:rsidR="00460F9C" w:rsidRDefault="00460F9C">
      <w:pPr>
        <w:spacing w:after="0" w:line="240" w:lineRule="auto"/>
      </w:pPr>
      <w:r>
        <w:separator/>
      </w:r>
    </w:p>
  </w:footnote>
  <w:footnote w:type="continuationSeparator" w:id="0">
    <w:p w14:paraId="47AE90F6" w14:textId="77777777" w:rsidR="00460F9C" w:rsidRDefault="00460F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F26B4"/>
    <w:multiLevelType w:val="hybridMultilevel"/>
    <w:tmpl w:val="09961B80"/>
    <w:lvl w:ilvl="0" w:tplc="C8B430D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603CEA"/>
    <w:multiLevelType w:val="hybridMultilevel"/>
    <w:tmpl w:val="3020A666"/>
    <w:lvl w:ilvl="0" w:tplc="C8B430D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98115B"/>
    <w:multiLevelType w:val="hybridMultilevel"/>
    <w:tmpl w:val="08ECA204"/>
    <w:lvl w:ilvl="0" w:tplc="C8B430D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697818"/>
    <w:multiLevelType w:val="hybridMultilevel"/>
    <w:tmpl w:val="2924A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722CE6"/>
    <w:multiLevelType w:val="hybridMultilevel"/>
    <w:tmpl w:val="64B25B16"/>
    <w:lvl w:ilvl="0" w:tplc="C8B430D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17269B"/>
    <w:multiLevelType w:val="hybridMultilevel"/>
    <w:tmpl w:val="9822ECC4"/>
    <w:lvl w:ilvl="0" w:tplc="C8B430D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171245"/>
    <w:multiLevelType w:val="hybridMultilevel"/>
    <w:tmpl w:val="1C068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014D51"/>
    <w:multiLevelType w:val="hybridMultilevel"/>
    <w:tmpl w:val="D60624AE"/>
    <w:lvl w:ilvl="0" w:tplc="C8B430D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B21D15"/>
    <w:multiLevelType w:val="hybridMultilevel"/>
    <w:tmpl w:val="B1FA3442"/>
    <w:lvl w:ilvl="0" w:tplc="C8B430D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7"/>
  </w:num>
  <w:num w:numId="5">
    <w:abstractNumId w:val="8"/>
  </w:num>
  <w:num w:numId="6">
    <w:abstractNumId w:val="5"/>
  </w:num>
  <w:num w:numId="7">
    <w:abstractNumId w:val="1"/>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7BB"/>
    <w:rsid w:val="00035C97"/>
    <w:rsid w:val="00036F02"/>
    <w:rsid w:val="000B0F80"/>
    <w:rsid w:val="000D1C5A"/>
    <w:rsid w:val="000F5947"/>
    <w:rsid w:val="001039BC"/>
    <w:rsid w:val="001266D7"/>
    <w:rsid w:val="00173C90"/>
    <w:rsid w:val="0018148E"/>
    <w:rsid w:val="001B0DAA"/>
    <w:rsid w:val="001D5EF2"/>
    <w:rsid w:val="001F1748"/>
    <w:rsid w:val="00212ED5"/>
    <w:rsid w:val="002B0202"/>
    <w:rsid w:val="00307B81"/>
    <w:rsid w:val="00332A1B"/>
    <w:rsid w:val="003357BB"/>
    <w:rsid w:val="00361E3B"/>
    <w:rsid w:val="0043770C"/>
    <w:rsid w:val="00460F9C"/>
    <w:rsid w:val="004D6D79"/>
    <w:rsid w:val="00607C65"/>
    <w:rsid w:val="00613DD3"/>
    <w:rsid w:val="007344F0"/>
    <w:rsid w:val="008B3FF6"/>
    <w:rsid w:val="008C569C"/>
    <w:rsid w:val="00922DAB"/>
    <w:rsid w:val="0095290A"/>
    <w:rsid w:val="00985F99"/>
    <w:rsid w:val="009D70FC"/>
    <w:rsid w:val="00A20858"/>
    <w:rsid w:val="00A37AEC"/>
    <w:rsid w:val="00A7047A"/>
    <w:rsid w:val="00AC24F6"/>
    <w:rsid w:val="00B23E59"/>
    <w:rsid w:val="00BB034A"/>
    <w:rsid w:val="00BD7936"/>
    <w:rsid w:val="00BE6643"/>
    <w:rsid w:val="00C95F86"/>
    <w:rsid w:val="00CC5A2F"/>
    <w:rsid w:val="00DE7E3D"/>
    <w:rsid w:val="00E9427E"/>
    <w:rsid w:val="00EC7D54"/>
    <w:rsid w:val="00ED5A18"/>
    <w:rsid w:val="00F252C4"/>
    <w:rsid w:val="00F64D4A"/>
    <w:rsid w:val="00FE6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40EC2"/>
  <w15:chartTrackingRefBased/>
  <w15:docId w15:val="{92AA6018-0361-473A-8FC1-9B7019F7F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6F02"/>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036F02"/>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CC5A2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CC5A2F"/>
    <w:pPr>
      <w:keepNext/>
      <w:keepLines/>
      <w:spacing w:before="160" w:after="80"/>
      <w:outlineLvl w:val="2"/>
    </w:pPr>
    <w:rPr>
      <w:rFonts w:ascii="Arial" w:eastAsiaTheme="majorEastAsia" w:hAnsi="Arial" w:cstheme="majorBidi"/>
      <w:b/>
      <w:color w:val="000000" w:themeColor="text1"/>
      <w:sz w:val="26"/>
      <w:szCs w:val="28"/>
    </w:rPr>
  </w:style>
  <w:style w:type="paragraph" w:styleId="Heading4">
    <w:name w:val="heading 4"/>
    <w:basedOn w:val="Normal"/>
    <w:next w:val="Normal"/>
    <w:link w:val="Heading4Char"/>
    <w:uiPriority w:val="9"/>
    <w:semiHidden/>
    <w:unhideWhenUsed/>
    <w:qFormat/>
    <w:rsid w:val="003357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57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57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57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57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57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F02"/>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CC5A2F"/>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rsid w:val="00CC5A2F"/>
    <w:rPr>
      <w:rFonts w:ascii="Arial" w:eastAsiaTheme="majorEastAsia" w:hAnsi="Arial" w:cstheme="majorBidi"/>
      <w:b/>
      <w:color w:val="000000" w:themeColor="text1"/>
      <w:kern w:val="0"/>
      <w:sz w:val="26"/>
      <w:szCs w:val="28"/>
      <w:lang w:val="en-GB"/>
      <w14:ligatures w14:val="none"/>
    </w:rPr>
  </w:style>
  <w:style w:type="character" w:customStyle="1" w:styleId="Heading4Char">
    <w:name w:val="Heading 4 Char"/>
    <w:basedOn w:val="DefaultParagraphFont"/>
    <w:link w:val="Heading4"/>
    <w:uiPriority w:val="9"/>
    <w:semiHidden/>
    <w:rsid w:val="003357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57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57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57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57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57BB"/>
    <w:rPr>
      <w:rFonts w:eastAsiaTheme="majorEastAsia" w:cstheme="majorBidi"/>
      <w:color w:val="272727" w:themeColor="text1" w:themeTint="D8"/>
    </w:rPr>
  </w:style>
  <w:style w:type="paragraph" w:styleId="Title">
    <w:name w:val="Title"/>
    <w:basedOn w:val="Normal"/>
    <w:next w:val="Normal"/>
    <w:link w:val="TitleChar"/>
    <w:uiPriority w:val="10"/>
    <w:qFormat/>
    <w:rsid w:val="003357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57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57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57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57BB"/>
    <w:pPr>
      <w:spacing w:before="160"/>
      <w:jc w:val="center"/>
    </w:pPr>
    <w:rPr>
      <w:i/>
      <w:iCs/>
      <w:color w:val="404040" w:themeColor="text1" w:themeTint="BF"/>
    </w:rPr>
  </w:style>
  <w:style w:type="character" w:customStyle="1" w:styleId="QuoteChar">
    <w:name w:val="Quote Char"/>
    <w:basedOn w:val="DefaultParagraphFont"/>
    <w:link w:val="Quote"/>
    <w:uiPriority w:val="29"/>
    <w:rsid w:val="003357BB"/>
    <w:rPr>
      <w:i/>
      <w:iCs/>
      <w:color w:val="404040" w:themeColor="text1" w:themeTint="BF"/>
    </w:rPr>
  </w:style>
  <w:style w:type="paragraph" w:styleId="ListParagraph">
    <w:name w:val="List Paragraph"/>
    <w:basedOn w:val="Normal"/>
    <w:uiPriority w:val="34"/>
    <w:qFormat/>
    <w:rsid w:val="003357BB"/>
    <w:pPr>
      <w:ind w:left="720"/>
      <w:contextualSpacing/>
    </w:pPr>
  </w:style>
  <w:style w:type="character" w:styleId="IntenseEmphasis">
    <w:name w:val="Intense Emphasis"/>
    <w:basedOn w:val="DefaultParagraphFont"/>
    <w:uiPriority w:val="21"/>
    <w:qFormat/>
    <w:rsid w:val="003357BB"/>
    <w:rPr>
      <w:i/>
      <w:iCs/>
      <w:color w:val="2F5496" w:themeColor="accent1" w:themeShade="BF"/>
    </w:rPr>
  </w:style>
  <w:style w:type="paragraph" w:styleId="IntenseQuote">
    <w:name w:val="Intense Quote"/>
    <w:basedOn w:val="Normal"/>
    <w:next w:val="Normal"/>
    <w:link w:val="IntenseQuoteChar"/>
    <w:uiPriority w:val="30"/>
    <w:qFormat/>
    <w:rsid w:val="003357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57BB"/>
    <w:rPr>
      <w:i/>
      <w:iCs/>
      <w:color w:val="2F5496" w:themeColor="accent1" w:themeShade="BF"/>
    </w:rPr>
  </w:style>
  <w:style w:type="character" w:styleId="IntenseReference">
    <w:name w:val="Intense Reference"/>
    <w:basedOn w:val="DefaultParagraphFont"/>
    <w:uiPriority w:val="32"/>
    <w:qFormat/>
    <w:rsid w:val="003357BB"/>
    <w:rPr>
      <w:b/>
      <w:bCs/>
      <w:smallCaps/>
      <w:color w:val="2F5496" w:themeColor="accent1" w:themeShade="BF"/>
      <w:spacing w:val="5"/>
    </w:rPr>
  </w:style>
  <w:style w:type="paragraph" w:styleId="NormalWeb">
    <w:name w:val="Normal (Web)"/>
    <w:basedOn w:val="Normal"/>
    <w:uiPriority w:val="99"/>
    <w:unhideWhenUsed/>
    <w:rsid w:val="00036F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36F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F02"/>
    <w:rPr>
      <w:kern w:val="0"/>
      <w:sz w:val="22"/>
      <w:szCs w:val="22"/>
      <w:lang w:val="en-GB"/>
      <w14:ligatures w14:val="none"/>
    </w:rPr>
  </w:style>
  <w:style w:type="paragraph" w:styleId="TOCHeading">
    <w:name w:val="TOC Heading"/>
    <w:basedOn w:val="Heading1"/>
    <w:next w:val="Normal"/>
    <w:uiPriority w:val="39"/>
    <w:unhideWhenUsed/>
    <w:qFormat/>
    <w:rsid w:val="00036F02"/>
    <w:pPr>
      <w:spacing w:before="480" w:after="0"/>
      <w:outlineLvl w:val="9"/>
    </w:pPr>
    <w:rPr>
      <w:bCs/>
      <w:sz w:val="28"/>
      <w:szCs w:val="28"/>
      <w:lang w:eastAsia="ja-JP"/>
    </w:rPr>
  </w:style>
  <w:style w:type="paragraph" w:styleId="TOC1">
    <w:name w:val="toc 1"/>
    <w:basedOn w:val="Normal"/>
    <w:next w:val="Normal"/>
    <w:autoRedefine/>
    <w:uiPriority w:val="39"/>
    <w:unhideWhenUsed/>
    <w:rsid w:val="00036F02"/>
    <w:pPr>
      <w:spacing w:after="100"/>
    </w:pPr>
  </w:style>
  <w:style w:type="character" w:styleId="Hyperlink">
    <w:name w:val="Hyperlink"/>
    <w:basedOn w:val="DefaultParagraphFont"/>
    <w:uiPriority w:val="99"/>
    <w:unhideWhenUsed/>
    <w:rsid w:val="00036F02"/>
    <w:rPr>
      <w:color w:val="0563C1" w:themeColor="hyperlink"/>
      <w:u w:val="single"/>
    </w:rPr>
  </w:style>
  <w:style w:type="paragraph" w:styleId="NoSpacing">
    <w:name w:val="No Spacing"/>
    <w:link w:val="NoSpacingChar"/>
    <w:uiPriority w:val="1"/>
    <w:qFormat/>
    <w:rsid w:val="00036F02"/>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036F02"/>
    <w:rPr>
      <w:rFonts w:eastAsiaTheme="minorEastAsia"/>
      <w:kern w:val="0"/>
      <w:sz w:val="22"/>
      <w:szCs w:val="22"/>
      <w14:ligatures w14:val="none"/>
    </w:rPr>
  </w:style>
  <w:style w:type="paragraph" w:styleId="TOC2">
    <w:name w:val="toc 2"/>
    <w:basedOn w:val="Normal"/>
    <w:next w:val="Normal"/>
    <w:autoRedefine/>
    <w:uiPriority w:val="39"/>
    <w:unhideWhenUsed/>
    <w:rsid w:val="00036F02"/>
    <w:pPr>
      <w:spacing w:after="100"/>
      <w:ind w:left="220"/>
    </w:pPr>
  </w:style>
  <w:style w:type="paragraph" w:styleId="Caption">
    <w:name w:val="caption"/>
    <w:basedOn w:val="Normal"/>
    <w:next w:val="Normal"/>
    <w:uiPriority w:val="35"/>
    <w:unhideWhenUsed/>
    <w:qFormat/>
    <w:rsid w:val="00036F02"/>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036F02"/>
    <w:pPr>
      <w:spacing w:after="0"/>
    </w:pPr>
  </w:style>
  <w:style w:type="paragraph" w:styleId="TOC3">
    <w:name w:val="toc 3"/>
    <w:basedOn w:val="Normal"/>
    <w:next w:val="Normal"/>
    <w:autoRedefine/>
    <w:uiPriority w:val="39"/>
    <w:unhideWhenUsed/>
    <w:rsid w:val="00036F02"/>
    <w:pPr>
      <w:spacing w:after="100"/>
      <w:ind w:left="440"/>
    </w:pPr>
  </w:style>
  <w:style w:type="table" w:styleId="TableGrid">
    <w:name w:val="Table Grid"/>
    <w:basedOn w:val="TableNormal"/>
    <w:uiPriority w:val="39"/>
    <w:rsid w:val="00036F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F252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2071-1050/16/19/8667" TargetMode="External"/><Relationship Id="rId18" Type="http://schemas.openxmlformats.org/officeDocument/2006/relationships/hyperlink" Target="https://www.apple.com/newsroom/2025/09/the-digital-markets-acts-impacts-on-eu-users/" TargetMode="External"/><Relationship Id="rId26" Type="http://schemas.openxmlformats.org/officeDocument/2006/relationships/hyperlink" Target="https://blj.ucdavis.edu/sites/g/files/dgvnsk15221/files/2025-01/Brandon%20Baum-Zepeda.pdf" TargetMode="External"/><Relationship Id="rId3" Type="http://schemas.openxmlformats.org/officeDocument/2006/relationships/settings" Target="settings.xml"/><Relationship Id="rId21" Type="http://schemas.openxmlformats.org/officeDocument/2006/relationships/hyperlink" Target="https://www.google.com/search?q=https://www.investing.com/pro/apple-s-stock-value-analysis-the-ai-opportunity-1398246/"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ey.com/en_lt/insights/geostrategy/2024-geostrategic-outlook" TargetMode="External"/><Relationship Id="rId17" Type="http://schemas.openxmlformats.org/officeDocument/2006/relationships/hyperlink" Target="https://www.amanewyork.org/resources/how-to-build-a-resilient-marketing-strategy-with-scenario-planning/" TargetMode="External"/><Relationship Id="rId25" Type="http://schemas.openxmlformats.org/officeDocument/2006/relationships/hyperlink" Target="https://www.mi.com/global/discover/article?id=3190" TargetMode="External"/><Relationship Id="rId33" Type="http://schemas.openxmlformats.org/officeDocument/2006/relationships/hyperlink" Target="https://www.researchgate.net/publication/396323593_Research_on_how_companies_can_sustainably_grow_in_crowded_markets--Taking_Xiaomi_and_BiliBili_as_examples" TargetMode="External"/><Relationship Id="rId2" Type="http://schemas.openxmlformats.org/officeDocument/2006/relationships/styles" Target="styles.xml"/><Relationship Id="rId16" Type="http://schemas.openxmlformats.org/officeDocument/2006/relationships/hyperlink" Target="https://www.researchgate.net/publication/385540100_Research_on_the_Impact_of_Corporate_ESG_Performance_on_Long-Term_Sustainable_Competitive_Advantage" TargetMode="External"/><Relationship Id="rId20" Type="http://schemas.openxmlformats.org/officeDocument/2006/relationships/hyperlink" Target="https://www.deloitte.com/ie/en/about/press-room/consumer-trends-smartphone-usage.html" TargetMode="External"/><Relationship Id="rId29" Type="http://schemas.openxmlformats.org/officeDocument/2006/relationships/hyperlink" Target="https://www.researchgate.net/publication/386738541_Analysis_of_Apple%27s%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diameke.com/post/2024-in-focus-strategic-management-of-macro-risks-for-business-leaders" TargetMode="External"/><Relationship Id="rId24" Type="http://schemas.openxmlformats.org/officeDocument/2006/relationships/hyperlink" Target="https://www.google.com/search?q=https://www.trustarc.com/resource/a-review-of-xiaomis-privacy-and-data-protection-programs/" TargetMode="External"/><Relationship Id="rId32" Type="http://schemas.openxmlformats.org/officeDocument/2006/relationships/hyperlink" Target="https://ir.mi.com/system/files-encrypted/nasdaq_kms/assets/2025/03/18/5-38-56/%E8%8B%B1%E6%96%87%E5%85%AC%E9%80%9A.pdf" TargetMode="External"/><Relationship Id="rId5" Type="http://schemas.openxmlformats.org/officeDocument/2006/relationships/footnotes" Target="footnotes.xml"/><Relationship Id="rId15" Type="http://schemas.openxmlformats.org/officeDocument/2006/relationships/hyperlink" Target="https://seaopenresearch.eu/Journals/articles/CMJ2024_I1_2.pdf" TargetMode="External"/><Relationship Id="rId23" Type="http://schemas.openxmlformats.org/officeDocument/2006/relationships/hyperlink" Target="https://www.google.com/search?q=https://www.researchgate.net/publication/392542357_Analysis_of_Xiaomi_Auto%2527s_Marketing_Strategy" TargetMode="External"/><Relationship Id="rId28" Type="http://schemas.openxmlformats.org/officeDocument/2006/relationships/hyperlink" Target="https://drpress.org/ojs/index.php/jid/article/view/32262" TargetMode="External"/><Relationship Id="rId36" Type="http://schemas.openxmlformats.org/officeDocument/2006/relationships/theme" Target="theme/theme1.xml"/><Relationship Id="rId10" Type="http://schemas.openxmlformats.org/officeDocument/2006/relationships/hyperlink" Target="https://www.shutterstock.com/image-vector/pest-analysis-template-political-economic-social-416958079?dd_referrer=https%3A%2F%2Fwww.google.com%2F" TargetMode="External"/><Relationship Id="rId19" Type="http://schemas.openxmlformats.org/officeDocument/2006/relationships/hyperlink" Target="https://counterpointresearch.com/en/insights/europe-smartphone-market-q1-2024" TargetMode="External"/><Relationship Id="rId31" Type="http://schemas.openxmlformats.org/officeDocument/2006/relationships/hyperlink" Target="https://www.mi.com/csr"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iimspune.edu.in/wp-content/uploads/2025/07/13.-Shaping-the-future-of-Marketing-through-ESG-A-Systematic-Literature-Review.pdf" TargetMode="External"/><Relationship Id="rId22" Type="http://schemas.openxmlformats.org/officeDocument/2006/relationships/hyperlink" Target="https://patentpc.com/blog/the-impact-of-apple-patents-on-consumer-privacy-and-data-protection" TargetMode="External"/><Relationship Id="rId27" Type="http://schemas.openxmlformats.org/officeDocument/2006/relationships/hyperlink" Target="https://doi.org/10.1016/j.jik.2024.100588" TargetMode="External"/><Relationship Id="rId30" Type="http://schemas.openxmlformats.org/officeDocument/2006/relationships/hyperlink" Target="https://www.ebsco.com/research-starters/social-sciences-and-humanities/pest-analysis" TargetMode="External"/><Relationship Id="rId35" Type="http://schemas.openxmlformats.org/officeDocument/2006/relationships/fontTable" Target="fontTable.xml"/><Relationship Id="rId8"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4224</Words>
  <Characters>24078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Fakrul Islam</dc:creator>
  <cp:keywords/>
  <dc:description/>
  <cp:revision>40</cp:revision>
  <dcterms:created xsi:type="dcterms:W3CDTF">2025-11-17T07:01:00Z</dcterms:created>
  <dcterms:modified xsi:type="dcterms:W3CDTF">2025-11-20T22:26:00Z</dcterms:modified>
</cp:coreProperties>
</file>